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23CCEFED" w14:textId="11A5FDFA" w:rsidR="0018417A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846380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_Toc180846380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81D18F7" w14:textId="514A09C2" w:rsidR="0018417A" w:rsidRDefault="0018417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1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623E" w14:textId="315CA887" w:rsidR="0018417A" w:rsidRDefault="0018417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2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CC4D" w14:textId="30CB5581" w:rsidR="0018417A" w:rsidRDefault="0018417A">
          <w:pPr>
            <w:pStyle w:val="Sumrio1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3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6F67" w14:textId="7AECB616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4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9C8E" w14:textId="5F8F1769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5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E123" w14:textId="29C8CEBC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6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9E43" w14:textId="6CE91E4D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7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19B4" w14:textId="1DB6D2C8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8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CC0F" w14:textId="40EE7324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9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2D3B" w14:textId="0EB8BE29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0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276C" w14:textId="2ACA7707" w:rsidR="0018417A" w:rsidRDefault="0018417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1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1ECB" w14:textId="2AFF5276" w:rsidR="0018417A" w:rsidRDefault="0018417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2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334D" w14:textId="33212D35" w:rsidR="0018417A" w:rsidRDefault="0018417A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3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FDD9" w14:textId="6601EAD7" w:rsidR="0018417A" w:rsidRDefault="0018417A" w:rsidP="001154ED">
          <w:pPr>
            <w:pStyle w:val="Sumrio2"/>
            <w:tabs>
              <w:tab w:val="left" w:pos="720"/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4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1E76" w14:textId="6E11168C" w:rsidR="0018417A" w:rsidRDefault="0018417A" w:rsidP="001154ED">
          <w:pPr>
            <w:pStyle w:val="Sumrio2"/>
            <w:tabs>
              <w:tab w:val="left" w:pos="720"/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5" w:history="1"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799C" w14:textId="67FD6A49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846380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46C6E935" w14:textId="77777777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As oficinas passaram por transformações </w:t>
      </w: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O problema é a ineficiência na gestão desses boxes de serviços, a falta de uma solução que melhore o processo de liberação e ocupação </w:t>
      </w:r>
      <w:r w:rsidRPr="00487620">
        <w:rPr>
          <w:rFonts w:ascii="Work Sans" w:hAnsi="Work Sans" w:cs="Arial"/>
          <w:sz w:val="24"/>
          <w:szCs w:val="24"/>
        </w:rPr>
        <w:lastRenderedPageBreak/>
        <w:t>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84638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487620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intuito de coletar e exibir dados </w:t>
      </w: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487620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84638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0F7FF94A" w:rsidR="0060259A" w:rsidRPr="00487620" w:rsidRDefault="003A309F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84638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84638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8084638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5FD32323" w:rsidR="00D91A28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F7CEF4" w14:textId="77777777" w:rsidR="00D2441A" w:rsidRPr="00D2441A" w:rsidRDefault="00D2441A" w:rsidP="00D2441A">
      <w:p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6BCD72C4" w14:textId="77777777" w:rsidR="00037702" w:rsidRDefault="00037702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3B8B5876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84638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9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197AEE59" w:rsidR="006A154A" w:rsidRPr="00D2441A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2A006E08" w14:textId="77777777" w:rsidR="00D2441A" w:rsidRDefault="00D2441A" w:rsidP="00D2441A">
      <w:pPr>
        <w:pStyle w:val="PargrafodaLista"/>
        <w:rPr>
          <w:rFonts w:ascii="Work Sans" w:hAnsi="Work Sans"/>
          <w:sz w:val="24"/>
          <w:szCs w:val="24"/>
        </w:rPr>
      </w:pPr>
    </w:p>
    <w:p w14:paraId="1C169936" w14:textId="6D89F255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022A761" w14:textId="2C7C21D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312BC4CC" w14:textId="772991B5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10C7D786" w14:textId="5DA3F270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598ACD1" w14:textId="7D2AD0F9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E9FD4D1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BB38E7" w14:textId="43B8C97B" w:rsidR="00D91A28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23164C53" w14:textId="6ADA6BF9" w:rsidR="00037702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586D0D31" w14:textId="12FC7E86" w:rsidR="00037702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84638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777777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84638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6E94F2CF" w14:textId="0DA7FD0F" w:rsidR="00EF34A3" w:rsidRDefault="007D32E7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0A3D76F" w14:textId="77777777" w:rsidR="00EF34A3" w:rsidRDefault="00EF34A3" w:rsidP="00EF34A3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84638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84639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3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925E841" w14:textId="2E4BD4D0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9F72884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18417A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8"/>
          <w:szCs w:val="28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4" w:name="_Toc180846391"/>
      <w:r w:rsidR="00AF1535" w:rsidRPr="0018417A">
        <w:rPr>
          <w:rFonts w:ascii="Work Sans" w:hAnsi="Work Sans" w:cs="Arial"/>
          <w:b/>
          <w:bCs/>
          <w:color w:val="auto"/>
          <w:sz w:val="28"/>
          <w:szCs w:val="28"/>
        </w:rPr>
        <w:t>Premissas</w:t>
      </w:r>
      <w:bookmarkEnd w:id="14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6AAA868C" w:rsidR="000E7A58" w:rsidRPr="009B6D0D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9B6D0D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5433E34D" w14:textId="5125C5AD" w:rsidR="000E7A58" w:rsidRPr="007D32E7" w:rsidRDefault="009B6D0D" w:rsidP="007D32E7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0E0F4822" w14:textId="4E2D73E0" w:rsidR="006A154A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40C32FF7" w14:textId="77777777" w:rsidR="00D2441A" w:rsidRPr="00487620" w:rsidRDefault="00D2441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18417A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8"/>
          <w:szCs w:val="28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  </w:t>
      </w:r>
      <w:bookmarkStart w:id="15" w:name="_Toc176948278"/>
      <w:bookmarkStart w:id="16" w:name="_Toc180846392"/>
      <w:r w:rsidR="00815CB1" w:rsidRPr="0018417A">
        <w:rPr>
          <w:rFonts w:ascii="Work Sans" w:hAnsi="Work Sans" w:cs="Arial"/>
          <w:b/>
          <w:bCs/>
          <w:color w:val="auto"/>
          <w:sz w:val="28"/>
          <w:szCs w:val="28"/>
        </w:rPr>
        <w:t>Restrições</w:t>
      </w:r>
      <w:bookmarkEnd w:id="15"/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07895C" w14:textId="2E0B9AC6" w:rsidR="00D2441A" w:rsidRDefault="00815CB1" w:rsidP="0018417A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0C515A" w14:textId="0599BB12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AA5F0D" w14:textId="240D7AC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87FFAC4" w14:textId="50C4044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B5C1D5A" w14:textId="1B13FD89" w:rsidR="00D2441A" w:rsidRPr="0018417A" w:rsidRDefault="00D2441A" w:rsidP="00D2441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7" w:name="_Toc176948271"/>
      <w:bookmarkStart w:id="18" w:name="_Toc180846393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7"/>
      <w:bookmarkEnd w:id="18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68A92913" w:rsidR="00D2441A" w:rsidRPr="0018417A" w:rsidRDefault="00D2441A" w:rsidP="00D2441A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846394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lastRenderedPageBreak/>
        <w:t>Diagrama de Solução</w:t>
      </w:r>
      <w:bookmarkEnd w:id="19"/>
    </w:p>
    <w:p w14:paraId="589E12F2" w14:textId="24717B3D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D2441A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20" w:name="_Toc18084639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20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9FB640E" w14:textId="07E411F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C3A5C81" w14:textId="77777777" w:rsidR="00D2441A" w:rsidRDefault="00D2441A" w:rsidP="00D2441A">
      <w:pPr>
        <w:rPr>
          <w:b/>
          <w:bCs/>
        </w:rPr>
      </w:pPr>
    </w:p>
    <w:p w14:paraId="75FB9E85" w14:textId="77777777" w:rsidR="00D2441A" w:rsidRDefault="00D2441A" w:rsidP="00D2441A">
      <w:pPr>
        <w:rPr>
          <w:b/>
          <w:bCs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D37C9" w14:textId="77777777" w:rsidR="00370382" w:rsidRDefault="00370382" w:rsidP="00A35BD0">
      <w:pPr>
        <w:spacing w:after="0" w:line="240" w:lineRule="auto"/>
      </w:pPr>
      <w:r>
        <w:separator/>
      </w:r>
    </w:p>
  </w:endnote>
  <w:endnote w:type="continuationSeparator" w:id="0">
    <w:p w14:paraId="29957C6C" w14:textId="77777777" w:rsidR="00370382" w:rsidRDefault="00370382" w:rsidP="00A35BD0">
      <w:pPr>
        <w:spacing w:after="0" w:line="240" w:lineRule="auto"/>
      </w:pPr>
      <w:r>
        <w:continuationSeparator/>
      </w:r>
    </w:p>
  </w:endnote>
  <w:endnote w:type="continuationNotice" w:id="1">
    <w:p w14:paraId="46757E45" w14:textId="77777777" w:rsidR="00370382" w:rsidRDefault="00370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3C160" w14:textId="77777777" w:rsidR="00370382" w:rsidRDefault="00370382" w:rsidP="00A35BD0">
      <w:pPr>
        <w:spacing w:after="0" w:line="240" w:lineRule="auto"/>
      </w:pPr>
      <w:r>
        <w:separator/>
      </w:r>
    </w:p>
  </w:footnote>
  <w:footnote w:type="continuationSeparator" w:id="0">
    <w:p w14:paraId="650B2A8B" w14:textId="77777777" w:rsidR="00370382" w:rsidRDefault="00370382" w:rsidP="00A35BD0">
      <w:pPr>
        <w:spacing w:after="0" w:line="240" w:lineRule="auto"/>
      </w:pPr>
      <w:r>
        <w:continuationSeparator/>
      </w:r>
    </w:p>
  </w:footnote>
  <w:footnote w:type="continuationNotice" w:id="1">
    <w:p w14:paraId="616B53D7" w14:textId="77777777" w:rsidR="00370382" w:rsidRDefault="003703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37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8119816">
    <w:abstractNumId w:val="14"/>
  </w:num>
  <w:num w:numId="2" w16cid:durableId="985014483">
    <w:abstractNumId w:val="7"/>
  </w:num>
  <w:num w:numId="3" w16cid:durableId="1371422010">
    <w:abstractNumId w:val="35"/>
  </w:num>
  <w:num w:numId="4" w16cid:durableId="1857424693">
    <w:abstractNumId w:val="19"/>
  </w:num>
  <w:num w:numId="5" w16cid:durableId="1232883561">
    <w:abstractNumId w:val="22"/>
  </w:num>
  <w:num w:numId="6" w16cid:durableId="831064017">
    <w:abstractNumId w:val="25"/>
  </w:num>
  <w:num w:numId="7" w16cid:durableId="616379012">
    <w:abstractNumId w:val="27"/>
  </w:num>
  <w:num w:numId="8" w16cid:durableId="1253664354">
    <w:abstractNumId w:val="24"/>
  </w:num>
  <w:num w:numId="9" w16cid:durableId="268508830">
    <w:abstractNumId w:val="3"/>
  </w:num>
  <w:num w:numId="10" w16cid:durableId="563873889">
    <w:abstractNumId w:val="28"/>
  </w:num>
  <w:num w:numId="11" w16cid:durableId="2057117060">
    <w:abstractNumId w:val="24"/>
  </w:num>
  <w:num w:numId="12" w16cid:durableId="346175860">
    <w:abstractNumId w:val="29"/>
  </w:num>
  <w:num w:numId="13" w16cid:durableId="166333617">
    <w:abstractNumId w:val="24"/>
  </w:num>
  <w:num w:numId="14" w16cid:durableId="167521375">
    <w:abstractNumId w:val="32"/>
  </w:num>
  <w:num w:numId="15" w16cid:durableId="203639469">
    <w:abstractNumId w:val="4"/>
  </w:num>
  <w:num w:numId="16" w16cid:durableId="1205289706">
    <w:abstractNumId w:val="11"/>
  </w:num>
  <w:num w:numId="17" w16cid:durableId="2108455177">
    <w:abstractNumId w:val="33"/>
  </w:num>
  <w:num w:numId="18" w16cid:durableId="1702124218">
    <w:abstractNumId w:val="18"/>
  </w:num>
  <w:num w:numId="19" w16cid:durableId="150603890">
    <w:abstractNumId w:val="8"/>
  </w:num>
  <w:num w:numId="20" w16cid:durableId="1195923988">
    <w:abstractNumId w:val="16"/>
  </w:num>
  <w:num w:numId="21" w16cid:durableId="939069523">
    <w:abstractNumId w:val="39"/>
  </w:num>
  <w:num w:numId="22" w16cid:durableId="1483958814">
    <w:abstractNumId w:val="1"/>
  </w:num>
  <w:num w:numId="23" w16cid:durableId="398020555">
    <w:abstractNumId w:val="26"/>
  </w:num>
  <w:num w:numId="24" w16cid:durableId="813522916">
    <w:abstractNumId w:val="2"/>
  </w:num>
  <w:num w:numId="25" w16cid:durableId="1331955345">
    <w:abstractNumId w:val="34"/>
  </w:num>
  <w:num w:numId="26" w16cid:durableId="1797062877">
    <w:abstractNumId w:val="21"/>
  </w:num>
  <w:num w:numId="27" w16cid:durableId="458838105">
    <w:abstractNumId w:val="12"/>
  </w:num>
  <w:num w:numId="28" w16cid:durableId="1552764097">
    <w:abstractNumId w:val="0"/>
  </w:num>
  <w:num w:numId="29" w16cid:durableId="885484700">
    <w:abstractNumId w:val="13"/>
  </w:num>
  <w:num w:numId="30" w16cid:durableId="943346643">
    <w:abstractNumId w:val="9"/>
  </w:num>
  <w:num w:numId="31" w16cid:durableId="1365642678">
    <w:abstractNumId w:val="6"/>
  </w:num>
  <w:num w:numId="32" w16cid:durableId="276527594">
    <w:abstractNumId w:val="30"/>
  </w:num>
  <w:num w:numId="33" w16cid:durableId="672688259">
    <w:abstractNumId w:val="20"/>
  </w:num>
  <w:num w:numId="34" w16cid:durableId="1024206057">
    <w:abstractNumId w:val="10"/>
  </w:num>
  <w:num w:numId="35" w16cid:durableId="269439807">
    <w:abstractNumId w:val="15"/>
  </w:num>
  <w:num w:numId="36" w16cid:durableId="480005275">
    <w:abstractNumId w:val="17"/>
  </w:num>
  <w:num w:numId="37" w16cid:durableId="77406223">
    <w:abstractNumId w:val="37"/>
  </w:num>
  <w:num w:numId="38" w16cid:durableId="1785617936">
    <w:abstractNumId w:val="5"/>
  </w:num>
  <w:num w:numId="39" w16cid:durableId="2043239221">
    <w:abstractNumId w:val="38"/>
  </w:num>
  <w:num w:numId="40" w16cid:durableId="487399901">
    <w:abstractNumId w:val="31"/>
  </w:num>
  <w:num w:numId="41" w16cid:durableId="1769620354">
    <w:abstractNumId w:val="23"/>
  </w:num>
  <w:num w:numId="42" w16cid:durableId="19485404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17</Pages>
  <Words>2009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NICOLAS NUNES DOS SANTOS .</cp:lastModifiedBy>
  <cp:revision>30</cp:revision>
  <cp:lastPrinted>2024-08-30T22:03:00Z</cp:lastPrinted>
  <dcterms:created xsi:type="dcterms:W3CDTF">2024-08-30T21:41:00Z</dcterms:created>
  <dcterms:modified xsi:type="dcterms:W3CDTF">2024-10-26T17:46:00Z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