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VÀ ĐIỀU KHOẢN ÁP DỤNG CHO SÀN THƯƠNG MẠI ĐIỆN TỬ KINH DOANH MÁY TÍNH &amp; LINH KIỆN</w:t>
      </w:r>
    </w:p>
    <w:p>
      <w:r>
        <w:br/>
        <w:t>1. Điều khoản sử dụng chung</w:t>
      </w:r>
    </w:p>
    <w:p>
      <w:r>
        <w:t>Bằng việc truy cập và sử dụng website thương mại điện tử của chúng tôi, khách hàng được xem là đã đọc, hiểu và đồng ý tuân thủ toàn bộ các điều khoản, điều kiện và chính sách được quy định trong văn bản này. Các chính sách này được xây dựng phù hợp với Luật Thương mại, Luật Bảo vệ quyền lợi người tiêu dùng và các quy định pháp luật hiện hành của Việt Nam. Chúng tôi có quyền thay đổi, cập nhật nội dung chính sách bất kỳ lúc nào và sẽ công bố công khai trên website.</w:t>
      </w:r>
    </w:p>
    <w:p>
      <w:r>
        <w:t>2. Thông tin sản phẩm và tình trạng hàng hóa</w:t>
      </w:r>
    </w:p>
    <w:p>
      <w:r>
        <w:t>Chúng tôi cam kết cung cấp thông tin sản phẩm (bao gồm hình ảnh, thông số kỹ thuật, giá bán) một cách trung thực và chính xác nhất. Tuy nhiên, một số sai sót nhỏ có thể phát sinh do cập nhật từ nhà sản xuất hoặc lỗi kỹ thuật. Tình trạng hàng hóa phụ thuộc vào tồn kho thực tế và có thể thay đổi mà không cần báo trước. Trong trường hợp không thể cung cấp sản phẩm đã đặt, chúng tôi sẽ thông báo và hoàn tiền hoặc đề xuất sản phẩm thay thế theo thỏa thuận với khách hàng.</w:t>
      </w:r>
    </w:p>
    <w:p>
      <w:r>
        <w:t>3. Giá bán và phương thức thanh toán</w:t>
      </w:r>
    </w:p>
    <w:p>
      <w:r>
        <w:t>Giá sản phẩm được niêm yết bằng Đồng Việt Nam (VND) và đã bao gồm thuế giá trị gia tăng (VAT), trừ khi có ghi chú khác. Các chi phí phát sinh như phí vận chuyển, lắp đặt hoặc dịch vụ bổ sung sẽ được hiển thị rõ ràng trước khi khách hàng xác nhận đặt hàng. Chúng tôi chấp nhận các phương thức thanh toán hợp pháp như chuyển khoản ngân hàng, thẻ thanh toán và cổng thanh toán điện tử.</w:t>
      </w:r>
    </w:p>
    <w:p>
      <w:r>
        <w:t>4. Quy trình đặt hàng và xác nhận</w:t>
      </w:r>
    </w:p>
    <w:p>
      <w:r>
        <w:t>Sau khi đặt hàng thành công, khách hàng sẽ nhận được thông báo xác nhận đơn hàng qua email hoặc tài khoản cá nhân trên hệ thống. Việc xác nhận này không đồng nghĩa với việc đơn hàng đã được chấp nhận hoàn toàn. Chúng tôi có quyền từ chối hoặc hủy đơn hàng trong các trường hợp bất khả kháng, sai sót giá, nghi ngờ gian lận hoặc vi phạm chính sách.</w:t>
      </w:r>
    </w:p>
    <w:p>
      <w:r>
        <w:t>5. Vận chuyển và giao nhận</w:t>
      </w:r>
    </w:p>
    <w:p>
      <w:r>
        <w:t>Đơn hàng sẽ được xử lý và giao trong thời gian dự kiến đã thông báo. Thời gian giao hàng có thể bị ảnh hưởng bởi điều kiện thời tiết, đơn vị vận chuyển hoặc các yếu tố khách quan khác. Khách hàng có trách nhiệm cung cấp thông tin giao hàng chính xác. Chúng tôi không chịu trách nhiệm đối với các rủi ro phát sinh do thông tin sai lệch từ phía khách hàng.</w:t>
      </w:r>
    </w:p>
    <w:p>
      <w:r>
        <w:t>6. Đổi trả và hoàn tiền</w:t>
      </w:r>
    </w:p>
    <w:p>
      <w:r>
        <w:t>Chính sách đổi trả được áp dụng theo quy định của pháp luật Việt Nam về bảo vệ quyền lợi người tiêu dùng. Sản phẩm đổi trả phải còn nguyên vẹn, đầy đủ phụ kiện, bao bì và không có dấu hiệu đã qua sử dụng trái quy định. Một số sản phẩm đặc thù như phần mềm đã kích hoạt, hàng đặt theo yêu cầu riêng có thể không được đổi trả. Việc hoàn tiền sẽ được thực hiện sau khi kiểm tra và xác nhận đủ điều kiện.</w:t>
      </w:r>
    </w:p>
    <w:p>
      <w:r>
        <w:t>7. Bảo hành và hỗ trợ sau bán hàng</w:t>
      </w:r>
    </w:p>
    <w:p>
      <w:r>
        <w:t>Sản phẩm được bảo hành theo chính sách của nhà sản xuất hoặc nhà phân phối chính hãng tại Việt Nam. Thời hạn và phạm vi bảo hành được ghi rõ trong thông tin sản phẩm hoặc phiếu bảo hành. Chúng tôi hỗ trợ khách hàng trong quá trình gửi bảo hành nhưng không chịu trách nhiệm về thời gian xử lý của hãng.</w:t>
      </w:r>
    </w:p>
    <w:p>
      <w:r>
        <w:t>8. Tài khoản khách hàng</w:t>
      </w:r>
    </w:p>
    <w:p>
      <w:r>
        <w:t>Khách hàng có thể đăng ký tài khoản để quản lý đơn hàng và thông tin cá nhân. Khách hàng có trách nhiệm bảo mật thông tin đăng nhập. Mọi giao dịch phát sinh từ tài khoản được xem là do chính chủ tài khoản thực hiện. Chúng tôi có quyền khóa hoặc chấm dứt tài khoản nếu phát hiện hành vi vi phạm pháp luật hoặc gian lận.</w:t>
      </w:r>
    </w:p>
    <w:p>
      <w:r>
        <w:t>9. Đánh giá và nội dung do người dùng cung cấp</w:t>
      </w:r>
    </w:p>
    <w:p>
      <w:r>
        <w:t>Khách hàng được phép đăng tải đánh giá sản phẩm với điều kiện nội dung trung thực, phù hợp thuần phong mỹ tục và không vi phạm pháp luật. Chúng tôi có quyền kiểm duyệt, chỉnh sửa hoặc gỡ bỏ nội dung không phù hợp mà không cần thông báo trước.</w:t>
      </w:r>
    </w:p>
    <w:p>
      <w:r>
        <w:t>10. Bảo mật thông tin cá nhân</w:t>
      </w:r>
    </w:p>
    <w:p>
      <w:r>
        <w:t>Chúng tôi cam kết bảo mật thông tin cá nhân của khách hàng theo quy định của pháp luật Việt Nam, bao gồm Luật An ninh mạng và các nghị định liên quan đến bảo vệ dữ liệu cá nhân. Thông tin thu thập chỉ được sử dụng cho mục đích xử lý đơn hàng, chăm sóc khách hàng và nghĩa vụ pháp lý.</w:t>
      </w:r>
    </w:p>
    <w:p>
      <w:r>
        <w:t>11. Quyền sở hữu trí tuệ</w:t>
      </w:r>
    </w:p>
    <w:p>
      <w:r>
        <w:t>Toàn bộ nội dung trên website, bao gồm nhưng không giới hạn ở hình ảnh, văn bản, logo, nhãn hiệu và phần mềm, thuộc quyền sở hữu của chúng tôi hoặc bên cấp phép hợp pháp. Mọi hành vi sao chép, sử dụng trái phép đều bị nghiêm cấm.</w:t>
      </w:r>
    </w:p>
    <w:p>
      <w:r>
        <w:t>12. Giới hạn trách nhiệm</w:t>
      </w:r>
    </w:p>
    <w:p>
      <w:r>
        <w:t>Trong phạm vi pháp luật cho phép, chúng tôi không chịu trách nhiệm đối với các thiệt hại gián tiếp hoặc phát sinh ngoài ý muốn từ việc sử dụng sản phẩm hoặc dịch vụ. Trách nhiệm bồi thường (nếu có) không vượt quá giá trị đơn hàng liên quan.</w:t>
      </w:r>
    </w:p>
    <w:p>
      <w:r>
        <w:t>13. Luật áp dụng và giải quyết tranh chấp</w:t>
      </w:r>
    </w:p>
    <w:p>
      <w:r>
        <w:t>Các chính sách này được điều chỉnh bởi pháp luật nước Cộng hòa Xã hội Chủ nghĩa Việt Nam. Mọi tranh chấp phát sinh sẽ được ưu tiên giải quyết thông qua thương lượng. Trường hợp không đạt được thỏa thuận, tranh chấp sẽ được đưa ra cơ quan có thẩm quyền theo quy định pháp luật.</w:t>
      </w:r>
    </w:p>
    <w:p>
      <w:r>
        <w:t>14. Thông tin liên hệ</w:t>
      </w:r>
    </w:p>
    <w:p>
      <w:r>
        <w:t>Mọi thắc mắc, khiếu nại hoặc yêu cầu hỗ trợ vui lòng liên hệ bộ phận chăm sóc khách hàng thông qua các kênh chính thức được công bố trên website. Chúng tôi cam kết phản hồi trong thời gian hợp lý.</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