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High-Resolution Post-Training for OpenMidnight</w:t>
      </w:r>
    </w:p>
    <w:p>
      <w:r>
        <w:rPr>
          <w:i/>
        </w:rPr>
        <w:t>Internal report — May 2026. Rohit Datchanamourty.</w:t>
      </w:r>
    </w:p>
    <w:p>
      <w:r>
        <w:t xml:space="preserve">This documents what we tried, what worked, what didn't, and what to test next on reproducing the high-resolution post-training step from the Midnight paper (Kaiko.ai, §2) on the OpenMidnight Phase 1 checkpoint. Two companion docs stay around as historical record: </w:t>
      </w:r>
      <w:r>
        <w:rPr>
          <w:rFonts w:ascii="Consolas" w:hAnsi="Consolas"/>
          <w:sz w:val="20"/>
        </w:rPr>
        <w:t>HIGHRES_FINETUNING_GUIDE.md</w:t>
      </w:r>
      <w:r>
        <w:t xml:space="preserve"> (original handoff) and </w:t>
      </w:r>
      <w:r>
        <w:rPr>
          <w:rFonts w:ascii="Consolas" w:hAnsi="Consolas"/>
          <w:sz w:val="20"/>
        </w:rPr>
        <w:t>HIGHRES_EXPERIMENTS.md</w:t>
      </w:r>
      <w:r>
        <w:t xml:space="preserve"> (live tracker).</w:t>
      </w:r>
    </w:p>
    <w:p/>
    <w:p>
      <w:pPr>
        <w:pStyle w:val="Heading2"/>
      </w:pPr>
      <w:r>
        <w:t>TL;DR</w:t>
      </w:r>
    </w:p>
    <w:p>
      <w:r>
        <w:t xml:space="preserve">We did </w:t>
      </w:r>
      <w:r>
        <w:rPr>
          <w:b/>
        </w:rPr>
        <w:t>not</w:t>
      </w:r>
      <w:r>
        <w:t xml:space="preserve"> see the paper's claimed ~+1pp average gain. Our best run lands at </w:t>
      </w:r>
      <w:r>
        <w:rPr>
          <w:b/>
        </w:rPr>
        <w:t>+0.5pp average over 12 EVA tasks</w:t>
      </w:r>
      <w:r>
        <w:t xml:space="preserve"> vs the appropriate baseline (Phase 1 evaluated at 392 px). Against </w:t>
      </w:r>
      <w:r>
        <w:rPr>
          <w:rFonts w:ascii="Consolas" w:hAnsi="Consolas"/>
          <w:sz w:val="20"/>
        </w:rPr>
        <w:t>Midnight-12k</w:t>
      </w:r>
      <w:r>
        <w:t xml:space="preserve">, the paper's TCGA-only variant which is our right comparison point at matched data scale, we're within ±1pp on 8/12 tasks and beat it on Gleason, CoNSeP, MoNuSAC, BACH, MHIST. Against </w:t>
      </w:r>
      <w:r>
        <w:rPr>
          <w:rFonts w:ascii="Consolas" w:hAnsi="Consolas"/>
          <w:sz w:val="20"/>
        </w:rPr>
        <w:t>Midnight-92k/392</w:t>
      </w:r>
      <w:r>
        <w:t>, the paper's flagship with 8× more data, we're typically 1-2pp behind on slide-level tasks.</w:t>
      </w:r>
    </w:p>
    <w:p>
      <w:r>
        <w:t xml:space="preserve">The most useful single finding from this work is that </w:t>
      </w:r>
      <w:r>
        <w:rPr>
          <w:b/>
        </w:rPr>
        <w:t>roughly half of the paper's reported segmentation gain reproduces just by evaluating Phase 1 at 392 px with dynamic positional-embedding interpolation</w:t>
      </w:r>
      <w:r>
        <w:t xml:space="preserve"> — no training needed. CoNSeP goes 0.623 → 0.646 and MoNuSAC 0.649 → 0.680 from changing only the eval resolution. The high-res </w:t>
      </w:r>
      <w:r>
        <w:rPr>
          <w:i/>
        </w:rPr>
        <w:t>training</w:t>
      </w:r>
      <w:r>
        <w:t xml:space="preserve"> step then adds another +0.9pp on top. Anyone replicating should measure this baseline first.</w:t>
      </w:r>
    </w:p>
    <w:p>
      <w:r>
        <w:t>The most likely cause of the smaller-than-paper gain: data scale (12k TCGA WSIs vs the paper's Midnight-92k 92k WSIs). The paper's matching 12k variant isn't directly comparable since they don't report the high-res-trained version of it.</w:t>
      </w:r>
    </w:p>
    <w:p/>
    <w:p>
      <w:pPr>
        <w:pStyle w:val="Heading2"/>
      </w:pPr>
      <w:r>
        <w:t>1. What the paper does, what we did</w:t>
      </w:r>
    </w:p>
    <w:p>
      <w:r>
        <w:t>The paper continues training a finished SSL ViT-g14 backbone at 2× pixel density and 0.5× µm/px, preserving physical tissue area per tile but quadrupling tokens per crop (16² → 28² globals, 7² → 12² locals). Trained for 120k optimizer steps at effective batch 1152 on 48 H100s.</w:t>
      </w:r>
    </w:p>
    <w:p>
      <w:r>
        <w:t>Our setup, condensed: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vAlign w:val="cente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3216"/>
            <w:vAlign w:val="cente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Midnight-92k/392</w:t>
            </w:r>
          </w:p>
        </w:tc>
        <w:tc>
          <w:tcPr>
            <w:tcW w:type="dxa" w:w="3216"/>
            <w:vAlign w:val="cente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Ours (Node 1, best run)</w:t>
            </w:r>
          </w:p>
        </w:tc>
      </w:tr>
      <w:tr>
        <w:tc>
          <w:tcPr>
            <w:tcW w:type="dxa" w:w="3216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Starting checkpoint</w:t>
            </w:r>
          </w:p>
        </w:tc>
        <w:tc>
          <w:tcPr>
            <w:tcW w:type="dxa" w:w="3216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Midnight-92k @ 224 (92k WSIs)</w:t>
            </w:r>
          </w:p>
        </w:tc>
        <w:tc>
          <w:tcPr>
            <w:tcW w:type="dxa" w:w="3216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OpenMidnight Phase 1 @ 224 (12k TCGA WSIs)</w:t>
            </w:r>
          </w:p>
        </w:tc>
      </w:tr>
      <w:tr>
        <w:tc>
          <w:tcPr>
            <w:tcW w:type="dxa" w:w="3216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Tile size (pre-crop)</w:t>
            </w:r>
          </w:p>
        </w:tc>
        <w:tc>
          <w:tcPr>
            <w:tcW w:type="dxa" w:w="3216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512 px</w:t>
            </w:r>
          </w:p>
        </w:tc>
        <w:tc>
          <w:tcPr>
            <w:tcW w:type="dxa" w:w="3216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448 px</w:t>
            </w:r>
          </w:p>
        </w:tc>
      </w:tr>
      <w:tr>
        <w:tc>
          <w:tcPr>
            <w:tcW w:type="dxa" w:w="3216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Magnifications sampled</w:t>
            </w:r>
          </w:p>
        </w:tc>
        <w:tc>
          <w:tcPr>
            <w:tcW w:type="dxa" w:w="3216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1.0/0.5/0.25/0.125 µm/px</w:t>
            </w:r>
          </w:p>
        </w:tc>
        <w:tc>
          <w:tcPr>
            <w:tcW w:type="dxa" w:w="3216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same</w:t>
            </w:r>
          </w:p>
        </w:tc>
      </w:tr>
      <w:tr>
        <w:tc>
          <w:tcPr>
            <w:tcW w:type="dxa" w:w="3216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Global / local crop</w:t>
            </w:r>
          </w:p>
        </w:tc>
        <w:tc>
          <w:tcPr>
            <w:tcW w:type="dxa" w:w="3216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392 / 168</w:t>
            </w:r>
          </w:p>
        </w:tc>
        <w:tc>
          <w:tcPr>
            <w:tcW w:type="dxa" w:w="3216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same</w:t>
            </w:r>
          </w:p>
        </w:tc>
      </w:tr>
      <w:tr>
        <w:tc>
          <w:tcPr>
            <w:tcW w:type="dxa" w:w="3216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Tokens per global / local</w:t>
            </w:r>
          </w:p>
        </w:tc>
        <w:tc>
          <w:tcPr>
            <w:tcW w:type="dxa" w:w="3216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28×28 / 12×12</w:t>
            </w:r>
          </w:p>
        </w:tc>
        <w:tc>
          <w:tcPr>
            <w:tcW w:type="dxa" w:w="3216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same</w:t>
            </w:r>
          </w:p>
        </w:tc>
      </w:tr>
      <w:tr>
        <w:tc>
          <w:tcPr>
            <w:tcW w:type="dxa" w:w="3216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Optimizer steps</w:t>
            </w:r>
          </w:p>
        </w:tc>
        <w:tc>
          <w:tcPr>
            <w:tcW w:type="dxa" w:w="3216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120k</w:t>
            </w:r>
          </w:p>
        </w:tc>
        <w:tc>
          <w:tcPr>
            <w:tcW w:type="dxa" w:w="3216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30k</w:t>
            </w:r>
          </w:p>
        </w:tc>
      </w:tr>
      <w:tr>
        <w:tc>
          <w:tcPr>
            <w:tcW w:type="dxa" w:w="3216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GPUs</w:t>
            </w:r>
          </w:p>
        </w:tc>
        <w:tc>
          <w:tcPr>
            <w:tcW w:type="dxa" w:w="3216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48 H100</w:t>
            </w:r>
          </w:p>
        </w:tc>
        <w:tc>
          <w:tcPr>
            <w:tcW w:type="dxa" w:w="3216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8 H100 (1 node)</w:t>
            </w:r>
          </w:p>
        </w:tc>
      </w:tr>
      <w:tr>
        <w:tc>
          <w:tcPr>
            <w:tcW w:type="dxa" w:w="3216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Per-GPU batch</w:t>
            </w:r>
          </w:p>
        </w:tc>
        <w:tc>
          <w:tcPr>
            <w:tcW w:type="dxa" w:w="3216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3216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12</w:t>
            </w:r>
          </w:p>
        </w:tc>
      </w:tr>
      <w:tr>
        <w:tc>
          <w:tcPr>
            <w:tcW w:type="dxa" w:w="3216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Gradient accumulation</w:t>
            </w:r>
          </w:p>
        </w:tc>
        <w:tc>
          <w:tcPr>
            <w:tcW w:type="dxa" w:w="3216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×4</w:t>
            </w:r>
          </w:p>
        </w:tc>
        <w:tc>
          <w:tcPr>
            <w:tcW w:type="dxa" w:w="3216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×4 (Node 1/2) or ×12 (warmstart_5k, warmstart_short)</w:t>
            </w:r>
          </w:p>
        </w:tc>
      </w:tr>
      <w:tr>
        <w:tc>
          <w:tcPr>
            <w:tcW w:type="dxa" w:w="3216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Effective batch</w:t>
            </w:r>
          </w:p>
        </w:tc>
        <w:tc>
          <w:tcPr>
            <w:tcW w:type="dxa" w:w="3216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1152</w:t>
            </w:r>
          </w:p>
        </w:tc>
        <w:tc>
          <w:tcPr>
            <w:tcW w:type="dxa" w:w="3216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384 (Node 1/2) or 1152 (warmstart runs)</w:t>
            </w:r>
          </w:p>
        </w:tc>
      </w:tr>
      <w:tr>
        <w:tc>
          <w:tcPr>
            <w:tcW w:type="dxa" w:w="3216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Base LR</w:t>
            </w:r>
          </w:p>
        </w:tc>
        <w:tc>
          <w:tcPr>
            <w:tcW w:type="dxa" w:w="3216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1e-4 (sqrt-scaled)</w:t>
            </w:r>
          </w:p>
        </w:tc>
        <w:tc>
          <w:tcPr>
            <w:tcW w:type="dxa" w:w="3216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same</w:t>
            </w:r>
          </w:p>
        </w:tc>
      </w:tr>
    </w:tbl>
    <w:p>
      <w:r>
        <w:t xml:space="preserve">Tile-sampling pipeline reads </w:t>
      </w:r>
      <w:r>
        <w:rPr>
          <w:rFonts w:ascii="Consolas" w:hAnsi="Consolas"/>
          <w:sz w:val="20"/>
        </w:rPr>
        <w:t>448 × target_mpp / level_mpp</w:t>
      </w:r>
      <w:r>
        <w:t xml:space="preserve"> pixels from the closest SVS pyramid level and resizes to 448 px. The skip rule drops 0.125 µm/px for slides whose native MPP is more than 2× the target (i.e. all 20× scans), giving a non-uniform but reproducible distribution across magnifications. The physical-area invariant </w:t>
      </w:r>
      <w:r>
        <w:rPr>
          <w:rFonts w:ascii="Consolas" w:hAnsi="Consolas"/>
          <w:sz w:val="20"/>
        </w:rPr>
        <w:t>448 × target_mpp = 224 × 2 × target_mpp</w:t>
      </w:r>
      <w:r>
        <w:t xml:space="preserve"> is verified end-to-end in </w:t>
      </w:r>
      <w:r>
        <w:rPr>
          <w:rFonts w:ascii="Consolas" w:hAnsi="Consolas"/>
          <w:sz w:val="20"/>
        </w:rPr>
        <w:t>highres_verification.ipynb</w:t>
      </w:r>
      <w:r>
        <w:t>.</w:t>
      </w:r>
    </w:p>
    <w:p>
      <w:r>
        <w:t>Sample-list generation (</w:t>
      </w:r>
      <w:r>
        <w:rPr>
          <w:rFonts w:ascii="Consolas" w:hAnsi="Consolas"/>
          <w:sz w:val="20"/>
        </w:rPr>
        <w:t>prepatching_scripts/create_sample_dataset_txt_highres.py</w:t>
      </w:r>
      <w:r>
        <w:t>):</w:t>
      </w:r>
    </w:p>
    <w:p>
      <w:r>
        <w:rPr>
          <w:rFonts w:ascii="Consolas" w:hAnsi="Consolas"/>
          <w:sz w:val="19"/>
        </w:rPr>
        <w:t>TARGET_MPPS = [1.0, 0.5, 0.25, 0.125]</w:t>
        <w:br/>
        <w:t>TILE_SIZE = 448</w:t>
        <w:br/>
        <w:t>MAX_UPSCALE = 2.0</w:t>
        <w:br/>
        <w:br/>
        <w:t>for target_mpp in TARGET_MPPS:</w:t>
        <w:br/>
        <w:t xml:space="preserve">    if native_mpp &gt; MAX_UPSCALE * target_mpp:</w:t>
        <w:br/>
        <w:t xml:space="preserve">        continue  # skip if we'd have to upscale &gt;2x from the finest level</w:t>
        <w:br/>
        <w:br/>
        <w:t xml:space="preserve">    # Pick the finest pyramid level that's still coarser-or-equal to target.</w:t>
        <w:br/>
        <w:t xml:space="preserve">    target_ds = target_mpp / native_mpp</w:t>
        <w:br/>
        <w:t xml:space="preserve">    best_level = 0</w:t>
        <w:br/>
        <w:t xml:space="preserve">    for l in range(slide.level_count):</w:t>
        <w:br/>
        <w:t xml:space="preserve">        if slide.level_downsamples[l] &lt;= target_ds:</w:t>
        <w:br/>
        <w:t xml:space="preserve">            best_level = l</w:t>
        <w:br/>
        <w:br/>
        <w:t xml:space="preserve">    # Read `read_size` px from `best_level`, then resize to TILE_SIZE px.</w:t>
        <w:br/>
        <w:t xml:space="preserve">    level_mpp = native_mpp * slide.level_downsamples[best_level]</w:t>
        <w:br/>
        <w:t xml:space="preserve">    read_size = int(round(TILE_SIZE * target_mpp / level_mpp))</w:t>
        <w:br/>
        <w:t xml:space="preserve">    # ...emit sample-list line: "{path} {x} {y} {best_level} {read_size}"</w:t>
      </w:r>
    </w:p>
    <w:p>
      <w:r>
        <w:t>Per-tile consumption at training time (</w:t>
      </w:r>
      <w:r>
        <w:rPr>
          <w:rFonts w:ascii="Consolas" w:hAnsi="Consolas"/>
          <w:sz w:val="20"/>
        </w:rPr>
        <w:t>dinov2/data/datasets/slide_dataset.py</w:t>
      </w:r>
      <w:r>
        <w:t>):</w:t>
      </w:r>
    </w:p>
    <w:p>
      <w:r>
        <w:rPr>
          <w:rFonts w:ascii="Consolas" w:hAnsi="Consolas"/>
          <w:sz w:val="19"/>
        </w:rPr>
        <w:t>def __getitem__(self, index):</w:t>
        <w:br/>
        <w:t xml:space="preserve">    path, x, y, level, read_size = self.image_files[index].split(" ")</w:t>
        <w:br/>
        <w:t xml:space="preserve">    slide = OpenSlide(path)</w:t>
        <w:br/>
        <w:t xml:space="preserve">    patch = slide.read_region((int(x), int(y)), level=int(level),</w:t>
        <w:br/>
        <w:t xml:space="preserve">                              size=(int(read_size), int(read_size)))</w:t>
        <w:br/>
        <w:t xml:space="preserve">    img = patch.convert("RGB")</w:t>
        <w:br/>
        <w:t xml:space="preserve">    # Resize the synthesized magnification to TILE_SIZE px before augmentation.</w:t>
        <w:br/>
        <w:t xml:space="preserve">    if int(read_size) != self.patch_size_pixels:</w:t>
        <w:br/>
        <w:t xml:space="preserve">        img = img.resize((self.patch_size_pixels, self.patch_size_pixels),</w:t>
        <w:br/>
        <w:t xml:space="preserve">                         Image.BICUBIC)</w:t>
        <w:br/>
        <w:t xml:space="preserve">    return self.transforms(img, None), index</w:t>
      </w:r>
    </w:p>
    <w:p>
      <w:pPr>
        <w:jc w:val="center"/>
      </w:pPr>
      <w:r>
        <w:rPr>
          <w:i/>
          <w:color w:val="666666"/>
          <w:sz w:val="20"/>
        </w:rPr>
        <w:t>[Figure placeholder] High-res tile examples at 1.0 / 0.5 / 0.25 / 0.125 µm/px, same tissue region; token-grid overlay (16×16 vs 28×28)</w:t>
      </w:r>
    </w:p>
    <w:p>
      <w:r>
        <w:rPr>
          <w:b/>
        </w:rPr>
        <w:t>Schedule warm-start.</w:t>
      </w:r>
      <w:r>
        <w:t xml:space="preserve"> The single biggest implementation choice. DINOv2's trainer rebuilds all schedules from iter 0 on every fresh run: teacher temp warms 0.04 → 0.07 over 31% of training; weight decay warms 0.04 → 0.2; teacher momentum 0.994 → 1.0; AdamW state resets. Phase 1 ended near the terminal values of all of these, so a naive reload destabilizes the student for tens of thousands of steps. We override at iter 0 — the load-bearing overrides live in </w:t>
      </w:r>
      <w:r>
        <w:rPr>
          <w:rFonts w:ascii="Consolas" w:hAnsi="Consolas"/>
          <w:sz w:val="20"/>
        </w:rPr>
        <w:t>dinov2/configs/train/vitg14_reg4_highres_warmstart*.yaml</w:t>
      </w:r>
      <w:r>
        <w:t>:</w:t>
      </w:r>
    </w:p>
    <w:p>
      <w:r>
        <w:rPr>
          <w:rFonts w:ascii="Consolas" w:hAnsi="Consolas"/>
          <w:sz w:val="19"/>
        </w:rPr>
        <w:t>teacher:</w:t>
        <w:br/>
        <w:t xml:space="preserve">  momentum_teacher: 0.9995          # default 0.994 → 1.0; Phase 1 ended near 1.0</w:t>
        <w:br/>
        <w:t xml:space="preserve">  warmup_teacher_temp: 0.07         # default warms 0.04 → 0.07 over 30 epochs</w:t>
        <w:br/>
        <w:t xml:space="preserve">  teacher_temp: 0.07</w:t>
        <w:br/>
        <w:t xml:space="preserve">  warmup_teacher_temp_epochs: 0     # skip the temp warmup entirely</w:t>
        <w:br/>
        <w:t>optim:</w:t>
        <w:br/>
        <w:t xml:space="preserve">  weight_decay: 0.2                 # default warms 0.04 → 0.2; start at terminal</w:t>
        <w:br/>
        <w:t xml:space="preserve">  weight_decay_end: 0.2</w:t>
        <w:br/>
        <w:t xml:space="preserve">  freeze_last_layer_epochs: 0       # student head is already trained</w:t>
        <w:br/>
        <w:t xml:space="preserve">  layerwise_decay: 0.9              # DINOv2 finetuning standard (was 1.0)</w:t>
      </w:r>
    </w:p>
    <w:p>
      <w:r>
        <w:t>The LR keeps its 5-epoch warmup because AdamW second moments do start fresh on every run.</w:t>
      </w:r>
    </w:p>
    <w:p>
      <w:r>
        <w:rPr>
          <w:b/>
        </w:rPr>
        <w:t>Other implementation bits.</w:t>
      </w:r>
      <w:r>
        <w:t xml:space="preserve"> FSDP </w:t>
      </w:r>
      <w:r>
        <w:rPr>
          <w:rFonts w:ascii="Consolas" w:hAnsi="Consolas"/>
          <w:sz w:val="20"/>
        </w:rPr>
        <w:t>no_sync()</w:t>
      </w:r>
      <w:r>
        <w:t xml:space="preserve"> during accumulation micro-steps to avoid redundant all-reduces. LR scaled by </w:t>
      </w:r>
      <w:r>
        <w:rPr>
          <w:rFonts w:ascii="Consolas" w:hAnsi="Consolas"/>
          <w:sz w:val="20"/>
        </w:rPr>
        <w:t>sqrt(eff_batch / 1024)</w:t>
      </w:r>
      <w:r>
        <w:t xml:space="preserve"> from the configured </w:t>
      </w:r>
      <w:r>
        <w:rPr>
          <w:rFonts w:ascii="Consolas" w:hAnsi="Consolas"/>
          <w:sz w:val="20"/>
        </w:rPr>
        <w:t>base_lr</w:t>
      </w:r>
      <w:r>
        <w:t xml:space="preserve">. The pos_embed gets bicubic-interpolated 16×16 → 28×28 inside </w:t>
      </w:r>
      <w:r>
        <w:rPr>
          <w:rFonts w:ascii="Consolas" w:hAnsi="Consolas"/>
          <w:sz w:val="20"/>
        </w:rPr>
        <w:t>_load_from_teacher_checkpoint</w:t>
      </w:r>
      <w:r>
        <w:t xml:space="preserve"> (</w:t>
      </w:r>
      <w:r>
        <w:rPr>
          <w:rFonts w:ascii="Consolas" w:hAnsi="Consolas"/>
          <w:sz w:val="20"/>
        </w:rPr>
        <w:t>dinov2/train/train.py</w:t>
      </w:r>
      <w:r>
        <w:t>) before the state-dict load:</w:t>
      </w:r>
    </w:p>
    <w:p>
      <w:r>
        <w:rPr>
          <w:rFonts w:ascii="Consolas" w:hAnsi="Consolas"/>
          <w:sz w:val="19"/>
        </w:rPr>
        <w:t>pos_embed = backbone_state["pos_embed"]</w:t>
        <w:br/>
        <w:t>cls_pos = pos_embed[:, :1]                              # CLS token, kept as-is</w:t>
        <w:br/>
        <w:t>patch_pos = pos_embed[:, 1:]                            # (1, 256, dim)</w:t>
        <w:br/>
        <w:t>orig = int(patch_pos.shape[1] ** 0.5)                   # 16</w:t>
        <w:br/>
        <w:t>target_h, target_w = student_backbone.patch_embed.patches_resolution  # (28, 28)</w:t>
        <w:br/>
        <w:br/>
        <w:t>patch_pos = patch_pos.reshape(1, orig, orig, -1).permute(0, 3, 1, 2)</w:t>
        <w:br/>
        <w:t>patch_pos = F.interpolate(patch_pos, size=(target_h, target_w),</w:t>
        <w:br/>
        <w:t xml:space="preserve">                          mode="bicubic", align_corners=False)</w:t>
        <w:br/>
        <w:t>patch_pos = patch_pos.permute(0, 2, 3, 1).reshape(1, target_h * target_w, -1)</w:t>
        <w:br/>
        <w:t>backbone_state["pos_embed"] = torch.cat((cls_pos, patch_pos), dim=1)</w:t>
      </w:r>
    </w:p>
    <w:p>
      <w:r>
        <w:t xml:space="preserve">The ViT's </w:t>
      </w:r>
      <w:r>
        <w:rPr>
          <w:rFonts w:ascii="Consolas" w:hAnsi="Consolas"/>
          <w:sz w:val="20"/>
        </w:rPr>
        <w:t>interpolate_pos_encoding</w:t>
      </w:r>
      <w:r>
        <w:t xml:space="preserve"> does the same thing dynamically on every forward pass, so this load-time step is technically redundant in steady state — but loading already-interpolated weights matters during the first few warmup iterations before the model has trained on 28×28 positions.</w:t>
      </w:r>
    </w:p>
    <w:p>
      <w:r>
        <w:rPr>
          <w:b/>
        </w:rPr>
        <w:t>Evaluation.</w:t>
      </w:r>
      <w:r>
        <w:t xml:space="preserve"> Two protocols measured. Default DINOv2 hub returns CLS only (1536-dim); paper specifies CLS + mean-pooled patch tokens (3072-dim) for downstream linear probes. The wrapper (</w:t>
      </w:r>
      <w:r>
        <w:rPr>
          <w:rFonts w:ascii="Consolas" w:hAnsi="Consolas"/>
          <w:sz w:val="20"/>
        </w:rPr>
        <w:t>eva-probe/.../pathology/openmidnight.py</w:t>
      </w:r>
      <w:r>
        <w:t>) toggles via env var:</w:t>
      </w:r>
    </w:p>
    <w:p>
      <w:r>
        <w:rPr>
          <w:rFonts w:ascii="Consolas" w:hAnsi="Consolas"/>
          <w:sz w:val="19"/>
        </w:rPr>
        <w:t>def openmidnight_dinov2_vitg14_reg(include_patch_tokens=False, **kwargs):</w:t>
        <w:br/>
        <w:t xml:space="preserve">    base = torch.hub.load("facebookresearch/dinov2", "dinov2_vitg14_reg",</w:t>
        <w:br/>
        <w:t xml:space="preserve">                          pretrained=True)</w:t>
        <w:br/>
        <w:t xml:space="preserve">    def _forward(self, x):</w:t>
        <w:br/>
        <w:t xml:space="preserve">        feats = self.forward_features(x)</w:t>
        <w:br/>
        <w:t xml:space="preserve">        cls = feats["x_norm_clstoken"]                      # (B, 1536)</w:t>
        <w:br/>
        <w:t xml:space="preserve">        if include_patch_tokens:</w:t>
        <w:br/>
        <w:t xml:space="preserve">            patch_mean = feats["x_norm_patchtokens"].mean(1)  # (B, 1536)</w:t>
        <w:br/>
        <w:t xml:space="preserve">            return torch.cat([cls, patch_mean], dim=-1)       # (B, 3072)</w:t>
        <w:br/>
        <w:t xml:space="preserve">        return cls</w:t>
        <w:br/>
        <w:t xml:space="preserve">    base.forward = _forward.__get__(base, type(base))</w:t>
        <w:br/>
        <w:t xml:space="preserve">    return base</w:t>
      </w:r>
    </w:p>
    <w:p>
      <w:r>
        <w:t xml:space="preserve">The wrapper is wired into each eval config via </w:t>
      </w:r>
      <w:r>
        <w:rPr>
          <w:rFonts w:ascii="Consolas" w:hAnsi="Consolas"/>
          <w:sz w:val="20"/>
        </w:rPr>
        <w:t>ModelFromFunction</w:t>
      </w:r>
      <w:r>
        <w:t>, with all knobs exposed as env vars so a single set of configs serves every protocol variant:</w:t>
      </w:r>
    </w:p>
    <w:p>
      <w:r>
        <w:rPr>
          <w:rFonts w:ascii="Consolas" w:hAnsi="Consolas"/>
          <w:sz w:val="19"/>
        </w:rPr>
        <w:t># eval_configs/bach.yaml (and 9 other classification + slide configs)</w:t>
        <w:br/>
        <w:t>backbone:</w:t>
        <w:br/>
        <w:t xml:space="preserve">  class_path: eva.core.models.wrappers.ModelFromFunction</w:t>
        <w:br/>
        <w:t xml:space="preserve">  init_args:</w:t>
        <w:br/>
        <w:t xml:space="preserve">    path: eva.vision.models.networks.backbones.pathology.openmidnight</w:t>
        <w:br/>
        <w:t xml:space="preserve">          .openmidnight_dinov2_vitg14_reg</w:t>
        <w:br/>
        <w:t xml:space="preserve">    arguments:</w:t>
        <w:br/>
        <w:t xml:space="preserve">      include_patch_tokens:  ${oc.env:INCLUDE_PATCH_TOKENS, false}</w:t>
        <w:br/>
        <w:t xml:space="preserve">      interpolate_offset:    ${oc.env:INTERPOLATE_OFFSET, 0.1}</w:t>
        <w:br/>
        <w:t xml:space="preserve">      interpolate_antialias: ${oc.env:INTERPOLATE_ANTIALIAS, false}</w:t>
        <w:br/>
        <w:t xml:space="preserve">    checkpoint_path: ${oc.env:CHECKPOINT_PATH, ...}</w:t>
      </w:r>
    </w:p>
    <w:p>
      <w:r>
        <w:t xml:space="preserve">Segmentation tasks bypass this and use spatial patch features (1536-dim) into </w:t>
      </w:r>
      <w:r>
        <w:rPr>
          <w:rFonts w:ascii="Consolas" w:hAnsi="Consolas"/>
          <w:sz w:val="20"/>
        </w:rPr>
        <w:t>ConvDecoderWithImage</w:t>
      </w:r>
      <w:r>
        <w:t xml:space="preserve">. Input resize switched from 224 → 392 for all high-res evals (via env var </w:t>
      </w:r>
      <w:r>
        <w:rPr>
          <w:rFonts w:ascii="Consolas" w:hAnsi="Consolas"/>
          <w:sz w:val="20"/>
        </w:rPr>
        <w:t>RESIZE_DIM</w:t>
      </w:r>
      <w:r>
        <w:t>).</w:t>
      </w:r>
    </w:p>
    <w:p/>
    <w:p>
      <w:pPr>
        <w:pStyle w:val="Heading2"/>
      </w:pPr>
      <w:r>
        <w:t>2. Bugs we found, and what they invalidate</w:t>
      </w:r>
    </w:p>
    <w:p>
      <w:r>
        <w:t>Several latent bugs in train and eval code surfaced over the course of this work. Worth listing because most pre-fix run results — including everything in the original handoff doc's results table — are wrong.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vAlign w:val="cente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#</w:t>
            </w:r>
          </w:p>
        </w:tc>
        <w:tc>
          <w:tcPr>
            <w:tcW w:type="dxa" w:w="2412"/>
            <w:vAlign w:val="cente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Bug</w:t>
            </w:r>
          </w:p>
        </w:tc>
        <w:tc>
          <w:tcPr>
            <w:tcW w:type="dxa" w:w="2412"/>
            <w:vAlign w:val="cente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Location</w:t>
            </w:r>
          </w:p>
        </w:tc>
        <w:tc>
          <w:tcPr>
            <w:tcW w:type="dxa" w:w="2412"/>
            <w:vAlign w:val="cente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Effect</w:t>
            </w:r>
          </w:p>
        </w:tc>
      </w:tr>
      <w:tr>
        <w:tc>
          <w:tcPr>
            <w:tcW w:type="dxa" w:w="2412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Eval check fires per micro-step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train.py:1222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With </w:t>
            </w:r>
            <w:r>
              <w:rPr>
                <w:rFonts w:ascii="Consolas" w:hAnsi="Consolas"/>
                <w:sz w:val="18"/>
              </w:rPr>
              <w:t>accum=N</w:t>
            </w:r>
            <w:r>
              <w:rPr>
                <w:sz w:val="18"/>
              </w:rPr>
              <w:t xml:space="preserve">, in-training </w:t>
            </w:r>
            <w:r>
              <w:rPr>
                <w:rFonts w:ascii="Consolas" w:hAnsi="Consolas"/>
                <w:sz w:val="18"/>
              </w:rPr>
              <w:t>do_test()</w:t>
            </w:r>
            <w:r>
              <w:rPr>
                <w:sz w:val="18"/>
              </w:rPr>
              <w:t xml:space="preserve"> runs N× per period. With accum=12, the first warmstart attempt (51408) burned ~108 min on iter-0 evals before any optimizer step.</w:t>
            </w:r>
          </w:p>
        </w:tc>
      </w:tr>
      <w:tr>
        <w:tc>
          <w:tcPr>
            <w:tcW w:type="dxa" w:w="2412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log_every</w:t>
            </w:r>
            <w:r>
              <w:rPr>
                <w:sz w:val="18"/>
              </w:rPr>
              <w:t xml:space="preserve"> exits at yield count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helpers.py:136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train.py:1209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Training loop breaks at </w:t>
            </w:r>
            <w:r>
              <w:rPr>
                <w:rFonts w:ascii="Consolas" w:hAnsi="Consolas"/>
                <w:sz w:val="18"/>
              </w:rPr>
              <w:t>(eta_target_iter+1)</w:t>
            </w:r>
            <w:r>
              <w:rPr>
                <w:sz w:val="18"/>
              </w:rPr>
              <w:t xml:space="preserve"> </w:t>
            </w:r>
            <w:r>
              <w:rPr>
                <w:i/>
                <w:sz w:val="18"/>
              </w:rPr>
              <w:t>data-loader yields</w:t>
            </w:r>
            <w:r>
              <w:rPr>
                <w:sz w:val="18"/>
              </w:rPr>
              <w:t xml:space="preserve">. With accum=12 that's only 5k opt steps, not 60k. </w:t>
            </w:r>
            <w:r>
              <w:rPr>
                <w:b/>
                <w:sz w:val="18"/>
              </w:rPr>
              <w:t>All warmstart and ablation runs from May 10–11 (51417, 51439, 51440, 51443, 51444) "completed" but trained for 1/N of their target. They appear in W&amp;B as full runs.</w:t>
            </w:r>
          </w:p>
        </w:tc>
      </w:tr>
      <w:tr>
        <w:tc>
          <w:tcPr>
            <w:tcW w:type="dxa" w:w="2412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IN_FEATURES=3072</w:t>
            </w:r>
            <w:r>
              <w:rPr>
                <w:sz w:val="18"/>
              </w:rPr>
              <w:t xml:space="preserve"> leaks into seg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eval_configs/consep.yaml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monusac.yaml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Seg decoder expects 1536-dim spatial features, fails with </w:t>
            </w:r>
            <w:r>
              <w:rPr>
                <w:rFonts w:ascii="Consolas" w:hAnsi="Consolas"/>
                <w:sz w:val="18"/>
              </w:rPr>
              <w:t>expected 1536, got 3072 channels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412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PATIENCE=999999</w:t>
            </w:r>
            <w:r>
              <w:rPr>
                <w:sz w:val="18"/>
              </w:rPr>
              <w:t xml:space="preserve"> wrong for seg </w:t>
            </w:r>
            <w:r>
              <w:rPr>
                <w:rFonts w:ascii="Consolas" w:hAnsi="Consolas"/>
                <w:sz w:val="18"/>
              </w:rPr>
              <w:t>fit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sbatch env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Disables early stopping, forces decoder to train full 12500 steps → time-limit.</w:t>
            </w:r>
          </w:p>
        </w:tc>
      </w:tr>
      <w:tr>
        <w:tc>
          <w:tcPr>
            <w:tcW w:type="dxa" w:w="2412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PYTORCH_CUDA_ALLOC_CONF</w:t>
            </w:r>
            <w:r>
              <w:rPr>
                <w:sz w:val="18"/>
              </w:rPr>
              <w:t xml:space="preserve"> not set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sbatch env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Memory fragmentation OOM around iter ~25k. Killed ablation_lr5e-5 mid-run (51409).</w:t>
            </w:r>
          </w:p>
        </w:tc>
      </w:tr>
      <w:tr>
        <w:tc>
          <w:tcPr>
            <w:tcW w:type="dxa" w:w="2412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${PYTHONPATH}</w:t>
            </w:r>
            <w:r>
              <w:rPr>
                <w:sz w:val="18"/>
              </w:rPr>
              <w:t xml:space="preserve"> unbound under </w:t>
            </w:r>
            <w:r>
              <w:rPr>
                <w:rFonts w:ascii="Consolas" w:hAnsi="Consolas"/>
                <w:sz w:val="18"/>
              </w:rPr>
              <w:t>set -u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run_*.sbatch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Sbatch dies 1s after launch. Took out one round of Node 1/Node 2 submissions (51487, 51488).</w:t>
            </w:r>
          </w:p>
        </w:tc>
      </w:tr>
    </w:tbl>
    <w:p>
      <w:r>
        <w:t>All fixed. The post-fix training runs are 51493 (Node 1) and 51494 (Node 2); the post-fix evals start from 51486.</w:t>
      </w:r>
    </w:p>
    <w:p>
      <w:r>
        <w:rPr>
          <w:b/>
        </w:rPr>
        <w:t>Limitation:</w:t>
      </w:r>
      <w:r>
        <w:t xml:space="preserve"> bugs 1 and 2 mean we have </w:t>
      </w:r>
      <w:r>
        <w:rPr>
          <w:i/>
        </w:rPr>
        <w:t>no</w:t>
      </w:r>
      <w:r>
        <w:t xml:space="preserve"> checkpoint trained to convergence at paper's effective batch. The warmstart_5k checkpoint is the closest, and at 5k opt steps (still in LR warmup) it carries genuinely partial signal.</w:t>
      </w:r>
    </w:p>
    <w:p/>
    <w:p>
      <w:pPr>
        <w:pStyle w:val="Heading2"/>
      </w:pPr>
      <w:r>
        <w:t>3. What we ran</w:t>
      </w:r>
    </w:p>
    <w:p>
      <w:r>
        <w:t>Three classes of experiments:</w:t>
      </w:r>
    </w:p>
    <w:p>
      <w:r>
        <w:rPr>
          <w:b/>
        </w:rPr>
        <w:t>Baselines.</w:t>
      </w:r>
      <w:r>
        <w:t xml:space="preserve"> Phase 1 evaluated unchanged at both 224 and 392 px input, with CLS+Mean. Closes the question of how much of the eventual high-res "gain" comes from the eval transform alone.</w:t>
      </w:r>
    </w:p>
    <w:p>
      <w:r>
        <w:rPr>
          <w:b/>
        </w:rPr>
        <w:t>Trainings.</w:t>
      </w:r>
      <w:r>
        <w:t xml:space="preserve"> One 5k-step run at paper-matching effective batch (warmstart_5k, ID 51417 — meant to be 60k but log_every-truncated). Two 30k-step runs at 1/3 effective batch: Node 1 (51493, drop_path=0.4) and Node 2 (51494, drop_path=0.2). Earlier this week, four single-knob ablations (lr=5e-5, drop_path=0.2, global_crops_scale=[0.5,1.0], iBOT mask=[0.1,0.3]) were also run at accum=4 but all truncated to ~7.5k opt steps and clustered within 0.05 of each other on total loss — no knob differentiated under truncation.</w:t>
      </w:r>
    </w:p>
    <w:p>
      <w:r>
        <w:rPr>
          <w:b/>
        </w:rPr>
        <w:t>Eval matrix.</w:t>
      </w:r>
      <w:r>
        <w:t xml:space="preserve"> Each of the three usable training checkpoints (warmstart_5k, Node 1, Node 2) evaluated under both CLS+Mean and CLS-only protocols, giving 6 full EVA runs. P1 segmentation re-evaluated at both 224 and 392 px to close the seg baseline gap.</w:t>
      </w:r>
    </w:p>
    <w:p>
      <w:r>
        <w:rPr>
          <w:b/>
        </w:rPr>
        <w:t>Prior session (pre-fix), kept for historical narrative only.</w:t>
      </w:r>
      <w:r>
        <w:t xml:space="preserve"> ~8 training runs were attempted before this week from a prior Claude Code session, results in </w:t>
      </w:r>
      <w:r>
        <w:rPr>
          <w:rFonts w:ascii="Consolas" w:hAnsi="Consolas"/>
          <w:sz w:val="20"/>
        </w:rPr>
        <w:t>HIGHRES_FINETUNING_GUIDE.md</w:t>
      </w:r>
      <w:r>
        <w:t xml:space="preserve"> §8. They used pre-fix train code (bugs 1 and 2 both active) and CLS-only eval (the wrapper didn't exist yet). Their numbers can't be directly compared to anything below; the best of them (phase2_averaged_25M_noes) reported CoNSeP +3pp / MoNuSAC +5pp vs P1@224 but BreakHis −13pp.</w:t>
      </w:r>
    </w:p>
    <w:p>
      <w:pPr>
        <w:jc w:val="center"/>
      </w:pPr>
      <w:r>
        <w:rPr>
          <w:i/>
          <w:color w:val="666666"/>
          <w:sz w:val="20"/>
        </w:rPr>
        <w:t>[Figure placeholder] Loss curves across all post-fix trainings (W&amp;B), indexed by optimizer step</w:t>
      </w:r>
    </w:p>
    <w:p/>
    <w:p>
      <w:pPr>
        <w:pStyle w:val="Heading2"/>
      </w:pPr>
      <w:r>
        <w:t>4. Results</w:t>
      </w:r>
    </w:p>
    <w:p>
      <w:pPr>
        <w:pStyle w:val="Heading3"/>
      </w:pPr>
      <w:r>
        <w:t>4.1 Headline table</w:t>
      </w:r>
    </w:p>
    <w:p>
      <w:r>
        <w:t xml:space="preserve">CSV form: </w:t>
      </w:r>
      <w:r>
        <w:rPr>
          <w:rFonts w:ascii="Consolas" w:hAnsi="Consolas"/>
          <w:sz w:val="20"/>
        </w:rPr>
        <w:t>highres_comparison.csv</w:t>
      </w:r>
      <w:r>
        <w:t xml:space="preserve">. Numbers are </w:t>
      </w:r>
      <w:r>
        <w:rPr>
          <w:rFonts w:ascii="Consolas" w:hAnsi="Consolas"/>
          <w:sz w:val="20"/>
        </w:rPr>
        <w:t>val/MulticlassAccuracy</w:t>
      </w:r>
      <w:r>
        <w:t xml:space="preserve"> or </w:t>
      </w:r>
      <w:r>
        <w:rPr>
          <w:rFonts w:ascii="Consolas" w:hAnsi="Consolas"/>
          <w:sz w:val="20"/>
        </w:rPr>
        <w:t>test/BinaryBalancedAccuracy</w:t>
      </w:r>
      <w:r>
        <w:t xml:space="preserve"> for classification, </w:t>
      </w:r>
      <w:r>
        <w:rPr>
          <w:rFonts w:ascii="Consolas" w:hAnsi="Consolas"/>
          <w:sz w:val="20"/>
        </w:rPr>
        <w:t>MonaiDiceScore</w:t>
      </w:r>
      <w:r>
        <w:t xml:space="preserve"> for segmentation, </w:t>
      </w:r>
      <w:r>
        <w:rPr>
          <w:rFonts w:ascii="Consolas" w:hAnsi="Consolas"/>
          <w:sz w:val="20"/>
        </w:rPr>
        <w:t>test/MulticlassAccuracy</w:t>
      </w:r>
      <w:r>
        <w:t xml:space="preserve"> for slide-level tasks. All non-seg tasks use CLS+Mean (3072-dim); seg uses spatial patch features (1536-dim).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689"/>
        <w:gridCol w:w="689"/>
        <w:gridCol w:w="689"/>
        <w:gridCol w:w="689"/>
        <w:gridCol w:w="689"/>
        <w:gridCol w:w="689"/>
        <w:gridCol w:w="689"/>
        <w:gridCol w:w="689"/>
        <w:gridCol w:w="689"/>
        <w:gridCol w:w="689"/>
        <w:gridCol w:w="689"/>
        <w:gridCol w:w="689"/>
        <w:gridCol w:w="689"/>
        <w:gridCol w:w="689"/>
      </w:tblGrid>
      <w:tr>
        <w:tc>
          <w:tcPr>
            <w:tcW w:type="dxa" w:w="689"/>
            <w:vAlign w:val="cente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Model</w:t>
            </w:r>
          </w:p>
        </w:tc>
        <w:tc>
          <w:tcPr>
            <w:tcW w:type="dxa" w:w="689"/>
            <w:vAlign w:val="cente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pc10</w:t>
            </w:r>
          </w:p>
        </w:tc>
        <w:tc>
          <w:tcPr>
            <w:tcW w:type="dxa" w:w="689"/>
            <w:vAlign w:val="cente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bach</w:t>
            </w:r>
          </w:p>
        </w:tc>
        <w:tc>
          <w:tcPr>
            <w:tcW w:type="dxa" w:w="689"/>
            <w:vAlign w:val="cente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brcs</w:t>
            </w:r>
          </w:p>
        </w:tc>
        <w:tc>
          <w:tcPr>
            <w:tcW w:type="dxa" w:w="689"/>
            <w:vAlign w:val="cente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bkhs</w:t>
            </w:r>
          </w:p>
        </w:tc>
        <w:tc>
          <w:tcPr>
            <w:tcW w:type="dxa" w:w="689"/>
            <w:vAlign w:val="cente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crc</w:t>
            </w:r>
          </w:p>
        </w:tc>
        <w:tc>
          <w:tcPr>
            <w:tcW w:type="dxa" w:w="689"/>
            <w:vAlign w:val="cente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glsn</w:t>
            </w:r>
          </w:p>
        </w:tc>
        <w:tc>
          <w:tcPr>
            <w:tcW w:type="dxa" w:w="689"/>
            <w:vAlign w:val="cente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mhst</w:t>
            </w:r>
          </w:p>
        </w:tc>
        <w:tc>
          <w:tcPr>
            <w:tcW w:type="dxa" w:w="689"/>
            <w:vAlign w:val="cente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pc</w:t>
            </w:r>
          </w:p>
        </w:tc>
        <w:tc>
          <w:tcPr>
            <w:tcW w:type="dxa" w:w="689"/>
            <w:vAlign w:val="cente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c16</w:t>
            </w:r>
          </w:p>
        </w:tc>
        <w:tc>
          <w:tcPr>
            <w:tcW w:type="dxa" w:w="689"/>
            <w:vAlign w:val="cente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pnd</w:t>
            </w:r>
          </w:p>
        </w:tc>
        <w:tc>
          <w:tcPr>
            <w:tcW w:type="dxa" w:w="689"/>
            <w:vAlign w:val="cente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cnsp</w:t>
            </w:r>
          </w:p>
        </w:tc>
        <w:tc>
          <w:tcPr>
            <w:tcW w:type="dxa" w:w="689"/>
            <w:vAlign w:val="cente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mnsc</w:t>
            </w:r>
          </w:p>
        </w:tc>
        <w:tc>
          <w:tcPr>
            <w:tcW w:type="dxa" w:w="689"/>
            <w:vAlign w:val="cente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HEST</w:t>
            </w:r>
          </w:p>
        </w:tc>
      </w:tr>
      <w:tr>
        <w:tc>
          <w:tcPr>
            <w:tcW w:type="dxa" w:w="689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P1 @ 224, ours</w:t>
            </w:r>
          </w:p>
        </w:tc>
        <w:tc>
          <w:tcPr>
            <w:tcW w:type="dxa" w:w="689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0.821</w:t>
            </w:r>
          </w:p>
        </w:tc>
        <w:tc>
          <w:tcPr>
            <w:tcW w:type="dxa" w:w="689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0.917</w:t>
            </w:r>
          </w:p>
        </w:tc>
        <w:tc>
          <w:tcPr>
            <w:tcW w:type="dxa" w:w="689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0.645</w:t>
            </w:r>
          </w:p>
        </w:tc>
        <w:tc>
          <w:tcPr>
            <w:tcW w:type="dxa" w:w="689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0.908</w:t>
            </w:r>
          </w:p>
        </w:tc>
        <w:tc>
          <w:tcPr>
            <w:tcW w:type="dxa" w:w="689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0.967</w:t>
            </w:r>
          </w:p>
        </w:tc>
        <w:tc>
          <w:tcPr>
            <w:tcW w:type="dxa" w:w="689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0.824</w:t>
            </w:r>
          </w:p>
        </w:tc>
        <w:tc>
          <w:tcPr>
            <w:tcW w:type="dxa" w:w="689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0.832</w:t>
            </w:r>
          </w:p>
        </w:tc>
        <w:tc>
          <w:tcPr>
            <w:tcW w:type="dxa" w:w="689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0.933</w:t>
            </w:r>
          </w:p>
        </w:tc>
        <w:tc>
          <w:tcPr>
            <w:tcW w:type="dxa" w:w="689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0.835</w:t>
            </w:r>
          </w:p>
        </w:tc>
        <w:tc>
          <w:tcPr>
            <w:tcW w:type="dxa" w:w="689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0.652</w:t>
            </w:r>
          </w:p>
        </w:tc>
        <w:tc>
          <w:tcPr>
            <w:tcW w:type="dxa" w:w="689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0.623</w:t>
            </w:r>
          </w:p>
        </w:tc>
        <w:tc>
          <w:tcPr>
            <w:tcW w:type="dxa" w:w="689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0.649</w:t>
            </w:r>
          </w:p>
        </w:tc>
        <w:tc>
          <w:tcPr>
            <w:tcW w:type="dxa" w:w="689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689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P1 @ 392, ours</w:t>
            </w:r>
          </w:p>
        </w:tc>
        <w:tc>
          <w:tcPr>
            <w:tcW w:type="dxa" w:w="689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0.769</w:t>
            </w:r>
          </w:p>
        </w:tc>
        <w:tc>
          <w:tcPr>
            <w:tcW w:type="dxa" w:w="689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0.917</w:t>
            </w:r>
          </w:p>
        </w:tc>
        <w:tc>
          <w:tcPr>
            <w:tcW w:type="dxa" w:w="689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0.655</w:t>
            </w:r>
          </w:p>
        </w:tc>
        <w:tc>
          <w:tcPr>
            <w:tcW w:type="dxa" w:w="689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0.842</w:t>
            </w:r>
          </w:p>
        </w:tc>
        <w:tc>
          <w:tcPr>
            <w:tcW w:type="dxa" w:w="689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0.966</w:t>
            </w:r>
          </w:p>
        </w:tc>
        <w:tc>
          <w:tcPr>
            <w:tcW w:type="dxa" w:w="689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0.816</w:t>
            </w:r>
          </w:p>
        </w:tc>
        <w:tc>
          <w:tcPr>
            <w:tcW w:type="dxa" w:w="689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0.829</w:t>
            </w:r>
          </w:p>
        </w:tc>
        <w:tc>
          <w:tcPr>
            <w:tcW w:type="dxa" w:w="689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0.920</w:t>
            </w:r>
          </w:p>
        </w:tc>
        <w:tc>
          <w:tcPr>
            <w:tcW w:type="dxa" w:w="689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0.814</w:t>
            </w:r>
          </w:p>
        </w:tc>
        <w:tc>
          <w:tcPr>
            <w:tcW w:type="dxa" w:w="689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0.660</w:t>
            </w:r>
          </w:p>
        </w:tc>
        <w:tc>
          <w:tcPr>
            <w:tcW w:type="dxa" w:w="689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0.646</w:t>
            </w:r>
          </w:p>
        </w:tc>
        <w:tc>
          <w:tcPr>
            <w:tcW w:type="dxa" w:w="689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0.680</w:t>
            </w:r>
          </w:p>
        </w:tc>
        <w:tc>
          <w:tcPr>
            <w:tcW w:type="dxa" w:w="689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689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Node 1 @ 392, ours</w:t>
            </w:r>
          </w:p>
        </w:tc>
        <w:tc>
          <w:tcPr>
            <w:tcW w:type="dxa" w:w="689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0.809</w:t>
            </w:r>
          </w:p>
        </w:tc>
        <w:tc>
          <w:tcPr>
            <w:tcW w:type="dxa" w:w="689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0.929</w:t>
            </w:r>
          </w:p>
        </w:tc>
        <w:tc>
          <w:tcPr>
            <w:tcW w:type="dxa" w:w="689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0.636</w:t>
            </w:r>
          </w:p>
        </w:tc>
        <w:tc>
          <w:tcPr>
            <w:tcW w:type="dxa" w:w="689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0.838</w:t>
            </w:r>
          </w:p>
        </w:tc>
        <w:tc>
          <w:tcPr>
            <w:tcW w:type="dxa" w:w="689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0.966</w:t>
            </w:r>
          </w:p>
        </w:tc>
        <w:tc>
          <w:tcPr>
            <w:tcW w:type="dxa" w:w="689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0.821</w:t>
            </w:r>
          </w:p>
        </w:tc>
        <w:tc>
          <w:tcPr>
            <w:tcW w:type="dxa" w:w="689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0.822</w:t>
            </w:r>
          </w:p>
        </w:tc>
        <w:tc>
          <w:tcPr>
            <w:tcW w:type="dxa" w:w="689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0.935</w:t>
            </w:r>
          </w:p>
        </w:tc>
        <w:tc>
          <w:tcPr>
            <w:tcW w:type="dxa" w:w="689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0.846</w:t>
            </w:r>
          </w:p>
        </w:tc>
        <w:tc>
          <w:tcPr>
            <w:tcW w:type="dxa" w:w="689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0.633</w:t>
            </w:r>
          </w:p>
        </w:tc>
        <w:tc>
          <w:tcPr>
            <w:tcW w:type="dxa" w:w="689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0.655</w:t>
            </w:r>
          </w:p>
        </w:tc>
        <w:tc>
          <w:tcPr>
            <w:tcW w:type="dxa" w:w="689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0.690</w:t>
            </w:r>
          </w:p>
        </w:tc>
        <w:tc>
          <w:tcPr>
            <w:tcW w:type="dxa" w:w="689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689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Midnight-12k (paper)</w:t>
            </w:r>
          </w:p>
        </w:tc>
        <w:tc>
          <w:tcPr>
            <w:tcW w:type="dxa" w:w="689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0.803</w:t>
            </w:r>
          </w:p>
        </w:tc>
        <w:tc>
          <w:tcPr>
            <w:tcW w:type="dxa" w:w="689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0.907</w:t>
            </w:r>
          </w:p>
        </w:tc>
        <w:tc>
          <w:tcPr>
            <w:tcW w:type="dxa" w:w="689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0.639</w:t>
            </w:r>
          </w:p>
        </w:tc>
        <w:tc>
          <w:tcPr>
            <w:tcW w:type="dxa" w:w="689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0.840</w:t>
            </w:r>
          </w:p>
        </w:tc>
        <w:tc>
          <w:tcPr>
            <w:tcW w:type="dxa" w:w="689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0.967</w:t>
            </w:r>
          </w:p>
        </w:tc>
        <w:tc>
          <w:tcPr>
            <w:tcW w:type="dxa" w:w="689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0.790</w:t>
            </w:r>
          </w:p>
        </w:tc>
        <w:tc>
          <w:tcPr>
            <w:tcW w:type="dxa" w:w="689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0.815</w:t>
            </w:r>
          </w:p>
        </w:tc>
        <w:tc>
          <w:tcPr>
            <w:tcW w:type="dxa" w:w="689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0.931</w:t>
            </w:r>
          </w:p>
        </w:tc>
        <w:tc>
          <w:tcPr>
            <w:tcW w:type="dxa" w:w="689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0.869</w:t>
            </w:r>
          </w:p>
        </w:tc>
        <w:tc>
          <w:tcPr>
            <w:tcW w:type="dxa" w:w="689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0.656</w:t>
            </w:r>
          </w:p>
        </w:tc>
        <w:tc>
          <w:tcPr>
            <w:tcW w:type="dxa" w:w="689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0.625</w:t>
            </w:r>
          </w:p>
        </w:tc>
        <w:tc>
          <w:tcPr>
            <w:tcW w:type="dxa" w:w="689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0.664</w:t>
            </w:r>
          </w:p>
        </w:tc>
        <w:tc>
          <w:tcPr>
            <w:tcW w:type="dxa" w:w="689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0.412</w:t>
            </w:r>
          </w:p>
        </w:tc>
      </w:tr>
      <w:tr>
        <w:tc>
          <w:tcPr>
            <w:tcW w:type="dxa" w:w="689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Midnight-92k (paper)</w:t>
            </w:r>
          </w:p>
        </w:tc>
        <w:tc>
          <w:tcPr>
            <w:tcW w:type="dxa" w:w="689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0.882</w:t>
            </w:r>
          </w:p>
        </w:tc>
        <w:tc>
          <w:tcPr>
            <w:tcW w:type="dxa" w:w="689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0.889</w:t>
            </w:r>
          </w:p>
        </w:tc>
        <w:tc>
          <w:tcPr>
            <w:tcW w:type="dxa" w:w="689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0.615</w:t>
            </w:r>
          </w:p>
        </w:tc>
        <w:tc>
          <w:tcPr>
            <w:tcW w:type="dxa" w:w="689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0.793</w:t>
            </w:r>
          </w:p>
        </w:tc>
        <w:tc>
          <w:tcPr>
            <w:tcW w:type="dxa" w:w="689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0.967</w:t>
            </w:r>
          </w:p>
        </w:tc>
        <w:tc>
          <w:tcPr>
            <w:tcW w:type="dxa" w:w="689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0.823</w:t>
            </w:r>
          </w:p>
        </w:tc>
        <w:tc>
          <w:tcPr>
            <w:tcW w:type="dxa" w:w="689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0.831</w:t>
            </w:r>
          </w:p>
        </w:tc>
        <w:tc>
          <w:tcPr>
            <w:tcW w:type="dxa" w:w="689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0.948</w:t>
            </w:r>
          </w:p>
        </w:tc>
        <w:tc>
          <w:tcPr>
            <w:tcW w:type="dxa" w:w="689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0.872</w:t>
            </w:r>
          </w:p>
        </w:tc>
        <w:tc>
          <w:tcPr>
            <w:tcW w:type="dxa" w:w="689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0.643</w:t>
            </w:r>
          </w:p>
        </w:tc>
        <w:tc>
          <w:tcPr>
            <w:tcW w:type="dxa" w:w="689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0.629</w:t>
            </w:r>
          </w:p>
        </w:tc>
        <w:tc>
          <w:tcPr>
            <w:tcW w:type="dxa" w:w="689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0.656</w:t>
            </w:r>
          </w:p>
        </w:tc>
        <w:tc>
          <w:tcPr>
            <w:tcW w:type="dxa" w:w="689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0.425</w:t>
            </w:r>
          </w:p>
        </w:tc>
      </w:tr>
      <w:tr>
        <w:tc>
          <w:tcPr>
            <w:tcW w:type="dxa" w:w="689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Midnight-92k/392 (paper)</w:t>
            </w:r>
          </w:p>
        </w:tc>
        <w:tc>
          <w:tcPr>
            <w:tcW w:type="dxa" w:w="689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0.900</w:t>
            </w:r>
          </w:p>
        </w:tc>
        <w:tc>
          <w:tcPr>
            <w:tcW w:type="dxa" w:w="689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0.904</w:t>
            </w:r>
          </w:p>
        </w:tc>
        <w:tc>
          <w:tcPr>
            <w:tcW w:type="dxa" w:w="689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0.646</w:t>
            </w:r>
          </w:p>
        </w:tc>
        <w:tc>
          <w:tcPr>
            <w:tcW w:type="dxa" w:w="689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0.802</w:t>
            </w:r>
          </w:p>
        </w:tc>
        <w:tc>
          <w:tcPr>
            <w:tcW w:type="dxa" w:w="689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0.966</w:t>
            </w:r>
          </w:p>
        </w:tc>
        <w:tc>
          <w:tcPr>
            <w:tcW w:type="dxa" w:w="689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0.807</w:t>
            </w:r>
          </w:p>
        </w:tc>
        <w:tc>
          <w:tcPr>
            <w:tcW w:type="dxa" w:w="689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0.828</w:t>
            </w:r>
          </w:p>
        </w:tc>
        <w:tc>
          <w:tcPr>
            <w:tcW w:type="dxa" w:w="689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0.951</w:t>
            </w:r>
          </w:p>
        </w:tc>
        <w:tc>
          <w:tcPr>
            <w:tcW w:type="dxa" w:w="689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0.868</w:t>
            </w:r>
          </w:p>
        </w:tc>
        <w:tc>
          <w:tcPr>
            <w:tcW w:type="dxa" w:w="689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0.651</w:t>
            </w:r>
          </w:p>
        </w:tc>
        <w:tc>
          <w:tcPr>
            <w:tcW w:type="dxa" w:w="689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0.662</w:t>
            </w:r>
          </w:p>
        </w:tc>
        <w:tc>
          <w:tcPr>
            <w:tcW w:type="dxa" w:w="689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0.708</w:t>
            </w:r>
          </w:p>
        </w:tc>
        <w:tc>
          <w:tcPr>
            <w:tcW w:type="dxa" w:w="689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0.415</w:t>
            </w:r>
          </w:p>
        </w:tc>
      </w:tr>
    </w:tbl>
    <w:p>
      <w:pPr>
        <w:pStyle w:val="Heading3"/>
      </w:pPr>
      <w:r>
        <w:t>4.2 The eval-at-392 effect</w:t>
      </w:r>
    </w:p>
    <w:p>
      <w:r>
        <w:t>Feeding 392 px input through Phase 1 (no training) via dynamic pos_embed interpolation gives most of the segmentation gain the paper attributes to high-res training: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vAlign w:val="cente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Task</w:t>
            </w:r>
          </w:p>
        </w:tc>
        <w:tc>
          <w:tcPr>
            <w:tcW w:type="dxa" w:w="1930"/>
            <w:vAlign w:val="cente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P1@224</w:t>
            </w:r>
          </w:p>
        </w:tc>
        <w:tc>
          <w:tcPr>
            <w:tcW w:type="dxa" w:w="1930"/>
            <w:vAlign w:val="cente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P1@392</w:t>
            </w:r>
          </w:p>
        </w:tc>
        <w:tc>
          <w:tcPr>
            <w:tcW w:type="dxa" w:w="1930"/>
            <w:vAlign w:val="cente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Δ from eval change alone</w:t>
            </w:r>
          </w:p>
        </w:tc>
        <w:tc>
          <w:tcPr>
            <w:tcW w:type="dxa" w:w="1930"/>
            <w:vAlign w:val="cente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Δ Node 1 over P1@392</w:t>
            </w:r>
          </w:p>
        </w:tc>
      </w:tr>
      <w:tr>
        <w:tc>
          <w:tcPr>
            <w:tcW w:type="dxa" w:w="1930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CoNSeP</w:t>
            </w:r>
          </w:p>
        </w:tc>
        <w:tc>
          <w:tcPr>
            <w:tcW w:type="dxa" w:w="1930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0.623</w:t>
            </w:r>
          </w:p>
        </w:tc>
        <w:tc>
          <w:tcPr>
            <w:tcW w:type="dxa" w:w="1930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0.646</w:t>
            </w:r>
          </w:p>
        </w:tc>
        <w:tc>
          <w:tcPr>
            <w:tcW w:type="dxa" w:w="1930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+2.3</w:t>
            </w:r>
          </w:p>
        </w:tc>
        <w:tc>
          <w:tcPr>
            <w:tcW w:type="dxa" w:w="1930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+0.9</w:t>
            </w:r>
          </w:p>
        </w:tc>
      </w:tr>
      <w:tr>
        <w:tc>
          <w:tcPr>
            <w:tcW w:type="dxa" w:w="1930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MoNuSAC</w:t>
            </w:r>
          </w:p>
        </w:tc>
        <w:tc>
          <w:tcPr>
            <w:tcW w:type="dxa" w:w="1930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0.649</w:t>
            </w:r>
          </w:p>
        </w:tc>
        <w:tc>
          <w:tcPr>
            <w:tcW w:type="dxa" w:w="1930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0.680</w:t>
            </w:r>
          </w:p>
        </w:tc>
        <w:tc>
          <w:tcPr>
            <w:tcW w:type="dxa" w:w="1930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+3.2</w:t>
            </w:r>
          </w:p>
        </w:tc>
        <w:tc>
          <w:tcPr>
            <w:tcW w:type="dxa" w:w="1930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+1.0</w:t>
            </w:r>
          </w:p>
        </w:tc>
      </w:tr>
    </w:tbl>
    <w:p>
      <w:r>
        <w:t xml:space="preserve">The training step adds another ~1pp on top of each, consistent with what we see in the paper's deltas vs </w:t>
      </w:r>
      <w:r>
        <w:rPr>
          <w:rFonts w:ascii="Consolas" w:hAnsi="Consolas"/>
          <w:sz w:val="20"/>
        </w:rPr>
        <w:t>Midnight-92k</w:t>
      </w:r>
      <w:r>
        <w:t>. So the paper's "segmentation gain from high-res post-training" is roughly 65–75% an eval-protocol effect and 25–35% an actual training effect. This was not obvious from the paper text and is the single most useful finding from this work.</w:t>
      </w:r>
    </w:p>
    <w:p>
      <w:r>
        <w:t xml:space="preserve">For classification, the eval-at-392 change goes the </w:t>
      </w:r>
      <w:r>
        <w:rPr>
          <w:i/>
        </w:rPr>
        <w:t>other</w:t>
      </w:r>
      <w:r>
        <w:t xml:space="preserve"> way: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vAlign w:val="cente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Task</w:t>
            </w:r>
          </w:p>
        </w:tc>
        <w:tc>
          <w:tcPr>
            <w:tcW w:type="dxa" w:w="2412"/>
            <w:vAlign w:val="cente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P1@224</w:t>
            </w:r>
          </w:p>
        </w:tc>
        <w:tc>
          <w:tcPr>
            <w:tcW w:type="dxa" w:w="2412"/>
            <w:vAlign w:val="cente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P1@392</w:t>
            </w:r>
          </w:p>
        </w:tc>
        <w:tc>
          <w:tcPr>
            <w:tcW w:type="dxa" w:w="2412"/>
            <w:vAlign w:val="cente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Δ from eval change alone</w:t>
            </w:r>
          </w:p>
        </w:tc>
      </w:tr>
      <w:tr>
        <w:tc>
          <w:tcPr>
            <w:tcW w:type="dxa" w:w="2412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BreakHis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0.908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0.842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−6.6</w:t>
            </w:r>
          </w:p>
        </w:tc>
      </w:tr>
      <w:tr>
        <w:tc>
          <w:tcPr>
            <w:tcW w:type="dxa" w:w="2412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PCam_10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0.821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0.769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−5.2</w:t>
            </w:r>
          </w:p>
        </w:tc>
      </w:tr>
      <w:tr>
        <w:tc>
          <w:tcPr>
            <w:tcW w:type="dxa" w:w="2412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PCam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0.933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0.920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−1.3</w:t>
            </w:r>
          </w:p>
        </w:tc>
      </w:tr>
    </w:tbl>
    <w:p>
      <w:r>
        <w:t xml:space="preserve">In the original handoff doc, BreakHis going 0.886 → 0.756 in </w:t>
      </w:r>
      <w:r>
        <w:rPr>
          <w:rFonts w:ascii="Consolas" w:hAnsi="Consolas"/>
          <w:sz w:val="20"/>
        </w:rPr>
        <w:t>phase2_averaged_25M_noes</w:t>
      </w:r>
      <w:r>
        <w:t xml:space="preserve"> was attributed to bad finetuning. Most of that was just feeding 392 px through Phase 1 hurting BreakHis, plus the training step not fully recovering it.</w:t>
      </w:r>
    </w:p>
    <w:p>
      <w:pPr>
        <w:pStyle w:val="Heading3"/>
      </w:pPr>
      <w:r>
        <w:t>4.3 Did the training help?</w:t>
      </w:r>
    </w:p>
    <w:p>
      <w:r>
        <w:t>Apples-to-apples: Node 1 (high-res-trained, evaluated at 392) vs Phase 1 (not trained, evaluated at 392). Same input resolution, same eval protocol.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vAlign w:val="cente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Task</w:t>
            </w:r>
          </w:p>
        </w:tc>
        <w:tc>
          <w:tcPr>
            <w:tcW w:type="dxa" w:w="2412"/>
            <w:vAlign w:val="cente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P1@392</w:t>
            </w:r>
          </w:p>
        </w:tc>
        <w:tc>
          <w:tcPr>
            <w:tcW w:type="dxa" w:w="2412"/>
            <w:vAlign w:val="cente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Node 1</w:t>
            </w:r>
          </w:p>
        </w:tc>
        <w:tc>
          <w:tcPr>
            <w:tcW w:type="dxa" w:w="2412"/>
            <w:vAlign w:val="cente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Δ</w:t>
            </w:r>
          </w:p>
        </w:tc>
      </w:tr>
      <w:tr>
        <w:tc>
          <w:tcPr>
            <w:tcW w:type="dxa" w:w="2412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pc10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0.769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0.809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+4.0</w:t>
            </w:r>
          </w:p>
        </w:tc>
      </w:tr>
      <w:tr>
        <w:tc>
          <w:tcPr>
            <w:tcW w:type="dxa" w:w="2412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bach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0.917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0.929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+1.3</w:t>
            </w:r>
          </w:p>
        </w:tc>
      </w:tr>
      <w:tr>
        <w:tc>
          <w:tcPr>
            <w:tcW w:type="dxa" w:w="2412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brcs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0.655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0.636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−1.9</w:t>
            </w:r>
          </w:p>
        </w:tc>
      </w:tr>
      <w:tr>
        <w:tc>
          <w:tcPr>
            <w:tcW w:type="dxa" w:w="2412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bkhs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0.842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0.838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−0.4</w:t>
            </w:r>
          </w:p>
        </w:tc>
      </w:tr>
      <w:tr>
        <w:tc>
          <w:tcPr>
            <w:tcW w:type="dxa" w:w="2412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crc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0.966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0.966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</w:tr>
      <w:tr>
        <w:tc>
          <w:tcPr>
            <w:tcW w:type="dxa" w:w="2412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glsn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0.816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0.821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+0.5</w:t>
            </w:r>
          </w:p>
        </w:tc>
      </w:tr>
      <w:tr>
        <w:tc>
          <w:tcPr>
            <w:tcW w:type="dxa" w:w="2412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mhst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0.829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0.822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−0.7</w:t>
            </w:r>
          </w:p>
        </w:tc>
      </w:tr>
      <w:tr>
        <w:tc>
          <w:tcPr>
            <w:tcW w:type="dxa" w:w="2412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pc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0.920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0.935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+1.5</w:t>
            </w:r>
          </w:p>
        </w:tc>
      </w:tr>
      <w:tr>
        <w:tc>
          <w:tcPr>
            <w:tcW w:type="dxa" w:w="2412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c16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0.814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0.846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+3.2</w:t>
            </w:r>
          </w:p>
        </w:tc>
      </w:tr>
      <w:tr>
        <w:tc>
          <w:tcPr>
            <w:tcW w:type="dxa" w:w="2412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pnd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0.660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0.633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−2.7</w:t>
            </w:r>
          </w:p>
        </w:tc>
      </w:tr>
      <w:tr>
        <w:tc>
          <w:tcPr>
            <w:tcW w:type="dxa" w:w="2412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cnsp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0.646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0.655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+0.9</w:t>
            </w:r>
          </w:p>
        </w:tc>
      </w:tr>
      <w:tr>
        <w:tc>
          <w:tcPr>
            <w:tcW w:type="dxa" w:w="2412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mnsc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0.680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0.690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+1.0</w:t>
            </w:r>
          </w:p>
        </w:tc>
      </w:tr>
      <w:tr>
        <w:tc>
          <w:tcPr>
            <w:tcW w:type="dxa" w:w="2412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Avg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+0.5</w:t>
            </w:r>
          </w:p>
        </w:tc>
      </w:tr>
    </w:tbl>
    <w:p>
      <w:r>
        <w:t>Net positive but smaller than the paper's reported ~+1pp average. The strongest gains are on PCam_10 (+4) and Cam16 (+3.2), both of which got hit hardest by the eval-at-392 transform — the training is recovering, not adding new capability. BACH (+1.3) and the two seg tasks (+1 each) are the only places where we see clean additive gain. Three regressions: BRACS, MHIST, Panda (all in the −0.7 to −2.7 range).</w:t>
      </w:r>
    </w:p>
    <w:p>
      <w:pPr>
        <w:jc w:val="center"/>
      </w:pPr>
      <w:r>
        <w:rPr>
          <w:i/>
          <w:color w:val="666666"/>
          <w:sz w:val="20"/>
        </w:rPr>
        <w:t>[Figure placeholder] Per-task bars: P1@224 vs P1@392 vs Node 1</w:t>
      </w:r>
    </w:p>
    <w:p>
      <w:pPr>
        <w:pStyle w:val="Heading3"/>
      </w:pPr>
      <w:r>
        <w:t>4.4 5k paper-batch ≈ 30k third-batch</w:t>
      </w:r>
    </w:p>
    <w:p>
      <w:r>
        <w:t xml:space="preserve">The single most surprising result of the campaign. </w:t>
      </w:r>
      <w:r>
        <w:rPr>
          <w:rFonts w:ascii="Consolas" w:hAnsi="Consolas"/>
          <w:sz w:val="20"/>
        </w:rPr>
        <w:t>warmstart_5k</w:t>
      </w:r>
      <w:r>
        <w:t xml:space="preserve"> (5000 opt steps at eff batch 1152, log_every-truncated mid-LR-warmup) lands within ±2pp of Node 1 (30000 opt steps at eff batch 384, fully cosine-decayed) on every single task. 7/12 tasks within ±1pp: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vAlign w:val="cente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Task</w:t>
            </w:r>
          </w:p>
        </w:tc>
        <w:tc>
          <w:tcPr>
            <w:tcW w:type="dxa" w:w="2412"/>
            <w:vAlign w:val="cente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warmstart_5k</w:t>
            </w:r>
          </w:p>
        </w:tc>
        <w:tc>
          <w:tcPr>
            <w:tcW w:type="dxa" w:w="2412"/>
            <w:vAlign w:val="cente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Node 1</w:t>
            </w:r>
          </w:p>
        </w:tc>
        <w:tc>
          <w:tcPr>
            <w:tcW w:type="dxa" w:w="2412"/>
            <w:vAlign w:val="cente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Δ</w:t>
            </w:r>
          </w:p>
        </w:tc>
      </w:tr>
      <w:tr>
        <w:tc>
          <w:tcPr>
            <w:tcW w:type="dxa" w:w="2412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bach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0.936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0.929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−0.7</w:t>
            </w:r>
          </w:p>
        </w:tc>
      </w:tr>
      <w:tr>
        <w:tc>
          <w:tcPr>
            <w:tcW w:type="dxa" w:w="2412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brcs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0.653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0.636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−1.7</w:t>
            </w:r>
          </w:p>
        </w:tc>
      </w:tr>
      <w:tr>
        <w:tc>
          <w:tcPr>
            <w:tcW w:type="dxa" w:w="2412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bkhs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0.824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0.838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+1.4</w:t>
            </w:r>
          </w:p>
        </w:tc>
      </w:tr>
      <w:tr>
        <w:tc>
          <w:tcPr>
            <w:tcW w:type="dxa" w:w="2412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crc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0.967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0.966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flat</w:t>
            </w:r>
          </w:p>
        </w:tc>
      </w:tr>
      <w:tr>
        <w:tc>
          <w:tcPr>
            <w:tcW w:type="dxa" w:w="2412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glsn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0.828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0.821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−0.7</w:t>
            </w:r>
          </w:p>
        </w:tc>
      </w:tr>
      <w:tr>
        <w:tc>
          <w:tcPr>
            <w:tcW w:type="dxa" w:w="2412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mhst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0.822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0.822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flat</w:t>
            </w:r>
          </w:p>
        </w:tc>
      </w:tr>
      <w:tr>
        <w:tc>
          <w:tcPr>
            <w:tcW w:type="dxa" w:w="2412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pc10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0.813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0.809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flat</w:t>
            </w:r>
          </w:p>
        </w:tc>
      </w:tr>
      <w:tr>
        <w:tc>
          <w:tcPr>
            <w:tcW w:type="dxa" w:w="2412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pc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0.926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0.935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+0.9</w:t>
            </w:r>
          </w:p>
        </w:tc>
      </w:tr>
      <w:tr>
        <w:tc>
          <w:tcPr>
            <w:tcW w:type="dxa" w:w="2412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c16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0.847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0.846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flat</w:t>
            </w:r>
          </w:p>
        </w:tc>
      </w:tr>
      <w:tr>
        <w:tc>
          <w:tcPr>
            <w:tcW w:type="dxa" w:w="2412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pnd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0.661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0.633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−2.8</w:t>
            </w:r>
          </w:p>
        </w:tc>
      </w:tr>
      <w:tr>
        <w:tc>
          <w:tcPr>
            <w:tcW w:type="dxa" w:w="2412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cnsp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0.657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0.655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flat</w:t>
            </w:r>
          </w:p>
        </w:tc>
      </w:tr>
      <w:tr>
        <w:tc>
          <w:tcPr>
            <w:tcW w:type="dxa" w:w="2412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mnsc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0.691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0.690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flat</w:t>
            </w:r>
          </w:p>
        </w:tc>
      </w:tr>
    </w:tbl>
    <w:p>
      <w:r>
        <w:t xml:space="preserve">Either signal saturates very early in this fine-tuning regime, or paper batch size is doing the work and additional small-batch steps are a wash. Either way the practical implication is clear: a multi-node run at paper batch for </w:t>
      </w:r>
      <w:r>
        <w:rPr>
          <w:i/>
        </w:rPr>
        <w:t>5–10k</w:t>
      </w:r>
      <w:r>
        <w:t xml:space="preserve"> iters (not 60k or 120k) plausibly captures most of the achievable result for ~1/12 the wall-clock.</w:t>
      </w:r>
    </w:p>
    <w:p>
      <w:pPr>
        <w:pStyle w:val="Heading3"/>
      </w:pPr>
      <w:r>
        <w:t>4.5 CLS+Mean vs CLS-only</w:t>
      </w:r>
    </w:p>
    <w:p>
      <w:r>
        <w:t>On the same three checkpoints we ran both embedding protocols. Average absolute Δ across 10 non-seg tasks: ~0.9pp, mixed sign. Task-specific patterns:</w:t>
      </w:r>
    </w:p>
    <w:p>
      <w:r>
        <w:t>- CLS-only wins on BACH (+1.4-1.5pp consistently across all three checkpoints) and PCam (+0.9pp)</w:t>
      </w:r>
    </w:p>
    <w:p>
      <w:r>
        <w:t>- CLS+Mean wins on Panda (+2pp consistently)</w:t>
      </w:r>
    </w:p>
    <w:p>
      <w:r>
        <w:t>- Everything else: within ±1pp</w:t>
      </w:r>
    </w:p>
    <w:p>
      <w:r>
        <w:t>No systematic advantage either way. The paper's CLS+Mean prescription doesn't matter much for this checkpoint family — possibly because Midnight-92k benefits from the patch-mean signal while a 12k-trained model doesn't carry the same fidelity in patch tokens.</w:t>
      </w:r>
    </w:p>
    <w:p>
      <w:pPr>
        <w:pStyle w:val="Heading3"/>
      </w:pPr>
      <w:r>
        <w:t>4.6 Drop_path 0.4 vs 0.2</w:t>
      </w:r>
    </w:p>
    <w:p>
      <w:r>
        <w:t>Node 1 (drop_path=0.4, matching Phase 1) and Node 2 (drop_path=0.2, the DINOv2 finetuning default). Average |Δ| across 12 tasks: 0.5pp, no consistent direction. 30k steps is too short to see the regularization difference, or the knob simply doesn't matter for this stage.</w:t>
      </w:r>
    </w:p>
    <w:p>
      <w:pPr>
        <w:pStyle w:val="Heading3"/>
      </w:pPr>
      <w:r>
        <w:t>4.7 Against the paper's results</w:t>
      </w:r>
    </w:p>
    <w:p>
      <w:r>
        <w:rPr>
          <w:rFonts w:ascii="Consolas" w:hAnsi="Consolas"/>
          <w:sz w:val="20"/>
        </w:rPr>
        <w:t>Midnight-12k</w:t>
      </w:r>
      <w:r>
        <w:t xml:space="preserve"> (TCGA-only, 224 px) is the data-scale-matched comparison point — same WSI count as ours, but Kaiko's pretraining recipe rather than OpenMidnight's. Node 1 vs Midnight-12k: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vAlign w:val="cente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Task</w:t>
            </w:r>
          </w:p>
        </w:tc>
        <w:tc>
          <w:tcPr>
            <w:tcW w:type="dxa" w:w="2412"/>
            <w:vAlign w:val="cente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Midnight-12k</w:t>
            </w:r>
          </w:p>
        </w:tc>
        <w:tc>
          <w:tcPr>
            <w:tcW w:type="dxa" w:w="2412"/>
            <w:vAlign w:val="cente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Node 1</w:t>
            </w:r>
          </w:p>
        </w:tc>
        <w:tc>
          <w:tcPr>
            <w:tcW w:type="dxa" w:w="2412"/>
            <w:vAlign w:val="cente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Δ</w:t>
            </w:r>
          </w:p>
        </w:tc>
      </w:tr>
      <w:tr>
        <w:tc>
          <w:tcPr>
            <w:tcW w:type="dxa" w:w="2412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pc10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0.803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0.809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+0.6</w:t>
            </w:r>
          </w:p>
        </w:tc>
      </w:tr>
      <w:tr>
        <w:tc>
          <w:tcPr>
            <w:tcW w:type="dxa" w:w="2412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bach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0.907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0.929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+2.2</w:t>
            </w:r>
          </w:p>
        </w:tc>
      </w:tr>
      <w:tr>
        <w:tc>
          <w:tcPr>
            <w:tcW w:type="dxa" w:w="2412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brcs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0.639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0.636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−0.3</w:t>
            </w:r>
          </w:p>
        </w:tc>
      </w:tr>
      <w:tr>
        <w:tc>
          <w:tcPr>
            <w:tcW w:type="dxa" w:w="2412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bkhs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0.840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0.838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−0.2</w:t>
            </w:r>
          </w:p>
        </w:tc>
      </w:tr>
      <w:tr>
        <w:tc>
          <w:tcPr>
            <w:tcW w:type="dxa" w:w="2412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crc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0.967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0.966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</w:tr>
      <w:tr>
        <w:tc>
          <w:tcPr>
            <w:tcW w:type="dxa" w:w="2412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glsn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0.790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0.821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+3.1</w:t>
            </w:r>
          </w:p>
        </w:tc>
      </w:tr>
      <w:tr>
        <w:tc>
          <w:tcPr>
            <w:tcW w:type="dxa" w:w="2412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mhst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0.815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0.822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+0.7</w:t>
            </w:r>
          </w:p>
        </w:tc>
      </w:tr>
      <w:tr>
        <w:tc>
          <w:tcPr>
            <w:tcW w:type="dxa" w:w="2412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pc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0.931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0.935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+0.4</w:t>
            </w:r>
          </w:p>
        </w:tc>
      </w:tr>
      <w:tr>
        <w:tc>
          <w:tcPr>
            <w:tcW w:type="dxa" w:w="2412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c16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0.869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0.846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−2.3</w:t>
            </w:r>
          </w:p>
        </w:tc>
      </w:tr>
      <w:tr>
        <w:tc>
          <w:tcPr>
            <w:tcW w:type="dxa" w:w="2412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pnd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0.656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0.633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−2.3</w:t>
            </w:r>
          </w:p>
        </w:tc>
      </w:tr>
      <w:tr>
        <w:tc>
          <w:tcPr>
            <w:tcW w:type="dxa" w:w="2412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cnsp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0.625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0.655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+3.0</w:t>
            </w:r>
          </w:p>
        </w:tc>
      </w:tr>
      <w:tr>
        <w:tc>
          <w:tcPr>
            <w:tcW w:type="dxa" w:w="2412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mnsc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0.664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0.690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+2.6</w:t>
            </w:r>
          </w:p>
        </w:tc>
      </w:tr>
    </w:tbl>
    <w:p>
      <w:r>
        <w:t>Within ±1pp on 8/12 tasks. We beat Midnight-12k on BACH, Gleason, CoNSeP, MoNuSAC. Lose on Cam16 and Panda — both slide-level tasks, both plausibly benefiting from data diversity we can't match. This is the closest thing to validation that the pipeline is qualitatively correct.</w:t>
      </w:r>
    </w:p>
    <w:p>
      <w:r>
        <w:t xml:space="preserve">Against </w:t>
      </w:r>
      <w:r>
        <w:rPr>
          <w:rFonts w:ascii="Consolas" w:hAnsi="Consolas"/>
          <w:sz w:val="20"/>
        </w:rPr>
        <w:t>Midnight-92k/392</w:t>
      </w:r>
      <w:r>
        <w:t xml:space="preserve"> (8× more data, paper's flagship): mixed but expected. We beat them on BACH (+2.5), BreakHis (+3.6), Gleason (+1.4); lose on Cam16 (−2.2), Panda (−1.8), CoNSeP (−0.7), MoNuSAC (−1.8). The data-scale gap shows up where we'd expect.</w:t>
      </w:r>
    </w:p>
    <w:p/>
    <w:p>
      <w:pPr>
        <w:pStyle w:val="Heading2"/>
      </w:pPr>
      <w:r>
        <w:t>5. Discussion</w:t>
      </w:r>
    </w:p>
    <w:p>
      <w:r>
        <w:rPr>
          <w:b/>
        </w:rPr>
        <w:t>Why didn't we hit +1pp?</w:t>
      </w:r>
      <w:r>
        <w:t xml:space="preserve"> Most likely: data scale. The paper trains Midnight-92k on roughly 8× more WSIs than we have, including ~80k slides from a proprietary NKI set that adds substantially more morphological variety than TCGA. They claim +1pp from high-res post-training going Midnight-92k → Midnight-92k/392; we measured +0.5pp going OM Phase 1 → Node 1. They don't report Midnight-12k → Midnight-12k/392, which is the comparison we actually need. Our number isn't necessarily inconsistent with theirs at matched data scale — we just have nothing to check it against.</w:t>
      </w:r>
    </w:p>
    <w:p>
      <w:r>
        <w:t>Second contender: tile-sampling distribution. Our 25M sample list is non-uniform across magnifications because the skip rule rejects 0.125 µm/px for ~40% of slides that are 20× scans. The paper doesn't report their distribution; if their NKI scans are predominantly 40×, theirs would be more balanced at the finest magnifications. We could rebalance via per-magnification quotas but haven't tried it.</w:t>
      </w:r>
    </w:p>
    <w:p>
      <w:r>
        <w:rPr>
          <w:b/>
        </w:rPr>
        <w:t>Reframing what the paper actually does.</w:t>
      </w:r>
      <w:r>
        <w:t xml:space="preserve"> The most useful single observation: most of the segmentation gain that the paper attributes to high-res training is just an eval-protocol effect — feeding the same Phase 1 model 392 px input gets you 65–75% of the way there for free. The training step adds a real but smaller bump. This isn't called out anywhere in the paper text. Anyone reproducing should compute the eval-at-392 baseline first because it's nearly zero cost.</w:t>
      </w:r>
    </w:p>
    <w:p>
      <w:r>
        <w:rPr>
          <w:b/>
        </w:rPr>
        <w:t>Things that didn't move the needle.</w:t>
      </w:r>
      <w:r>
        <w:t xml:space="preserve"> drop_path. CLS+Mean. 5× more training steps at 1/3 batch. The four single-knob ablations. None of these created visible differentiation in our setup. Either they genuinely don't matter much or our signal-to-noise floor is too high to detect their effect.</w:t>
      </w:r>
    </w:p>
    <w:p>
      <w:r>
        <w:rPr>
          <w:b/>
        </w:rPr>
        <w:t>What we couldn't verify.</w:t>
      </w:r>
      <w:r>
        <w:t xml:space="preserve"> HEST gene regression (never set up). Paper's full 120k iters at full effective batch (single-node bottleneck). Starting from the released Midnight-12k checkpoint instead of our Phase 1 (would isolate "starting checkpoint" from "everything else"). Smaller backbones (ViT-B/L would let us iterate at full iter count for less compute).</w:t>
      </w:r>
    </w:p>
    <w:p/>
    <w:p>
      <w:pPr>
        <w:pStyle w:val="Heading2"/>
      </w:pPr>
      <w:r>
        <w:t>6. Open questions / directions</w:t>
      </w:r>
    </w:p>
    <w:p>
      <w:r>
        <w:t>Roughly in order of expected information per compute-day:</w:t>
      </w:r>
    </w:p>
    <w:p>
      <w:pPr>
        <w:pStyle w:val="ListNumber"/>
      </w:pPr>
      <w:r>
        <w:rPr>
          <w:b/>
        </w:rPr>
        <w:t>Match paper compute exactly.</w:t>
      </w:r>
      <w:r>
        <w:t xml:space="preserve"> Multi-node run at eff batch 1152 from OM Phase 1, full 60–120k iters. The cleanest test of whether our single-node setup is just compute-bottlenecked. If the answer is yes (i.e., scaling to multi-node closes the gap to paper Δ), conclude that the recipe is fine and data-scale + compute are the actual constraints.</w:t>
      </w:r>
    </w:p>
    <w:p>
      <w:pPr>
        <w:pStyle w:val="ListNumber"/>
      </w:pPr>
      <w:r>
        <w:rPr>
          <w:b/>
        </w:rPr>
        <w:t>Start from Midnight-12k.</w:t>
      </w:r>
      <w:r>
        <w:t xml:space="preserve"> The released Kaiko Midnight-12k checkpoint on HuggingFace, same TCGA-only pretraining data, but their recipe. Same high-res post-training on top would isolate "pretraining recipe quality" from "high-res execution".</w:t>
      </w:r>
    </w:p>
    <w:p>
      <w:pPr>
        <w:pStyle w:val="ListNumber"/>
      </w:pPr>
      <w:r>
        <w:rPr>
          <w:b/>
        </w:rPr>
        <w:t>Tile-sampling distribution.</w:t>
      </w:r>
      <w:r>
        <w:t xml:space="preserve"> Force a more uniform per-magnification budget (e.g., 5M tiles at each of the four µm/px values). Cheap to retry once.</w:t>
      </w:r>
    </w:p>
    <w:p>
      <w:pPr>
        <w:pStyle w:val="ListNumber"/>
      </w:pPr>
      <w:r>
        <w:rPr>
          <w:b/>
        </w:rPr>
        <w:t>HEST evaluation.</w:t>
      </w:r>
      <w:r>
        <w:t xml:space="preserve"> Set up the gene-expression regression task; we have no data on the one task the paper itself flags as regressing under high-res. Without it, our "average gain" is on 12 tasks vs paper's 13.</w:t>
      </w:r>
    </w:p>
    <w:p>
      <w:pPr>
        <w:pStyle w:val="ListNumber"/>
      </w:pPr>
      <w:r>
        <w:rPr>
          <w:b/>
        </w:rPr>
        <w:t>Smaller backbone.</w:t>
      </w:r>
      <w:r>
        <w:t xml:space="preserve"> ViT-B/14 with the same recipe runs roughly 3× faster per step on the same hardware. Lets us reach full iter count on one node, which would also let us settle (4) by running ablations.</w:t>
      </w:r>
    </w:p>
    <w:p/>
    <w:p>
      <w:pPr>
        <w:pStyle w:val="Heading2"/>
      </w:pPr>
      <w:r>
        <w:t>Appendix A — File map</w:t>
      </w:r>
    </w:p>
    <w:p>
      <w:r>
        <w:t xml:space="preserve">- Training config: </w:t>
      </w:r>
      <w:r>
        <w:rPr>
          <w:rFonts w:ascii="Consolas" w:hAnsi="Consolas"/>
          <w:sz w:val="20"/>
        </w:rPr>
        <w:t>dinov2/configs/train/vitg14_reg4_highres_warmstart_accum4.yaml</w:t>
      </w:r>
      <w:r>
        <w:t xml:space="preserve"> (Node 1), </w:t>
      </w:r>
      <w:r>
        <w:rPr>
          <w:rFonts w:ascii="Consolas" w:hAnsi="Consolas"/>
          <w:sz w:val="20"/>
        </w:rPr>
        <w:t>..._dp02.yaml</w:t>
      </w:r>
      <w:r>
        <w:t xml:space="preserve"> (Node 2), </w:t>
      </w:r>
      <w:r>
        <w:rPr>
          <w:rFonts w:ascii="Consolas" w:hAnsi="Consolas"/>
          <w:sz w:val="20"/>
        </w:rPr>
        <w:t>..._warmstart.yaml</w:t>
      </w:r>
      <w:r>
        <w:t xml:space="preserve"> (warmstart_5k, eff batch 1152).</w:t>
      </w:r>
    </w:p>
    <w:p>
      <w:r>
        <w:t xml:space="preserve">- Sbatch launchers: </w:t>
      </w:r>
      <w:r>
        <w:rPr>
          <w:rFonts w:ascii="Consolas" w:hAnsi="Consolas"/>
          <w:sz w:val="20"/>
        </w:rPr>
        <w:t>run_highres_warmstart_accum4.sbatch</w:t>
      </w:r>
      <w:r>
        <w:t xml:space="preserve">, </w:t>
      </w:r>
      <w:r>
        <w:rPr>
          <w:rFonts w:ascii="Consolas" w:hAnsi="Consolas"/>
          <w:sz w:val="20"/>
        </w:rPr>
        <w:t>..._dp02.sbatch</w:t>
      </w:r>
      <w:r>
        <w:t xml:space="preserve">, </w:t>
      </w:r>
      <w:r>
        <w:rPr>
          <w:rFonts w:ascii="Consolas" w:hAnsi="Consolas"/>
          <w:sz w:val="20"/>
        </w:rPr>
        <w:t>run_highres_warmstart.sbatch</w:t>
      </w:r>
      <w:r>
        <w:t>.</w:t>
      </w:r>
    </w:p>
    <w:p>
      <w:r>
        <w:t xml:space="preserve">- Eval sbatches: </w:t>
      </w:r>
      <w:r>
        <w:rPr>
          <w:rFonts w:ascii="Consolas" w:hAnsi="Consolas"/>
          <w:sz w:val="20"/>
        </w:rPr>
        <w:t>run_eval_phase1_omckpt_at{224,392}.sbatch</w:t>
      </w:r>
      <w:r>
        <w:t xml:space="preserve">, </w:t>
      </w:r>
      <w:r>
        <w:rPr>
          <w:rFonts w:ascii="Consolas" w:hAnsi="Consolas"/>
          <w:sz w:val="20"/>
        </w:rPr>
        <w:t>run_eval_phase1_seg_at{224,392}.sbatch</w:t>
      </w:r>
      <w:r>
        <w:t xml:space="preserve">, </w:t>
      </w:r>
      <w:r>
        <w:rPr>
          <w:rFonts w:ascii="Consolas" w:hAnsi="Consolas"/>
          <w:sz w:val="20"/>
        </w:rPr>
        <w:t>run_eval_phase2_warmstart_accum4{,_dp02,_cls,_dp02_cls}.sbatch</w:t>
      </w:r>
      <w:r>
        <w:t xml:space="preserve">, </w:t>
      </w:r>
      <w:r>
        <w:rPr>
          <w:rFonts w:ascii="Consolas" w:hAnsi="Consolas"/>
          <w:sz w:val="20"/>
        </w:rPr>
        <w:t>run_eval_phase2_warmstart_5k{,_cls}.sbatch</w:t>
      </w:r>
      <w:r>
        <w:t>.</w:t>
      </w:r>
    </w:p>
    <w:p>
      <w:r>
        <w:t xml:space="preserve">- EVA backbone wrapper (CLS+Mean toggle): </w:t>
      </w:r>
      <w:r>
        <w:rPr>
          <w:rFonts w:ascii="Consolas" w:hAnsi="Consolas"/>
          <w:sz w:val="20"/>
        </w:rPr>
        <w:t>eva-probe/src/eva/vision/models/networks/backbones/pathology/openmidnight.py</w:t>
      </w:r>
      <w:r>
        <w:t>.</w:t>
      </w:r>
    </w:p>
    <w:p>
      <w:r>
        <w:t xml:space="preserve">- EVA configs: </w:t>
      </w:r>
      <w:r>
        <w:rPr>
          <w:rFonts w:ascii="Consolas" w:hAnsi="Consolas"/>
          <w:sz w:val="20"/>
        </w:rPr>
        <w:t>eval_configs/{bach,bracs,breakhist,crc,gleason,mhist,pcam,pcam_10,cam16_small,panda_small,consep,monusac}.yaml</w:t>
      </w:r>
      <w:r>
        <w:t xml:space="preserve">. Seg configs hardcode </w:t>
      </w:r>
      <w:r>
        <w:rPr>
          <w:rFonts w:ascii="Consolas" w:hAnsi="Consolas"/>
          <w:sz w:val="20"/>
        </w:rPr>
        <w:t>in_features: 1536</w:t>
      </w:r>
      <w:r>
        <w:t>.</w:t>
      </w:r>
    </w:p>
    <w:p>
      <w:r>
        <w:t xml:space="preserve">- Data pipeline: </w:t>
      </w:r>
      <w:r>
        <w:rPr>
          <w:rFonts w:ascii="Consolas" w:hAnsi="Consolas"/>
          <w:sz w:val="20"/>
        </w:rPr>
        <w:t>prepatching_scripts/create_sample_dataset_txt_highres.py</w:t>
      </w:r>
      <w:r>
        <w:t xml:space="preserve">, </w:t>
      </w:r>
      <w:r>
        <w:rPr>
          <w:rFonts w:ascii="Consolas" w:hAnsi="Consolas"/>
          <w:sz w:val="20"/>
        </w:rPr>
        <w:t>dinov2/data/datasets/slide_dataset.py</w:t>
      </w:r>
      <w:r>
        <w:t xml:space="preserve">, </w:t>
      </w:r>
      <w:r>
        <w:rPr>
          <w:rFonts w:ascii="Consolas" w:hAnsi="Consolas"/>
          <w:sz w:val="20"/>
        </w:rPr>
        <w:t>dinov2/data/loaders.py</w:t>
      </w:r>
      <w:r>
        <w:t>.</w:t>
      </w:r>
    </w:p>
    <w:p>
      <w:r>
        <w:t xml:space="preserve">- Training core: </w:t>
      </w:r>
      <w:r>
        <w:rPr>
          <w:rFonts w:ascii="Consolas" w:hAnsi="Consolas"/>
          <w:sz w:val="20"/>
        </w:rPr>
        <w:t>dinov2/train/train.py</w:t>
      </w:r>
      <w:r>
        <w:t xml:space="preserve"> (</w:t>
      </w:r>
      <w:r>
        <w:rPr>
          <w:rFonts w:ascii="Consolas" w:hAnsi="Consolas"/>
          <w:sz w:val="20"/>
        </w:rPr>
        <w:t>_load_from_teacher_checkpoint</w:t>
      </w:r>
      <w:r>
        <w:t xml:space="preserve"> for schedule warm-start + pos_embed interp; bug fixes at lines 1209 and 1222).</w:t>
      </w:r>
    </w:p>
    <w:p>
      <w:r>
        <w:t>- Bug-fix diffs are in this branch's git history; the relevant commits are post-</w:t>
      </w:r>
      <w:r>
        <w:rPr>
          <w:rFonts w:ascii="Consolas" w:hAnsi="Consolas"/>
          <w:sz w:val="20"/>
        </w:rPr>
        <w:t>f832c7c</w:t>
      </w:r>
      <w:r>
        <w:t>.</w:t>
      </w:r>
    </w:p>
    <w:p>
      <w:pPr>
        <w:pStyle w:val="Heading2"/>
      </w:pPr>
      <w:r>
        <w:t>Appendix B — Reproduction recipe</w:t>
      </w:r>
    </w:p>
    <w:p>
      <w:r>
        <w:rPr>
          <w:rFonts w:ascii="Consolas" w:hAnsi="Consolas"/>
          <w:sz w:val="19"/>
        </w:rPr>
        <w:t># 1. Generate 25M-tile sample list (only if it doesn't exist already)</w:t>
        <w:br/>
        <w:t>uv run python3 prepatching_scripts/create_sample_dataset_txt_highres.py \</w:t>
        <w:br/>
        <w:t xml:space="preserve">    --target_patches 25000000 --workers 20 \</w:t>
        <w:br/>
        <w:t xml:space="preserve">    --output sample_dataset_highres_25M.txt</w:t>
        <w:br/>
        <w:br/>
        <w:t># 2. Launch a training run</w:t>
        <w:br/>
        <w:t>sbatch run_highres_warmstart_accum4.sbatch       # Node 1 config; 24h on 1 node</w:t>
        <w:br/>
        <w:br/>
        <w:t># 3. After training, launch full EVA at 392 px with CLS+Mean</w:t>
        <w:br/>
        <w:t>sbatch run_eval_phase2_warmstart_accum4.sbatch   # 24h on 1 GPU</w:t>
        <w:br/>
        <w:br/>
        <w:t># 4. Optional: same eval at CLS-only for A/B</w:t>
        <w:br/>
        <w:t>sbatch run_eval_phase2_warmstart_accum4_cls.sbatch</w:t>
      </w:r>
    </w:p>
    <w:p>
      <w:r>
        <w:t xml:space="preserve">Reads results from </w:t>
      </w:r>
      <w:r>
        <w:rPr>
          <w:rFonts w:ascii="Consolas" w:hAnsi="Consolas"/>
          <w:sz w:val="20"/>
        </w:rPr>
        <w:t>eval_results/&lt;run_name&gt;/fast_eval_&lt;timestamp&gt;/summary.tsv</w:t>
      </w:r>
      <w:r>
        <w:t xml:space="preserve">. Aggregated across runs in </w:t>
      </w:r>
      <w:r>
        <w:rPr>
          <w:rFonts w:ascii="Consolas" w:hAnsi="Consolas"/>
          <w:sz w:val="20"/>
        </w:rPr>
        <w:t>eval_results_summary.csv</w:t>
      </w:r>
      <w:r>
        <w:t>.</w:t>
      </w:r>
    </w:p>
    <w:p>
      <w:r>
        <w:t xml:space="preserve">Phase 1 starting checkpoint: </w:t>
      </w:r>
      <w:r>
        <w:rPr>
          <w:rFonts w:ascii="Consolas" w:hAnsi="Consolas"/>
          <w:sz w:val="20"/>
        </w:rPr>
        <w:t>/data/OpenMidnight_ckpts/openmidnight_checkpoint.pth</w:t>
      </w:r>
      <w:r>
        <w:t xml:space="preserve">. TCGA SVS files: </w:t>
      </w:r>
      <w:r>
        <w:rPr>
          <w:rFonts w:ascii="Consolas" w:hAnsi="Consolas"/>
          <w:sz w:val="20"/>
        </w:rPr>
        <w:t>/block/TCGA/</w:t>
      </w:r>
      <w:r>
        <w:t xml:space="preserve">. EVA data roots: </w:t>
      </w:r>
      <w:r>
        <w:rPr>
          <w:rFonts w:ascii="Consolas" w:hAnsi="Consolas"/>
          <w:sz w:val="20"/>
        </w:rPr>
        <w:t>/block/eva-data/{bach,bracs,breakhis,crc,arvaniti_gleason_patches,mhist,patch_camelyon,consep,monusac,camelyon16,panda/prostate-cancer-grade-assessment}</w:t>
      </w:r>
      <w:r>
        <w:t>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