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49DF" w14:textId="77777777" w:rsidR="00A25A50" w:rsidRDefault="00A25A50" w:rsidP="00A25A50">
      <w:pPr>
        <w:pStyle w:val="Heading1"/>
        <w:numPr>
          <w:ilvl w:val="0"/>
          <w:numId w:val="3"/>
        </w:numPr>
        <w:tabs>
          <w:tab w:val="num" w:pos="360"/>
          <w:tab w:val="left" w:pos="834"/>
        </w:tabs>
      </w:pPr>
      <w:r>
        <w:rPr>
          <w:color w:val="1F3863"/>
        </w:rPr>
        <w:t>Organisme d’accueil</w:t>
      </w:r>
      <w:r>
        <w:rPr>
          <w:color w:val="1F3863"/>
          <w:spacing w:val="7"/>
        </w:rPr>
        <w:t xml:space="preserve"> </w:t>
      </w:r>
      <w:r>
        <w:rPr>
          <w:color w:val="1F3863"/>
        </w:rPr>
        <w:t>:</w:t>
      </w:r>
    </w:p>
    <w:p w14:paraId="3704B672" w14:textId="77777777" w:rsidR="00A25A50" w:rsidRDefault="00A25A50" w:rsidP="00A25A50">
      <w:pPr>
        <w:pStyle w:val="Heading4"/>
        <w:numPr>
          <w:ilvl w:val="1"/>
          <w:numId w:val="3"/>
        </w:numPr>
        <w:tabs>
          <w:tab w:val="num" w:pos="360"/>
          <w:tab w:val="left" w:pos="837"/>
        </w:tabs>
        <w:spacing w:before="220"/>
        <w:ind w:hanging="577"/>
      </w:pPr>
      <w:bookmarkStart w:id="0" w:name="_bookmark4"/>
      <w:bookmarkEnd w:id="0"/>
      <w:r>
        <w:rPr>
          <w:color w:val="0D0D0D"/>
        </w:rPr>
        <w:t>DXC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TECHNOLOGY</w:t>
      </w:r>
    </w:p>
    <w:p w14:paraId="4AD8035D" w14:textId="77777777" w:rsidR="00A25A50" w:rsidRDefault="00A25A50" w:rsidP="00A25A50">
      <w:pPr>
        <w:pStyle w:val="BodyText"/>
        <w:spacing w:before="218" w:line="324" w:lineRule="auto"/>
        <w:ind w:left="118" w:right="471"/>
        <w:jc w:val="both"/>
      </w:pPr>
      <w:r>
        <w:rPr>
          <w:w w:val="110"/>
        </w:rPr>
        <w:t>DXC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Technology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est</w:t>
      </w:r>
      <w:r>
        <w:rPr>
          <w:spacing w:val="-16"/>
          <w:w w:val="110"/>
        </w:rPr>
        <w:t xml:space="preserve"> </w:t>
      </w:r>
      <w:r>
        <w:rPr>
          <w:w w:val="110"/>
        </w:rPr>
        <w:t>une</w:t>
      </w:r>
      <w:r>
        <w:rPr>
          <w:spacing w:val="-17"/>
          <w:w w:val="110"/>
        </w:rPr>
        <w:t xml:space="preserve"> </w:t>
      </w:r>
      <w:r>
        <w:rPr>
          <w:w w:val="110"/>
        </w:rPr>
        <w:t>société</w:t>
      </w:r>
      <w:r>
        <w:rPr>
          <w:spacing w:val="-15"/>
          <w:w w:val="110"/>
        </w:rPr>
        <w:t xml:space="preserve"> </w:t>
      </w:r>
      <w:r>
        <w:rPr>
          <w:w w:val="110"/>
        </w:rPr>
        <w:t>multinationale</w:t>
      </w:r>
      <w:r>
        <w:rPr>
          <w:spacing w:val="-17"/>
          <w:w w:val="110"/>
        </w:rPr>
        <w:t xml:space="preserve"> </w:t>
      </w:r>
      <w:r>
        <w:rPr>
          <w:w w:val="110"/>
        </w:rPr>
        <w:t>américaine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services</w:t>
      </w:r>
      <w:r>
        <w:rPr>
          <w:spacing w:val="-17"/>
          <w:w w:val="110"/>
        </w:rPr>
        <w:t xml:space="preserve"> </w:t>
      </w:r>
      <w:r>
        <w:rPr>
          <w:w w:val="110"/>
        </w:rPr>
        <w:t>et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conseil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en technologies de l'information (TI) dont le siège est à </w:t>
      </w:r>
      <w:proofErr w:type="spellStart"/>
      <w:r>
        <w:rPr>
          <w:w w:val="110"/>
        </w:rPr>
        <w:t>Ashburn</w:t>
      </w:r>
      <w:proofErr w:type="spellEnd"/>
      <w:r>
        <w:rPr>
          <w:w w:val="110"/>
        </w:rPr>
        <w:t>, en Virginie, aux États- Unis. C'est le leader mondial des services informatiques de bout en bout. DXC se positionne dans le domaine de la transformation numérique auprès des entreprises et des</w:t>
      </w:r>
      <w:r>
        <w:rPr>
          <w:spacing w:val="-7"/>
          <w:w w:val="110"/>
        </w:rPr>
        <w:t xml:space="preserve"> </w:t>
      </w:r>
      <w:r>
        <w:rPr>
          <w:w w:val="110"/>
        </w:rPr>
        <w:t>gouvernements.</w:t>
      </w:r>
    </w:p>
    <w:p w14:paraId="5C05D95B" w14:textId="77777777" w:rsidR="00A25A50" w:rsidRDefault="00A25A50" w:rsidP="00A25A50">
      <w:pPr>
        <w:spacing w:before="158"/>
        <w:ind w:left="118"/>
        <w:jc w:val="both"/>
        <w:rPr>
          <w:b/>
        </w:rPr>
      </w:pPr>
      <w:r>
        <w:rPr>
          <w:b/>
          <w:color w:val="767070"/>
          <w:sz w:val="24"/>
          <w:u w:val="single" w:color="767070"/>
        </w:rPr>
        <w:t xml:space="preserve">DXC </w:t>
      </w:r>
      <w:proofErr w:type="spellStart"/>
      <w:r>
        <w:rPr>
          <w:b/>
          <w:color w:val="767070"/>
          <w:sz w:val="24"/>
          <w:u w:val="single" w:color="767070"/>
        </w:rPr>
        <w:t>Technology</w:t>
      </w:r>
      <w:proofErr w:type="spellEnd"/>
      <w:r>
        <w:rPr>
          <w:b/>
          <w:color w:val="767070"/>
          <w:sz w:val="24"/>
          <w:u w:val="single" w:color="767070"/>
        </w:rPr>
        <w:t xml:space="preserve"> Maroc</w:t>
      </w:r>
      <w:r>
        <w:rPr>
          <w:b/>
          <w:color w:val="767070"/>
          <w:sz w:val="24"/>
        </w:rPr>
        <w:t xml:space="preserve"> </w:t>
      </w:r>
      <w:r>
        <w:rPr>
          <w:b/>
          <w:color w:val="585858"/>
        </w:rPr>
        <w:t>:</w:t>
      </w:r>
    </w:p>
    <w:p w14:paraId="67705857" w14:textId="77777777" w:rsidR="00A25A50" w:rsidRDefault="00A25A50" w:rsidP="00A25A50">
      <w:pPr>
        <w:pStyle w:val="BodyText"/>
        <w:spacing w:before="5"/>
        <w:rPr>
          <w:b/>
          <w:sz w:val="21"/>
        </w:rPr>
      </w:pPr>
    </w:p>
    <w:p w14:paraId="5BF9EB1A" w14:textId="77777777" w:rsidR="00A25A50" w:rsidRDefault="00A25A50" w:rsidP="00A25A50">
      <w:pPr>
        <w:pStyle w:val="BodyText"/>
        <w:spacing w:before="51" w:line="324" w:lineRule="auto"/>
        <w:ind w:left="118" w:right="474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1AD01C" wp14:editId="3EAE8B01">
            <wp:simplePos x="0" y="0"/>
            <wp:positionH relativeFrom="page">
              <wp:posOffset>2043429</wp:posOffset>
            </wp:positionH>
            <wp:positionV relativeFrom="paragraph">
              <wp:posOffset>1057695</wp:posOffset>
            </wp:positionV>
            <wp:extent cx="3535095" cy="6312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095" cy="63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DXC </w:t>
      </w:r>
      <w:proofErr w:type="spellStart"/>
      <w:r>
        <w:rPr>
          <w:w w:val="110"/>
        </w:rPr>
        <w:t>Technology</w:t>
      </w:r>
      <w:proofErr w:type="spellEnd"/>
      <w:r>
        <w:rPr>
          <w:w w:val="110"/>
        </w:rPr>
        <w:t xml:space="preserve"> au Maroc, implantée depuis 2007, est une joint-venture entre DXC </w:t>
      </w:r>
      <w:proofErr w:type="spellStart"/>
      <w:r>
        <w:rPr>
          <w:w w:val="110"/>
        </w:rPr>
        <w:t>Technology</w:t>
      </w:r>
      <w:proofErr w:type="spellEnd"/>
      <w:r>
        <w:rPr>
          <w:w w:val="110"/>
        </w:rPr>
        <w:t xml:space="preserve">, leader mondial des services d’intégration d’infogérance et le Groupe CDG (La caisse de dépôt et de gestion), avec environ 1300 collaborateurs répartis sur 3 sites de production (Technopolis, Hay Riad Casa, </w:t>
      </w:r>
      <w:proofErr w:type="spellStart"/>
      <w:r>
        <w:rPr>
          <w:w w:val="110"/>
        </w:rPr>
        <w:t>NearShore</w:t>
      </w:r>
      <w:proofErr w:type="spellEnd"/>
      <w:r>
        <w:rPr>
          <w:w w:val="110"/>
        </w:rPr>
        <w:t>).</w:t>
      </w:r>
    </w:p>
    <w:p w14:paraId="1DBD3B0F" w14:textId="77777777" w:rsidR="00A25A50" w:rsidRDefault="00A25A50" w:rsidP="00A25A50">
      <w:pPr>
        <w:spacing w:before="168"/>
        <w:ind w:left="1033" w:right="1389"/>
        <w:jc w:val="center"/>
        <w:rPr>
          <w:rFonts w:ascii="P052"/>
          <w:i/>
          <w:sz w:val="18"/>
        </w:rPr>
      </w:pPr>
      <w:bookmarkStart w:id="1" w:name="_bookmark5"/>
      <w:bookmarkEnd w:id="1"/>
      <w:r>
        <w:rPr>
          <w:rFonts w:ascii="P052"/>
          <w:i/>
          <w:color w:val="44536A"/>
          <w:sz w:val="18"/>
        </w:rPr>
        <w:t xml:space="preserve">Figure </w:t>
      </w:r>
      <w:proofErr w:type="gramStart"/>
      <w:r>
        <w:rPr>
          <w:rFonts w:ascii="P052"/>
          <w:i/>
          <w:color w:val="44536A"/>
          <w:sz w:val="18"/>
        </w:rPr>
        <w:t>1:</w:t>
      </w:r>
      <w:proofErr w:type="gramEnd"/>
      <w:r>
        <w:rPr>
          <w:rFonts w:ascii="P052"/>
          <w:i/>
          <w:color w:val="44536A"/>
          <w:sz w:val="18"/>
        </w:rPr>
        <w:t xml:space="preserve"> DXC TECHNOLOGY Logo</w:t>
      </w:r>
    </w:p>
    <w:p w14:paraId="7F8F7687" w14:textId="77777777" w:rsidR="00A25A50" w:rsidRDefault="00A25A50" w:rsidP="00A25A50">
      <w:pPr>
        <w:pStyle w:val="BodyText"/>
        <w:spacing w:before="10"/>
        <w:rPr>
          <w:rFonts w:ascii="P052"/>
          <w:i/>
          <w:sz w:val="16"/>
        </w:rPr>
      </w:pPr>
    </w:p>
    <w:p w14:paraId="3DC30F35" w14:textId="77777777" w:rsidR="00A25A50" w:rsidRDefault="00A25A50" w:rsidP="00A25A50">
      <w:pPr>
        <w:pStyle w:val="Heading4"/>
        <w:numPr>
          <w:ilvl w:val="1"/>
          <w:numId w:val="3"/>
        </w:numPr>
        <w:tabs>
          <w:tab w:val="num" w:pos="360"/>
          <w:tab w:val="left" w:pos="837"/>
        </w:tabs>
        <w:ind w:hanging="577"/>
      </w:pPr>
      <w:bookmarkStart w:id="2" w:name="_bookmark6"/>
      <w:bookmarkEnd w:id="2"/>
      <w:r>
        <w:rPr>
          <w:color w:val="0D0D0D"/>
          <w:w w:val="105"/>
        </w:rPr>
        <w:t>Les secteurs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d’activités</w:t>
      </w:r>
    </w:p>
    <w:p w14:paraId="7F2B28F6" w14:textId="77777777" w:rsidR="00A25A50" w:rsidRDefault="00A25A50" w:rsidP="00A25A50">
      <w:pPr>
        <w:pStyle w:val="BodyText"/>
        <w:spacing w:before="220" w:line="324" w:lineRule="auto"/>
        <w:ind w:left="118" w:right="481"/>
        <w:jc w:val="both"/>
      </w:pPr>
      <w:r>
        <w:rPr>
          <w:w w:val="110"/>
        </w:rPr>
        <w:t>DXC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Technology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est</w:t>
      </w:r>
      <w:r>
        <w:rPr>
          <w:spacing w:val="-12"/>
          <w:w w:val="110"/>
        </w:rPr>
        <w:t xml:space="preserve"> </w:t>
      </w:r>
      <w:r>
        <w:rPr>
          <w:w w:val="110"/>
        </w:rPr>
        <w:t>l'une</w:t>
      </w:r>
      <w:r>
        <w:rPr>
          <w:spacing w:val="-11"/>
          <w:w w:val="110"/>
        </w:rPr>
        <w:t xml:space="preserve"> </w:t>
      </w:r>
      <w:r>
        <w:rPr>
          <w:w w:val="110"/>
        </w:rPr>
        <w:t>des</w:t>
      </w:r>
      <w:r>
        <w:rPr>
          <w:spacing w:val="-14"/>
          <w:w w:val="110"/>
        </w:rPr>
        <w:t xml:space="preserve"> </w:t>
      </w:r>
      <w:r>
        <w:rPr>
          <w:w w:val="110"/>
        </w:rPr>
        <w:t>premières</w:t>
      </w:r>
      <w:r>
        <w:rPr>
          <w:spacing w:val="-10"/>
          <w:w w:val="110"/>
        </w:rPr>
        <w:t xml:space="preserve"> </w:t>
      </w:r>
      <w:r>
        <w:rPr>
          <w:w w:val="110"/>
        </w:rPr>
        <w:t>sociétés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services</w:t>
      </w:r>
      <w:r>
        <w:rPr>
          <w:spacing w:val="-8"/>
          <w:w w:val="110"/>
        </w:rPr>
        <w:t xml:space="preserve"> </w:t>
      </w:r>
      <w:r>
        <w:rPr>
          <w:w w:val="110"/>
        </w:rPr>
        <w:t>informatiques</w:t>
      </w:r>
      <w:r>
        <w:rPr>
          <w:spacing w:val="-11"/>
          <w:w w:val="110"/>
        </w:rPr>
        <w:t xml:space="preserve"> </w:t>
      </w:r>
      <w:r>
        <w:rPr>
          <w:w w:val="110"/>
        </w:rPr>
        <w:t>au</w:t>
      </w:r>
      <w:r>
        <w:rPr>
          <w:spacing w:val="-13"/>
          <w:w w:val="110"/>
        </w:rPr>
        <w:t xml:space="preserve"> </w:t>
      </w:r>
      <w:r>
        <w:rPr>
          <w:w w:val="110"/>
        </w:rPr>
        <w:t>monde. Elle accompagne ses clients dans leur transformation digitale, les aides à démultiplier leurs capacités et à capter le meilleur de l’innovation. DXC servie de près de 6 000 clients</w:t>
      </w:r>
      <w:r>
        <w:rPr>
          <w:spacing w:val="-5"/>
          <w:w w:val="110"/>
        </w:rPr>
        <w:t xml:space="preserve"> </w:t>
      </w:r>
      <w:r>
        <w:rPr>
          <w:w w:val="110"/>
        </w:rPr>
        <w:t>des</w:t>
      </w:r>
      <w:r>
        <w:rPr>
          <w:spacing w:val="-5"/>
          <w:w w:val="110"/>
        </w:rPr>
        <w:t xml:space="preserve"> </w:t>
      </w:r>
      <w:r>
        <w:rPr>
          <w:w w:val="110"/>
        </w:rPr>
        <w:t>secteurs</w:t>
      </w:r>
      <w:r>
        <w:rPr>
          <w:spacing w:val="-5"/>
          <w:w w:val="110"/>
        </w:rPr>
        <w:t xml:space="preserve"> </w:t>
      </w:r>
      <w:r>
        <w:rPr>
          <w:w w:val="110"/>
        </w:rPr>
        <w:t>privé</w:t>
      </w:r>
      <w:r>
        <w:rPr>
          <w:spacing w:val="-3"/>
          <w:w w:val="110"/>
        </w:rPr>
        <w:t xml:space="preserve"> </w:t>
      </w:r>
      <w:r>
        <w:rPr>
          <w:w w:val="110"/>
        </w:rPr>
        <w:t>et</w:t>
      </w:r>
      <w:r>
        <w:rPr>
          <w:spacing w:val="-3"/>
          <w:w w:val="110"/>
        </w:rPr>
        <w:t xml:space="preserve"> </w:t>
      </w:r>
      <w:r>
        <w:rPr>
          <w:w w:val="110"/>
        </w:rPr>
        <w:t>public</w:t>
      </w:r>
      <w:r>
        <w:rPr>
          <w:spacing w:val="-3"/>
          <w:w w:val="110"/>
        </w:rPr>
        <w:t xml:space="preserve"> </w:t>
      </w:r>
      <w:r>
        <w:rPr>
          <w:w w:val="110"/>
        </w:rPr>
        <w:t>issus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divers</w:t>
      </w:r>
      <w:r>
        <w:rPr>
          <w:spacing w:val="-5"/>
          <w:w w:val="110"/>
        </w:rPr>
        <w:t xml:space="preserve"> </w:t>
      </w:r>
      <w:r>
        <w:rPr>
          <w:w w:val="110"/>
        </w:rPr>
        <w:t>secteurs</w:t>
      </w:r>
      <w:r>
        <w:rPr>
          <w:spacing w:val="-5"/>
          <w:w w:val="110"/>
        </w:rPr>
        <w:t xml:space="preserve"> </w:t>
      </w:r>
      <w:r>
        <w:rPr>
          <w:w w:val="110"/>
        </w:rPr>
        <w:t>dans</w:t>
      </w:r>
      <w:r>
        <w:rPr>
          <w:spacing w:val="-4"/>
          <w:w w:val="110"/>
        </w:rPr>
        <w:t xml:space="preserve"> </w:t>
      </w:r>
      <w:r>
        <w:rPr>
          <w:w w:val="110"/>
        </w:rPr>
        <w:t>70</w:t>
      </w:r>
      <w:r>
        <w:rPr>
          <w:spacing w:val="-4"/>
          <w:w w:val="110"/>
        </w:rPr>
        <w:t xml:space="preserve"> </w:t>
      </w:r>
      <w:r>
        <w:rPr>
          <w:w w:val="110"/>
        </w:rPr>
        <w:t>pays.</w:t>
      </w:r>
    </w:p>
    <w:p w14:paraId="35CF54DD" w14:textId="77777777" w:rsidR="00A25A50" w:rsidRDefault="00A25A50" w:rsidP="00A25A5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176E1E" wp14:editId="22E85D0D">
            <wp:simplePos x="0" y="0"/>
            <wp:positionH relativeFrom="page">
              <wp:posOffset>1195027</wp:posOffset>
            </wp:positionH>
            <wp:positionV relativeFrom="paragraph">
              <wp:posOffset>88529</wp:posOffset>
            </wp:positionV>
            <wp:extent cx="5111926" cy="2245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926" cy="22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7608C" w14:textId="77777777" w:rsidR="00A25A50" w:rsidRDefault="00A25A50" w:rsidP="00A25A50">
      <w:pPr>
        <w:pStyle w:val="BodyText"/>
        <w:spacing w:before="6"/>
        <w:rPr>
          <w:sz w:val="21"/>
        </w:rPr>
      </w:pPr>
    </w:p>
    <w:p w14:paraId="463FD8E4" w14:textId="77777777" w:rsidR="00A25A50" w:rsidRDefault="00A25A50" w:rsidP="00A25A50">
      <w:pPr>
        <w:ind w:left="1033" w:right="1389"/>
        <w:jc w:val="center"/>
        <w:rPr>
          <w:rFonts w:ascii="P052" w:hAnsi="P052"/>
          <w:i/>
          <w:sz w:val="18"/>
        </w:rPr>
      </w:pPr>
      <w:bookmarkStart w:id="3" w:name="_bookmark7"/>
      <w:bookmarkEnd w:id="3"/>
      <w:r>
        <w:rPr>
          <w:rFonts w:ascii="P052" w:hAnsi="P052"/>
          <w:i/>
          <w:color w:val="44536A"/>
          <w:sz w:val="18"/>
        </w:rPr>
        <w:t xml:space="preserve">Figure </w:t>
      </w:r>
      <w:proofErr w:type="gramStart"/>
      <w:r>
        <w:rPr>
          <w:rFonts w:ascii="P052" w:hAnsi="P052"/>
          <w:i/>
          <w:color w:val="44536A"/>
          <w:sz w:val="18"/>
        </w:rPr>
        <w:t>2:</w:t>
      </w:r>
      <w:proofErr w:type="gramEnd"/>
      <w:r>
        <w:rPr>
          <w:rFonts w:ascii="P052" w:hAnsi="P052"/>
          <w:i/>
          <w:color w:val="44536A"/>
          <w:sz w:val="18"/>
        </w:rPr>
        <w:t xml:space="preserve"> Secteurs d'activités</w:t>
      </w:r>
    </w:p>
    <w:p w14:paraId="1A706A63" w14:textId="77777777" w:rsidR="00A25A50" w:rsidRDefault="00A25A50" w:rsidP="00A25A50">
      <w:pPr>
        <w:jc w:val="center"/>
        <w:rPr>
          <w:rFonts w:ascii="P052" w:hAnsi="P052"/>
          <w:sz w:val="18"/>
        </w:rPr>
        <w:sectPr w:rsidR="00A25A50">
          <w:pgSz w:w="11910" w:h="16840"/>
          <w:pgMar w:top="1440" w:right="940" w:bottom="1260" w:left="1300" w:header="0" w:footer="1002" w:gutter="0"/>
          <w:cols w:space="720"/>
        </w:sectPr>
      </w:pPr>
    </w:p>
    <w:p w14:paraId="65AE1D59" w14:textId="77777777" w:rsidR="00A25A50" w:rsidRDefault="00A25A50" w:rsidP="00A25A50">
      <w:pPr>
        <w:pStyle w:val="Heading4"/>
        <w:numPr>
          <w:ilvl w:val="1"/>
          <w:numId w:val="3"/>
        </w:numPr>
        <w:tabs>
          <w:tab w:val="num" w:pos="360"/>
          <w:tab w:val="left" w:pos="837"/>
        </w:tabs>
        <w:spacing w:before="15"/>
        <w:ind w:hanging="577"/>
      </w:pPr>
      <w:bookmarkStart w:id="4" w:name="_bookmark8"/>
      <w:bookmarkEnd w:id="4"/>
      <w:r>
        <w:rPr>
          <w:color w:val="0D0D0D"/>
          <w:w w:val="105"/>
        </w:rPr>
        <w:lastRenderedPageBreak/>
        <w:t xml:space="preserve">Les métiers et les spécialités de DXC </w:t>
      </w:r>
      <w:proofErr w:type="spellStart"/>
      <w:r>
        <w:rPr>
          <w:color w:val="0D0D0D"/>
          <w:w w:val="105"/>
        </w:rPr>
        <w:t>Technology</w:t>
      </w:r>
      <w:proofErr w:type="spellEnd"/>
      <w:r>
        <w:rPr>
          <w:color w:val="0D0D0D"/>
          <w:w w:val="105"/>
        </w:rPr>
        <w:t xml:space="preserve"> Maroc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:</w:t>
      </w:r>
    </w:p>
    <w:p w14:paraId="63A8C0D0" w14:textId="77777777" w:rsidR="00A25A50" w:rsidRDefault="00A25A50" w:rsidP="00A25A50">
      <w:pPr>
        <w:pStyle w:val="BodyText"/>
        <w:spacing w:before="220" w:line="321" w:lineRule="auto"/>
        <w:ind w:left="118" w:right="481"/>
        <w:jc w:val="both"/>
      </w:pPr>
      <w:r>
        <w:rPr>
          <w:w w:val="110"/>
        </w:rPr>
        <w:t xml:space="preserve">Les métiers de DXC </w:t>
      </w:r>
      <w:proofErr w:type="spellStart"/>
      <w:r>
        <w:rPr>
          <w:w w:val="110"/>
        </w:rPr>
        <w:t>Technology</w:t>
      </w:r>
      <w:proofErr w:type="spellEnd"/>
      <w:r>
        <w:rPr>
          <w:w w:val="110"/>
        </w:rPr>
        <w:t xml:space="preserve"> Maroc sont divers et d’une nature technique, fonctionnelle,</w:t>
      </w:r>
    </w:p>
    <w:p w14:paraId="5BF9D177" w14:textId="77777777" w:rsidR="00A25A50" w:rsidRDefault="00A25A50" w:rsidP="00A25A50">
      <w:pPr>
        <w:pStyle w:val="BodyText"/>
        <w:spacing w:before="163"/>
        <w:ind w:left="118"/>
      </w:pPr>
      <w:r>
        <w:rPr>
          <w:w w:val="110"/>
        </w:rPr>
        <w:t>Opérationnelle et applicative a` savoir dans les domaines de :</w:t>
      </w:r>
    </w:p>
    <w:p w14:paraId="19E59D45" w14:textId="77777777" w:rsidR="00A25A50" w:rsidRDefault="00A25A50" w:rsidP="00A25A50">
      <w:pPr>
        <w:pStyle w:val="BodyText"/>
        <w:spacing w:before="1"/>
        <w:rPr>
          <w:sz w:val="22"/>
        </w:rPr>
      </w:pPr>
    </w:p>
    <w:p w14:paraId="18CF2E25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59"/>
        </w:tabs>
        <w:ind w:left="258" w:hanging="141"/>
        <w:rPr>
          <w:sz w:val="24"/>
        </w:rPr>
      </w:pPr>
      <w:r>
        <w:rPr>
          <w:b/>
          <w:color w:val="171717"/>
          <w:w w:val="110"/>
          <w:sz w:val="24"/>
        </w:rPr>
        <w:t xml:space="preserve">Data Center </w:t>
      </w:r>
      <w:r>
        <w:rPr>
          <w:w w:val="110"/>
          <w:sz w:val="24"/>
        </w:rPr>
        <w:t>: Hébergement, Support, supervision technique, Cloud</w:t>
      </w:r>
      <w:r>
        <w:rPr>
          <w:spacing w:val="-46"/>
          <w:w w:val="110"/>
          <w:sz w:val="24"/>
        </w:rPr>
        <w:t xml:space="preserve"> </w:t>
      </w:r>
      <w:r>
        <w:rPr>
          <w:w w:val="110"/>
          <w:sz w:val="24"/>
        </w:rPr>
        <w:t>privé/public.</w:t>
      </w:r>
    </w:p>
    <w:p w14:paraId="5F29FF41" w14:textId="77777777" w:rsidR="00A25A50" w:rsidRDefault="00A25A50" w:rsidP="00A25A50">
      <w:pPr>
        <w:pStyle w:val="BodyText"/>
        <w:spacing w:before="2"/>
        <w:rPr>
          <w:sz w:val="22"/>
        </w:rPr>
      </w:pPr>
    </w:p>
    <w:p w14:paraId="69325B32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59"/>
        </w:tabs>
        <w:ind w:left="258" w:hanging="141"/>
        <w:rPr>
          <w:sz w:val="24"/>
        </w:rPr>
      </w:pPr>
      <w:r>
        <w:rPr>
          <w:b/>
          <w:w w:val="110"/>
          <w:sz w:val="24"/>
        </w:rPr>
        <w:t>Cloud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Infrastructure</w:t>
      </w:r>
      <w:r>
        <w:rPr>
          <w:b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Cloud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privé,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public,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plateforme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traditionnelle.</w:t>
      </w:r>
    </w:p>
    <w:p w14:paraId="4BE16D4C" w14:textId="77777777" w:rsidR="00A25A50" w:rsidRDefault="00A25A50" w:rsidP="00A25A50">
      <w:pPr>
        <w:pStyle w:val="BodyText"/>
        <w:spacing w:before="4"/>
        <w:rPr>
          <w:sz w:val="22"/>
        </w:rPr>
      </w:pPr>
    </w:p>
    <w:p w14:paraId="222AD82D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59"/>
        </w:tabs>
        <w:ind w:left="258" w:hanging="141"/>
        <w:rPr>
          <w:sz w:val="24"/>
        </w:rPr>
      </w:pPr>
      <w:r>
        <w:rPr>
          <w:b/>
          <w:w w:val="110"/>
          <w:sz w:val="24"/>
        </w:rPr>
        <w:t xml:space="preserve">Applications </w:t>
      </w:r>
      <w:r>
        <w:rPr>
          <w:w w:val="110"/>
          <w:sz w:val="24"/>
        </w:rPr>
        <w:t>: Intégration, modernisation, Migration,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TMA.</w:t>
      </w:r>
    </w:p>
    <w:p w14:paraId="60B3E879" w14:textId="77777777" w:rsidR="00A25A50" w:rsidRDefault="00A25A50" w:rsidP="00A25A50">
      <w:pPr>
        <w:pStyle w:val="BodyText"/>
        <w:spacing w:before="4"/>
        <w:rPr>
          <w:sz w:val="22"/>
        </w:rPr>
      </w:pPr>
    </w:p>
    <w:p w14:paraId="70EA57A6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59"/>
        </w:tabs>
        <w:ind w:left="258" w:hanging="141"/>
        <w:rPr>
          <w:sz w:val="24"/>
        </w:rPr>
      </w:pPr>
      <w:r>
        <w:rPr>
          <w:b/>
          <w:w w:val="110"/>
          <w:sz w:val="24"/>
        </w:rPr>
        <w:t xml:space="preserve">Business Intelligence Analytics </w:t>
      </w:r>
      <w:r>
        <w:rPr>
          <w:w w:val="110"/>
          <w:sz w:val="24"/>
        </w:rPr>
        <w:t>: Plateforme analytiques sur sites</w:t>
      </w:r>
      <w:r>
        <w:rPr>
          <w:spacing w:val="-47"/>
          <w:w w:val="110"/>
          <w:sz w:val="24"/>
        </w:rPr>
        <w:t xml:space="preserve"> </w:t>
      </w:r>
      <w:r>
        <w:rPr>
          <w:w w:val="110"/>
          <w:sz w:val="24"/>
        </w:rPr>
        <w:t>cloud.</w:t>
      </w:r>
    </w:p>
    <w:p w14:paraId="69317882" w14:textId="77777777" w:rsidR="00A25A50" w:rsidRDefault="00A25A50" w:rsidP="00A25A50">
      <w:pPr>
        <w:pStyle w:val="BodyText"/>
        <w:spacing w:before="4"/>
        <w:rPr>
          <w:sz w:val="22"/>
        </w:rPr>
      </w:pPr>
    </w:p>
    <w:p w14:paraId="29E90126" w14:textId="77777777" w:rsidR="00A25A50" w:rsidRDefault="00A25A50" w:rsidP="00A25A50">
      <w:pPr>
        <w:pStyle w:val="Heading4"/>
        <w:numPr>
          <w:ilvl w:val="0"/>
          <w:numId w:val="2"/>
        </w:numPr>
        <w:tabs>
          <w:tab w:val="left" w:pos="259"/>
          <w:tab w:val="num" w:pos="360"/>
        </w:tabs>
        <w:ind w:left="258" w:hanging="141"/>
      </w:pPr>
      <w:r>
        <w:rPr>
          <w:w w:val="110"/>
        </w:rPr>
        <w:t>Workplace</w:t>
      </w:r>
      <w:r>
        <w:rPr>
          <w:spacing w:val="-7"/>
          <w:w w:val="110"/>
        </w:rPr>
        <w:t xml:space="preserve"> </w:t>
      </w:r>
      <w:r>
        <w:rPr>
          <w:w w:val="110"/>
        </w:rPr>
        <w:t>Mobilité</w:t>
      </w:r>
    </w:p>
    <w:p w14:paraId="6ADDD430" w14:textId="77777777" w:rsidR="00A25A50" w:rsidRDefault="00A25A50" w:rsidP="00A25A50">
      <w:pPr>
        <w:pStyle w:val="BodyText"/>
        <w:spacing w:before="4"/>
        <w:rPr>
          <w:b/>
          <w:sz w:val="22"/>
        </w:rPr>
      </w:pPr>
    </w:p>
    <w:p w14:paraId="5B2216EB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47"/>
        </w:tabs>
        <w:spacing w:line="463" w:lineRule="auto"/>
        <w:ind w:right="478" w:firstLine="0"/>
        <w:rPr>
          <w:sz w:val="24"/>
        </w:rPr>
      </w:pPr>
      <w:r>
        <w:rPr>
          <w:b/>
          <w:w w:val="110"/>
          <w:sz w:val="24"/>
        </w:rPr>
        <w:t>Business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Process</w:t>
      </w:r>
      <w:r>
        <w:rPr>
          <w:b/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Réception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traitement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demandes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d’informations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téléventes/ Commandes en ligne / services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clients.</w:t>
      </w:r>
    </w:p>
    <w:p w14:paraId="45D61B59" w14:textId="77777777" w:rsidR="00A25A50" w:rsidRDefault="00A25A50" w:rsidP="00A25A50">
      <w:pPr>
        <w:pStyle w:val="ListParagraph"/>
        <w:numPr>
          <w:ilvl w:val="0"/>
          <w:numId w:val="2"/>
        </w:numPr>
        <w:tabs>
          <w:tab w:val="left" w:pos="259"/>
        </w:tabs>
        <w:spacing w:line="465" w:lineRule="auto"/>
        <w:ind w:right="541" w:firstLine="0"/>
      </w:pPr>
      <w:r>
        <w:rPr>
          <w:b/>
          <w:w w:val="110"/>
          <w:sz w:val="24"/>
        </w:rPr>
        <w:t>Cyber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Security</w:t>
      </w:r>
      <w:r>
        <w:rPr>
          <w:b/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Conseil,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Audit,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Risque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conformité/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Gouvernance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repporting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/ Surveillance des logs sécurités / Suivi, traitement des incidents sécurités /</w:t>
      </w:r>
      <w:r>
        <w:rPr>
          <w:spacing w:val="-47"/>
          <w:w w:val="110"/>
          <w:sz w:val="24"/>
        </w:rPr>
        <w:t xml:space="preserve"> </w:t>
      </w:r>
      <w:r>
        <w:rPr>
          <w:w w:val="110"/>
          <w:sz w:val="24"/>
        </w:rPr>
        <w:t>Proxy web</w:t>
      </w:r>
      <w:r>
        <w:rPr>
          <w:w w:val="110"/>
        </w:rPr>
        <w:t>.</w:t>
      </w:r>
    </w:p>
    <w:p w14:paraId="41E40757" w14:textId="77777777" w:rsidR="00A25A50" w:rsidRDefault="00A25A50" w:rsidP="00A25A50">
      <w:pPr>
        <w:pStyle w:val="BodyText"/>
      </w:pPr>
    </w:p>
    <w:p w14:paraId="63FA5E8F" w14:textId="77777777" w:rsidR="00A25A50" w:rsidRDefault="00A25A50" w:rsidP="00A25A50">
      <w:pPr>
        <w:pStyle w:val="BodyText"/>
        <w:spacing w:before="5"/>
        <w:rPr>
          <w:sz w:val="19"/>
        </w:rPr>
      </w:pPr>
    </w:p>
    <w:p w14:paraId="170A7881" w14:textId="77777777" w:rsidR="00A25A50" w:rsidRDefault="00A25A50" w:rsidP="00A25A50">
      <w:pPr>
        <w:pStyle w:val="Heading4"/>
        <w:numPr>
          <w:ilvl w:val="1"/>
          <w:numId w:val="3"/>
        </w:numPr>
        <w:tabs>
          <w:tab w:val="num" w:pos="360"/>
          <w:tab w:val="left" w:pos="837"/>
        </w:tabs>
        <w:ind w:hanging="577"/>
      </w:pPr>
      <w:bookmarkStart w:id="5" w:name="_bookmark9"/>
      <w:bookmarkEnd w:id="5"/>
      <w:r>
        <w:rPr>
          <w:color w:val="0D0D0D"/>
          <w:w w:val="110"/>
        </w:rPr>
        <w:t>Organigramme de la</w:t>
      </w:r>
      <w:r>
        <w:rPr>
          <w:color w:val="0D0D0D"/>
          <w:spacing w:val="-22"/>
          <w:w w:val="110"/>
        </w:rPr>
        <w:t xml:space="preserve"> </w:t>
      </w:r>
      <w:r>
        <w:rPr>
          <w:color w:val="0D0D0D"/>
          <w:w w:val="110"/>
        </w:rPr>
        <w:t>société</w:t>
      </w:r>
    </w:p>
    <w:p w14:paraId="07BDBD91" w14:textId="77777777" w:rsidR="00A25A50" w:rsidRDefault="00A25A50" w:rsidP="00A25A50">
      <w:pPr>
        <w:pStyle w:val="BodyText"/>
        <w:spacing w:before="218"/>
        <w:ind w:left="118"/>
      </w:pPr>
      <w:r>
        <w:rPr>
          <w:w w:val="110"/>
        </w:rPr>
        <w:t>L’organigramme ci-dessous est divisé en deux parties, Support et Service Lines.</w:t>
      </w:r>
    </w:p>
    <w:p w14:paraId="151E08D8" w14:textId="77777777" w:rsidR="00A25A50" w:rsidRDefault="00A25A50" w:rsidP="00A25A50">
      <w:pPr>
        <w:pStyle w:val="BodyText"/>
        <w:spacing w:before="10"/>
        <w:rPr>
          <w:sz w:val="22"/>
        </w:rPr>
      </w:pPr>
    </w:p>
    <w:p w14:paraId="3C45FD8B" w14:textId="77777777" w:rsidR="00A25A50" w:rsidRDefault="00A25A50" w:rsidP="00A25A50">
      <w:pPr>
        <w:pStyle w:val="ListParagraph"/>
        <w:numPr>
          <w:ilvl w:val="0"/>
          <w:numId w:val="1"/>
        </w:numPr>
        <w:tabs>
          <w:tab w:val="left" w:pos="410"/>
        </w:tabs>
        <w:spacing w:before="1"/>
        <w:ind w:hanging="292"/>
        <w:rPr>
          <w:sz w:val="24"/>
        </w:rPr>
      </w:pPr>
      <w:r>
        <w:rPr>
          <w:w w:val="105"/>
          <w:sz w:val="24"/>
        </w:rPr>
        <w:t>Support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14:paraId="641C8460" w14:textId="77777777" w:rsidR="00A25A50" w:rsidRDefault="00A25A50" w:rsidP="00A25A50">
      <w:pPr>
        <w:pStyle w:val="BodyText"/>
        <w:spacing w:before="252" w:line="324" w:lineRule="auto"/>
        <w:ind w:left="118" w:right="480"/>
        <w:jc w:val="both"/>
      </w:pPr>
      <w:r>
        <w:rPr>
          <w:w w:val="110"/>
        </w:rPr>
        <w:t>Les fonctions support d’une entreprise désignent l’ensemble des activités de gestion qui</w:t>
      </w:r>
      <w:r>
        <w:rPr>
          <w:spacing w:val="-10"/>
          <w:w w:val="110"/>
        </w:rPr>
        <w:t xml:space="preserve"> </w:t>
      </w:r>
      <w:r>
        <w:rPr>
          <w:w w:val="110"/>
        </w:rPr>
        <w:t>ne</w:t>
      </w:r>
      <w:r>
        <w:rPr>
          <w:spacing w:val="-8"/>
          <w:w w:val="110"/>
        </w:rPr>
        <w:t xml:space="preserve"> </w:t>
      </w:r>
      <w:r>
        <w:rPr>
          <w:w w:val="110"/>
        </w:rPr>
        <w:t>constituent</w:t>
      </w:r>
      <w:r>
        <w:rPr>
          <w:spacing w:val="-7"/>
          <w:w w:val="110"/>
        </w:rPr>
        <w:t xml:space="preserve"> </w:t>
      </w:r>
      <w:r>
        <w:rPr>
          <w:w w:val="110"/>
        </w:rPr>
        <w:t>pas</w:t>
      </w:r>
      <w:r>
        <w:rPr>
          <w:spacing w:val="-6"/>
          <w:w w:val="110"/>
        </w:rPr>
        <w:t xml:space="preserve"> </w:t>
      </w:r>
      <w:r>
        <w:rPr>
          <w:w w:val="110"/>
        </w:rPr>
        <w:t>son</w:t>
      </w:r>
      <w:r>
        <w:rPr>
          <w:spacing w:val="-8"/>
          <w:w w:val="110"/>
        </w:rPr>
        <w:t xml:space="preserve"> </w:t>
      </w:r>
      <w:r>
        <w:rPr>
          <w:w w:val="110"/>
        </w:rPr>
        <w:t>cœur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métier.</w:t>
      </w:r>
      <w:r>
        <w:rPr>
          <w:spacing w:val="-8"/>
          <w:w w:val="110"/>
        </w:rPr>
        <w:t xml:space="preserve"> </w:t>
      </w:r>
      <w:r>
        <w:rPr>
          <w:w w:val="110"/>
        </w:rPr>
        <w:t>Elles</w:t>
      </w:r>
      <w:r>
        <w:rPr>
          <w:spacing w:val="-8"/>
          <w:w w:val="110"/>
        </w:rPr>
        <w:t xml:space="preserve"> </w:t>
      </w:r>
      <w:r>
        <w:rPr>
          <w:w w:val="110"/>
        </w:rPr>
        <w:t>représentent</w:t>
      </w:r>
      <w:r>
        <w:rPr>
          <w:spacing w:val="-7"/>
          <w:w w:val="110"/>
        </w:rPr>
        <w:t xml:space="preserve"> </w:t>
      </w:r>
      <w:r>
        <w:rPr>
          <w:w w:val="110"/>
        </w:rPr>
        <w:t>les</w:t>
      </w:r>
      <w:r>
        <w:rPr>
          <w:spacing w:val="-10"/>
          <w:w w:val="110"/>
        </w:rPr>
        <w:t xml:space="preserve"> </w:t>
      </w:r>
      <w:r>
        <w:rPr>
          <w:w w:val="110"/>
        </w:rPr>
        <w:t>actions,</w:t>
      </w:r>
      <w:r>
        <w:rPr>
          <w:spacing w:val="-8"/>
          <w:w w:val="110"/>
        </w:rPr>
        <w:t xml:space="preserve"> </w:t>
      </w:r>
      <w:r>
        <w:rPr>
          <w:w w:val="110"/>
        </w:rPr>
        <w:t>compétences, techniques et métiers qui épaulent la direction générale. Elle a pour but, de veiller au bon fonctionnement de</w:t>
      </w:r>
      <w:r>
        <w:rPr>
          <w:spacing w:val="-19"/>
          <w:w w:val="110"/>
        </w:rPr>
        <w:t xml:space="preserve"> </w:t>
      </w:r>
      <w:r>
        <w:rPr>
          <w:w w:val="110"/>
        </w:rPr>
        <w:t>l’entreprise.</w:t>
      </w:r>
    </w:p>
    <w:p w14:paraId="350F50A2" w14:textId="77777777" w:rsidR="00A25A50" w:rsidRDefault="00A25A50" w:rsidP="00A25A50">
      <w:pPr>
        <w:pStyle w:val="BodyText"/>
        <w:spacing w:before="161" w:line="321" w:lineRule="auto"/>
        <w:ind w:left="118" w:right="482"/>
        <w:jc w:val="both"/>
      </w:pPr>
      <w:r>
        <w:rPr>
          <w:w w:val="105"/>
        </w:rPr>
        <w:t>Ces différents supports sont : Finance, RH &amp; Facilities, Business Operations, Business Dev</w:t>
      </w:r>
    </w:p>
    <w:p w14:paraId="27953710" w14:textId="77777777" w:rsidR="00A25A50" w:rsidRDefault="00A25A50" w:rsidP="00A25A50">
      <w:pPr>
        <w:pStyle w:val="ListParagraph"/>
        <w:numPr>
          <w:ilvl w:val="0"/>
          <w:numId w:val="1"/>
        </w:numPr>
        <w:tabs>
          <w:tab w:val="left" w:pos="410"/>
        </w:tabs>
        <w:spacing w:before="170"/>
        <w:ind w:hanging="292"/>
        <w:rPr>
          <w:sz w:val="24"/>
        </w:rPr>
      </w:pPr>
      <w:r>
        <w:rPr>
          <w:w w:val="105"/>
          <w:sz w:val="24"/>
        </w:rPr>
        <w:t>Service Lines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14:paraId="226E1CFB" w14:textId="77777777" w:rsidR="00A25A50" w:rsidRDefault="00A25A50" w:rsidP="00A25A50">
      <w:pPr>
        <w:pStyle w:val="BodyText"/>
        <w:spacing w:before="250"/>
        <w:ind w:left="118"/>
      </w:pPr>
      <w:r>
        <w:rPr>
          <w:w w:val="110"/>
        </w:rPr>
        <w:t>Ce service est composé de</w:t>
      </w:r>
    </w:p>
    <w:p w14:paraId="755A9D8D" w14:textId="77777777" w:rsidR="00A25A50" w:rsidRDefault="00A25A50" w:rsidP="00A25A50">
      <w:pPr>
        <w:pStyle w:val="BodyText"/>
        <w:spacing w:before="4"/>
        <w:rPr>
          <w:sz w:val="22"/>
        </w:rPr>
      </w:pPr>
    </w:p>
    <w:p w14:paraId="305B184B" w14:textId="77777777" w:rsidR="00A25A50" w:rsidRDefault="00A25A50" w:rsidP="00A25A50">
      <w:pPr>
        <w:pStyle w:val="ListParagraph"/>
        <w:numPr>
          <w:ilvl w:val="0"/>
          <w:numId w:val="4"/>
        </w:numPr>
        <w:tabs>
          <w:tab w:val="left" w:pos="398"/>
        </w:tabs>
        <w:spacing w:line="324" w:lineRule="auto"/>
        <w:ind w:right="483" w:firstLine="0"/>
        <w:jc w:val="both"/>
        <w:rPr>
          <w:sz w:val="24"/>
        </w:rPr>
      </w:pPr>
      <w:r>
        <w:rPr>
          <w:b/>
          <w:w w:val="110"/>
          <w:sz w:val="24"/>
        </w:rPr>
        <w:t xml:space="preserve">APPS </w:t>
      </w:r>
      <w:r>
        <w:rPr>
          <w:w w:val="110"/>
          <w:sz w:val="24"/>
        </w:rPr>
        <w:t>: Application Service, qui se charge de l'intégration de systèmes et la maintenance applicative et est subdivisée en deux autres unités opérationnelles suivant les régions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géographiques.</w:t>
      </w:r>
    </w:p>
    <w:p w14:paraId="31BFC8A4" w14:textId="77777777" w:rsidR="00A25A50" w:rsidRDefault="00A25A50" w:rsidP="00A25A50">
      <w:pPr>
        <w:spacing w:line="324" w:lineRule="auto"/>
        <w:jc w:val="both"/>
        <w:rPr>
          <w:sz w:val="24"/>
        </w:rPr>
        <w:sectPr w:rsidR="00A25A50">
          <w:pgSz w:w="11910" w:h="16840"/>
          <w:pgMar w:top="1420" w:right="940" w:bottom="1260" w:left="1300" w:header="0" w:footer="1002" w:gutter="0"/>
          <w:cols w:space="720"/>
        </w:sectPr>
      </w:pPr>
    </w:p>
    <w:p w14:paraId="25811BCA" w14:textId="77777777" w:rsidR="00A25A50" w:rsidRDefault="00A25A50" w:rsidP="00A25A50">
      <w:pPr>
        <w:pStyle w:val="ListParagraph"/>
        <w:numPr>
          <w:ilvl w:val="0"/>
          <w:numId w:val="4"/>
        </w:numPr>
        <w:tabs>
          <w:tab w:val="left" w:pos="326"/>
        </w:tabs>
        <w:spacing w:before="25"/>
        <w:ind w:left="325" w:hanging="208"/>
        <w:rPr>
          <w:sz w:val="24"/>
        </w:rPr>
      </w:pPr>
      <w:r>
        <w:rPr>
          <w:b/>
          <w:w w:val="105"/>
          <w:sz w:val="24"/>
        </w:rPr>
        <w:lastRenderedPageBreak/>
        <w:t xml:space="preserve">GOC </w:t>
      </w:r>
      <w:r>
        <w:rPr>
          <w:w w:val="105"/>
          <w:sz w:val="24"/>
        </w:rPr>
        <w:t>: gestion opérationnelle et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commandement.</w:t>
      </w:r>
    </w:p>
    <w:p w14:paraId="6513D08C" w14:textId="77777777" w:rsidR="00A25A50" w:rsidRDefault="00A25A50" w:rsidP="00A25A50">
      <w:pPr>
        <w:pStyle w:val="BodyText"/>
        <w:spacing w:before="7"/>
        <w:rPr>
          <w:sz w:val="22"/>
        </w:rPr>
      </w:pPr>
    </w:p>
    <w:p w14:paraId="44348598" w14:textId="77777777" w:rsidR="00A25A50" w:rsidRDefault="00A25A50" w:rsidP="00A25A50">
      <w:pPr>
        <w:pStyle w:val="ListParagraph"/>
        <w:numPr>
          <w:ilvl w:val="0"/>
          <w:numId w:val="4"/>
        </w:numPr>
        <w:tabs>
          <w:tab w:val="left" w:pos="347"/>
        </w:tabs>
        <w:spacing w:line="324" w:lineRule="auto"/>
        <w:ind w:right="482" w:firstLine="0"/>
        <w:rPr>
          <w:sz w:val="24"/>
        </w:rPr>
      </w:pPr>
      <w:r>
        <w:rPr>
          <w:b/>
          <w:w w:val="110"/>
          <w:sz w:val="24"/>
        </w:rPr>
        <w:t xml:space="preserve">BPS </w:t>
      </w:r>
      <w:r>
        <w:rPr>
          <w:w w:val="110"/>
          <w:sz w:val="24"/>
        </w:rPr>
        <w:t>: Le service d’externalisation aussi appelé BPO, est une pratique d’entreprise qui consiste à déléguer à un prestataire une tâche ou l’intégralité d’un</w:t>
      </w:r>
      <w:r>
        <w:rPr>
          <w:spacing w:val="-30"/>
          <w:w w:val="110"/>
          <w:sz w:val="24"/>
        </w:rPr>
        <w:t xml:space="preserve"> </w:t>
      </w:r>
      <w:r>
        <w:rPr>
          <w:w w:val="110"/>
          <w:sz w:val="24"/>
        </w:rPr>
        <w:t>métier.</w:t>
      </w:r>
    </w:p>
    <w:p w14:paraId="2DF5DFED" w14:textId="77777777" w:rsidR="00A25A50" w:rsidRDefault="00A25A50" w:rsidP="00A25A50">
      <w:pPr>
        <w:pStyle w:val="ListParagraph"/>
        <w:numPr>
          <w:ilvl w:val="0"/>
          <w:numId w:val="4"/>
        </w:numPr>
        <w:tabs>
          <w:tab w:val="left" w:pos="326"/>
        </w:tabs>
        <w:spacing w:before="157"/>
        <w:ind w:left="325" w:hanging="208"/>
        <w:rPr>
          <w:sz w:val="24"/>
        </w:rPr>
      </w:pPr>
      <w:r>
        <w:rPr>
          <w:b/>
          <w:w w:val="110"/>
          <w:sz w:val="24"/>
        </w:rPr>
        <w:t>MWS</w:t>
      </w:r>
      <w:r>
        <w:rPr>
          <w:b/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Mobility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Workplace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Services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ou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Services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mobilité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milieu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travail.</w:t>
      </w:r>
    </w:p>
    <w:p w14:paraId="4C9C5A6B" w14:textId="77777777" w:rsidR="00A25A50" w:rsidRDefault="00A25A50" w:rsidP="00A25A5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74681A1" wp14:editId="76E7E962">
            <wp:simplePos x="0" y="0"/>
            <wp:positionH relativeFrom="page">
              <wp:posOffset>900683</wp:posOffset>
            </wp:positionH>
            <wp:positionV relativeFrom="paragraph">
              <wp:posOffset>145371</wp:posOffset>
            </wp:positionV>
            <wp:extent cx="5761322" cy="3209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2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941D" w14:textId="77777777" w:rsidR="00A25A50" w:rsidRDefault="00A25A50" w:rsidP="00A25A50">
      <w:pPr>
        <w:pStyle w:val="BodyText"/>
        <w:rPr>
          <w:sz w:val="21"/>
        </w:rPr>
      </w:pPr>
    </w:p>
    <w:p w14:paraId="794FDCD2" w14:textId="77777777" w:rsidR="00A25A50" w:rsidRDefault="00A25A50" w:rsidP="00A25A50">
      <w:pPr>
        <w:ind w:left="1033" w:right="1390"/>
        <w:jc w:val="center"/>
        <w:rPr>
          <w:rFonts w:ascii="P052" w:hAnsi="P052"/>
          <w:i/>
          <w:sz w:val="18"/>
        </w:rPr>
      </w:pPr>
      <w:bookmarkStart w:id="6" w:name="_bookmark10"/>
      <w:bookmarkEnd w:id="6"/>
      <w:r>
        <w:rPr>
          <w:rFonts w:ascii="P052" w:hAnsi="P052"/>
          <w:i/>
          <w:color w:val="44536A"/>
          <w:sz w:val="18"/>
        </w:rPr>
        <w:t xml:space="preserve">Figure </w:t>
      </w:r>
      <w:proofErr w:type="gramStart"/>
      <w:r>
        <w:rPr>
          <w:rFonts w:ascii="P052" w:hAnsi="P052"/>
          <w:i/>
          <w:color w:val="44536A"/>
          <w:sz w:val="18"/>
        </w:rPr>
        <w:t>3:</w:t>
      </w:r>
      <w:proofErr w:type="gramEnd"/>
      <w:r>
        <w:rPr>
          <w:rFonts w:ascii="P052" w:hAnsi="P052"/>
          <w:i/>
          <w:color w:val="44536A"/>
          <w:sz w:val="18"/>
        </w:rPr>
        <w:t xml:space="preserve"> Organigramme de la société</w:t>
      </w:r>
    </w:p>
    <w:p w14:paraId="07D75EA7" w14:textId="77777777" w:rsidR="00A25A50" w:rsidRDefault="00A25A50" w:rsidP="00A25A50">
      <w:pPr>
        <w:pStyle w:val="BodyText"/>
        <w:spacing w:before="2"/>
        <w:rPr>
          <w:rFonts w:ascii="P052"/>
          <w:i/>
          <w:sz w:val="20"/>
        </w:rPr>
      </w:pPr>
    </w:p>
    <w:p w14:paraId="6C56D19B" w14:textId="77777777" w:rsidR="00AD718A" w:rsidRDefault="00AD718A"/>
    <w:sectPr w:rsidR="00AD7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05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21E0"/>
    <w:multiLevelType w:val="hybridMultilevel"/>
    <w:tmpl w:val="8B4C80BA"/>
    <w:lvl w:ilvl="0" w:tplc="E8A8FF16">
      <w:numFmt w:val="bullet"/>
      <w:lvlText w:val="➢"/>
      <w:lvlJc w:val="left"/>
      <w:pPr>
        <w:ind w:left="409" w:hanging="291"/>
      </w:pPr>
      <w:rPr>
        <w:rFonts w:ascii="DejaVu Sans" w:eastAsia="DejaVu Sans" w:hAnsi="DejaVu Sans" w:cs="DejaVu Sans" w:hint="default"/>
        <w:w w:val="114"/>
        <w:sz w:val="24"/>
        <w:szCs w:val="24"/>
        <w:lang w:val="fr-FR" w:eastAsia="en-US" w:bidi="ar-SA"/>
      </w:rPr>
    </w:lvl>
    <w:lvl w:ilvl="1" w:tplc="77B613F6">
      <w:numFmt w:val="bullet"/>
      <w:lvlText w:val="•"/>
      <w:lvlJc w:val="left"/>
      <w:pPr>
        <w:ind w:left="1326" w:hanging="291"/>
      </w:pPr>
      <w:rPr>
        <w:rFonts w:hint="default"/>
        <w:lang w:val="fr-FR" w:eastAsia="en-US" w:bidi="ar-SA"/>
      </w:rPr>
    </w:lvl>
    <w:lvl w:ilvl="2" w:tplc="2A869F4C">
      <w:numFmt w:val="bullet"/>
      <w:lvlText w:val="•"/>
      <w:lvlJc w:val="left"/>
      <w:pPr>
        <w:ind w:left="2253" w:hanging="291"/>
      </w:pPr>
      <w:rPr>
        <w:rFonts w:hint="default"/>
        <w:lang w:val="fr-FR" w:eastAsia="en-US" w:bidi="ar-SA"/>
      </w:rPr>
    </w:lvl>
    <w:lvl w:ilvl="3" w:tplc="BA9CA6B4">
      <w:numFmt w:val="bullet"/>
      <w:lvlText w:val="•"/>
      <w:lvlJc w:val="left"/>
      <w:pPr>
        <w:ind w:left="3179" w:hanging="291"/>
      </w:pPr>
      <w:rPr>
        <w:rFonts w:hint="default"/>
        <w:lang w:val="fr-FR" w:eastAsia="en-US" w:bidi="ar-SA"/>
      </w:rPr>
    </w:lvl>
    <w:lvl w:ilvl="4" w:tplc="EA36B72C">
      <w:numFmt w:val="bullet"/>
      <w:lvlText w:val="•"/>
      <w:lvlJc w:val="left"/>
      <w:pPr>
        <w:ind w:left="4106" w:hanging="291"/>
      </w:pPr>
      <w:rPr>
        <w:rFonts w:hint="default"/>
        <w:lang w:val="fr-FR" w:eastAsia="en-US" w:bidi="ar-SA"/>
      </w:rPr>
    </w:lvl>
    <w:lvl w:ilvl="5" w:tplc="B910546A">
      <w:numFmt w:val="bullet"/>
      <w:lvlText w:val="•"/>
      <w:lvlJc w:val="left"/>
      <w:pPr>
        <w:ind w:left="5033" w:hanging="291"/>
      </w:pPr>
      <w:rPr>
        <w:rFonts w:hint="default"/>
        <w:lang w:val="fr-FR" w:eastAsia="en-US" w:bidi="ar-SA"/>
      </w:rPr>
    </w:lvl>
    <w:lvl w:ilvl="6" w:tplc="D35C30D8">
      <w:numFmt w:val="bullet"/>
      <w:lvlText w:val="•"/>
      <w:lvlJc w:val="left"/>
      <w:pPr>
        <w:ind w:left="5959" w:hanging="291"/>
      </w:pPr>
      <w:rPr>
        <w:rFonts w:hint="default"/>
        <w:lang w:val="fr-FR" w:eastAsia="en-US" w:bidi="ar-SA"/>
      </w:rPr>
    </w:lvl>
    <w:lvl w:ilvl="7" w:tplc="15EA1630">
      <w:numFmt w:val="bullet"/>
      <w:lvlText w:val="•"/>
      <w:lvlJc w:val="left"/>
      <w:pPr>
        <w:ind w:left="6886" w:hanging="291"/>
      </w:pPr>
      <w:rPr>
        <w:rFonts w:hint="default"/>
        <w:lang w:val="fr-FR" w:eastAsia="en-US" w:bidi="ar-SA"/>
      </w:rPr>
    </w:lvl>
    <w:lvl w:ilvl="8" w:tplc="6E7C29F4">
      <w:numFmt w:val="bullet"/>
      <w:lvlText w:val="•"/>
      <w:lvlJc w:val="left"/>
      <w:pPr>
        <w:ind w:left="7813" w:hanging="291"/>
      </w:pPr>
      <w:rPr>
        <w:rFonts w:hint="default"/>
        <w:lang w:val="fr-FR" w:eastAsia="en-US" w:bidi="ar-SA"/>
      </w:rPr>
    </w:lvl>
  </w:abstractNum>
  <w:abstractNum w:abstractNumId="1" w15:restartNumberingAfterBreak="0">
    <w:nsid w:val="4DFB64CD"/>
    <w:multiLevelType w:val="hybridMultilevel"/>
    <w:tmpl w:val="BC30205C"/>
    <w:lvl w:ilvl="0" w:tplc="B37C50BA">
      <w:numFmt w:val="bullet"/>
      <w:lvlText w:val="-"/>
      <w:lvlJc w:val="left"/>
      <w:pPr>
        <w:ind w:left="11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66AC669A">
      <w:numFmt w:val="bullet"/>
      <w:lvlText w:val="•"/>
      <w:lvlJc w:val="left"/>
      <w:pPr>
        <w:ind w:left="1074" w:hanging="140"/>
      </w:pPr>
      <w:rPr>
        <w:rFonts w:hint="default"/>
        <w:lang w:val="fr-FR" w:eastAsia="en-US" w:bidi="ar-SA"/>
      </w:rPr>
    </w:lvl>
    <w:lvl w:ilvl="2" w:tplc="A5AA118C">
      <w:numFmt w:val="bullet"/>
      <w:lvlText w:val="•"/>
      <w:lvlJc w:val="left"/>
      <w:pPr>
        <w:ind w:left="2029" w:hanging="140"/>
      </w:pPr>
      <w:rPr>
        <w:rFonts w:hint="default"/>
        <w:lang w:val="fr-FR" w:eastAsia="en-US" w:bidi="ar-SA"/>
      </w:rPr>
    </w:lvl>
    <w:lvl w:ilvl="3" w:tplc="9C6ED6F8">
      <w:numFmt w:val="bullet"/>
      <w:lvlText w:val="•"/>
      <w:lvlJc w:val="left"/>
      <w:pPr>
        <w:ind w:left="2983" w:hanging="140"/>
      </w:pPr>
      <w:rPr>
        <w:rFonts w:hint="default"/>
        <w:lang w:val="fr-FR" w:eastAsia="en-US" w:bidi="ar-SA"/>
      </w:rPr>
    </w:lvl>
    <w:lvl w:ilvl="4" w:tplc="71624816">
      <w:numFmt w:val="bullet"/>
      <w:lvlText w:val="•"/>
      <w:lvlJc w:val="left"/>
      <w:pPr>
        <w:ind w:left="3938" w:hanging="140"/>
      </w:pPr>
      <w:rPr>
        <w:rFonts w:hint="default"/>
        <w:lang w:val="fr-FR" w:eastAsia="en-US" w:bidi="ar-SA"/>
      </w:rPr>
    </w:lvl>
    <w:lvl w:ilvl="5" w:tplc="C0AACC16">
      <w:numFmt w:val="bullet"/>
      <w:lvlText w:val="•"/>
      <w:lvlJc w:val="left"/>
      <w:pPr>
        <w:ind w:left="4893" w:hanging="140"/>
      </w:pPr>
      <w:rPr>
        <w:rFonts w:hint="default"/>
        <w:lang w:val="fr-FR" w:eastAsia="en-US" w:bidi="ar-SA"/>
      </w:rPr>
    </w:lvl>
    <w:lvl w:ilvl="6" w:tplc="FEF4712C">
      <w:numFmt w:val="bullet"/>
      <w:lvlText w:val="•"/>
      <w:lvlJc w:val="left"/>
      <w:pPr>
        <w:ind w:left="5847" w:hanging="140"/>
      </w:pPr>
      <w:rPr>
        <w:rFonts w:hint="default"/>
        <w:lang w:val="fr-FR" w:eastAsia="en-US" w:bidi="ar-SA"/>
      </w:rPr>
    </w:lvl>
    <w:lvl w:ilvl="7" w:tplc="41C8FC52">
      <w:numFmt w:val="bullet"/>
      <w:lvlText w:val="•"/>
      <w:lvlJc w:val="left"/>
      <w:pPr>
        <w:ind w:left="6802" w:hanging="140"/>
      </w:pPr>
      <w:rPr>
        <w:rFonts w:hint="default"/>
        <w:lang w:val="fr-FR" w:eastAsia="en-US" w:bidi="ar-SA"/>
      </w:rPr>
    </w:lvl>
    <w:lvl w:ilvl="8" w:tplc="96E41E26">
      <w:numFmt w:val="bullet"/>
      <w:lvlText w:val="•"/>
      <w:lvlJc w:val="left"/>
      <w:pPr>
        <w:ind w:left="7757" w:hanging="140"/>
      </w:pPr>
      <w:rPr>
        <w:rFonts w:hint="default"/>
        <w:lang w:val="fr-FR" w:eastAsia="en-US" w:bidi="ar-SA"/>
      </w:rPr>
    </w:lvl>
  </w:abstractNum>
  <w:abstractNum w:abstractNumId="2" w15:restartNumberingAfterBreak="0">
    <w:nsid w:val="720F6B39"/>
    <w:multiLevelType w:val="multilevel"/>
    <w:tmpl w:val="88AC9192"/>
    <w:lvl w:ilvl="0">
      <w:start w:val="1"/>
      <w:numFmt w:val="decimal"/>
      <w:lvlText w:val="%1."/>
      <w:lvlJc w:val="left"/>
      <w:pPr>
        <w:ind w:left="834" w:hanging="432"/>
        <w:jc w:val="left"/>
      </w:pPr>
      <w:rPr>
        <w:rFonts w:ascii="Times New Roman" w:eastAsia="Times New Roman" w:hAnsi="Times New Roman" w:cs="Times New Roman" w:hint="default"/>
        <w:b/>
        <w:bCs/>
        <w:color w:val="1F3863"/>
        <w:spacing w:val="-19"/>
        <w:w w:val="75"/>
        <w:sz w:val="36"/>
        <w:szCs w:val="3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36" w:hanging="576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99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46" w:hanging="720"/>
        <w:jc w:val="left"/>
      </w:pPr>
      <w:rPr>
        <w:rFonts w:ascii="Times New Roman" w:eastAsia="Times New Roman" w:hAnsi="Times New Roman" w:cs="Times New Roman" w:hint="default"/>
        <w:b/>
        <w:bCs/>
        <w:color w:val="1F3863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345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48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1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5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57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60" w:hanging="720"/>
      </w:pPr>
      <w:rPr>
        <w:rFonts w:hint="default"/>
        <w:lang w:val="fr-FR" w:eastAsia="en-US" w:bidi="ar-SA"/>
      </w:rPr>
    </w:lvl>
  </w:abstractNum>
  <w:abstractNum w:abstractNumId="3" w15:restartNumberingAfterBreak="0">
    <w:nsid w:val="780F3376"/>
    <w:multiLevelType w:val="hybridMultilevel"/>
    <w:tmpl w:val="EB2A696C"/>
    <w:lvl w:ilvl="0" w:tplc="F0F0AF42">
      <w:numFmt w:val="bullet"/>
      <w:lvlText w:val="•"/>
      <w:lvlJc w:val="left"/>
      <w:pPr>
        <w:ind w:left="118" w:hanging="238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fr-FR" w:eastAsia="en-US" w:bidi="ar-SA"/>
      </w:rPr>
    </w:lvl>
    <w:lvl w:ilvl="1" w:tplc="E854757C">
      <w:numFmt w:val="bullet"/>
      <w:lvlText w:val=""/>
      <w:lvlJc w:val="left"/>
      <w:pPr>
        <w:ind w:left="1702" w:hanging="360"/>
      </w:pPr>
      <w:rPr>
        <w:rFonts w:hint="default"/>
        <w:w w:val="100"/>
        <w:lang w:val="fr-FR" w:eastAsia="en-US" w:bidi="ar-SA"/>
      </w:rPr>
    </w:lvl>
    <w:lvl w:ilvl="2" w:tplc="7160E232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3" w:tplc="38F0A162">
      <w:numFmt w:val="bullet"/>
      <w:lvlText w:val="•"/>
      <w:lvlJc w:val="left"/>
      <w:pPr>
        <w:ind w:left="3470" w:hanging="360"/>
      </w:pPr>
      <w:rPr>
        <w:rFonts w:hint="default"/>
        <w:lang w:val="fr-FR" w:eastAsia="en-US" w:bidi="ar-SA"/>
      </w:rPr>
    </w:lvl>
    <w:lvl w:ilvl="4" w:tplc="D516384A">
      <w:numFmt w:val="bullet"/>
      <w:lvlText w:val="•"/>
      <w:lvlJc w:val="left"/>
      <w:pPr>
        <w:ind w:left="4355" w:hanging="360"/>
      </w:pPr>
      <w:rPr>
        <w:rFonts w:hint="default"/>
        <w:lang w:val="fr-FR" w:eastAsia="en-US" w:bidi="ar-SA"/>
      </w:rPr>
    </w:lvl>
    <w:lvl w:ilvl="5" w:tplc="E058500C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6" w:tplc="3A789CAA">
      <w:numFmt w:val="bullet"/>
      <w:lvlText w:val="•"/>
      <w:lvlJc w:val="left"/>
      <w:pPr>
        <w:ind w:left="6125" w:hanging="360"/>
      </w:pPr>
      <w:rPr>
        <w:rFonts w:hint="default"/>
        <w:lang w:val="fr-FR" w:eastAsia="en-US" w:bidi="ar-SA"/>
      </w:rPr>
    </w:lvl>
    <w:lvl w:ilvl="7" w:tplc="D1F2E92C">
      <w:numFmt w:val="bullet"/>
      <w:lvlText w:val="•"/>
      <w:lvlJc w:val="left"/>
      <w:pPr>
        <w:ind w:left="7010" w:hanging="360"/>
      </w:pPr>
      <w:rPr>
        <w:rFonts w:hint="default"/>
        <w:lang w:val="fr-FR" w:eastAsia="en-US" w:bidi="ar-SA"/>
      </w:rPr>
    </w:lvl>
    <w:lvl w:ilvl="8" w:tplc="FA88E4EE">
      <w:numFmt w:val="bullet"/>
      <w:lvlText w:val="•"/>
      <w:lvlJc w:val="left"/>
      <w:pPr>
        <w:ind w:left="7896" w:hanging="360"/>
      </w:pPr>
      <w:rPr>
        <w:rFonts w:hint="default"/>
        <w:lang w:val="fr-FR" w:eastAsia="en-US" w:bidi="ar-SA"/>
      </w:rPr>
    </w:lvl>
  </w:abstractNum>
  <w:num w:numId="1" w16cid:durableId="1784306216">
    <w:abstractNumId w:val="0"/>
  </w:num>
  <w:num w:numId="2" w16cid:durableId="113252590">
    <w:abstractNumId w:val="1"/>
  </w:num>
  <w:num w:numId="3" w16cid:durableId="203520581">
    <w:abstractNumId w:val="2"/>
  </w:num>
  <w:num w:numId="4" w16cid:durableId="146022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0"/>
    <w:rsid w:val="00A25A50"/>
    <w:rsid w:val="00A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103F"/>
  <w15:chartTrackingRefBased/>
  <w15:docId w15:val="{B1511BF2-5CA9-42CF-9B68-FBDE716F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link w:val="Heading1Char"/>
    <w:uiPriority w:val="9"/>
    <w:qFormat/>
    <w:rsid w:val="00A25A50"/>
    <w:pPr>
      <w:spacing w:before="4"/>
      <w:ind w:left="834" w:hanging="432"/>
      <w:outlineLvl w:val="0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A25A50"/>
    <w:pPr>
      <w:ind w:left="836" w:hanging="57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50"/>
    <w:rPr>
      <w:rFonts w:ascii="Times New Roman" w:eastAsia="Times New Roman" w:hAnsi="Times New Roman" w:cs="Times New Roman"/>
      <w:b/>
      <w:bCs/>
      <w:sz w:val="40"/>
      <w:szCs w:val="40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25A50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paragraph" w:styleId="BodyText">
    <w:name w:val="Body Text"/>
    <w:basedOn w:val="Normal"/>
    <w:link w:val="BodyTextChar"/>
    <w:uiPriority w:val="1"/>
    <w:qFormat/>
    <w:rsid w:val="00A25A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5A50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1"/>
    <w:qFormat/>
    <w:rsid w:val="00A25A50"/>
    <w:pPr>
      <w:ind w:left="83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IBRAHIMI, Safae</dc:creator>
  <cp:keywords/>
  <dc:description/>
  <cp:lastModifiedBy>IBRAHIMI, Safae</cp:lastModifiedBy>
  <cp:revision>1</cp:revision>
  <dcterms:created xsi:type="dcterms:W3CDTF">2023-08-02T13:38:00Z</dcterms:created>
  <dcterms:modified xsi:type="dcterms:W3CDTF">2023-08-02T13:38:00Z</dcterms:modified>
</cp:coreProperties>
</file>