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10</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16</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1.5.0</w:t>
      </w:r>
    </w:p>
    <w:p>
      <w:pPr>
        <w:pStyle w:val="5"/>
      </w:pPr>
      <w:r>
        <w:t>Project/Context</w:t>
      </w:r>
    </w:p>
    <w:p>
      <w:r>
        <w:t>After logging in, users must now select a project (an ImplementationGuide) to work with prior to seeing any Browse screens. All screens (except Browse &gt; Other Resources) have been modified to respect the context of the project the user has selected, and will only show resources that are related to that project. When creating new resources or importing resources from an external source (such as a file on your computer), they are automatically associated with the project that you are working on.</w:t>
      </w:r>
    </w:p>
    <w:p>
      <w:r>
        <w:t>Note that permissions still apply; if you don't have permission to access a resource, you won't see it in the browse screens.</w:t>
      </w:r>
    </w:p>
    <w:p>
      <w:pPr>
        <w:pStyle w:val="5"/>
      </w:pPr>
      <w:r>
        <w:t>Authentication</w:t>
      </w:r>
    </w:p>
    <w:p>
      <w:r>
        <w:t xml:space="preserve">Behind-the-scenes, how ToF handles authentication has changed quite a bit. ToF used to be bound specifically to auth0.com so that only auth0.com can be used as an authentication provider. Now, however, we have replaced that functionality with more generic functionality to allow </w:t>
      </w:r>
      <w:r>
        <w:rPr>
          <w:i/>
        </w:rPr>
        <w:t xml:space="preserve">any </w:t>
      </w:r>
      <w:r>
        <w:t xml:space="preserve">OAuth2-compatible authentication provider to be used with Trifolia-on-FHIR. We have specifically tested authentication with </w:t>
      </w:r>
      <w:hyperlink r:id="hrId4" target="_blank">
        <w:r>
          <w:rPr>
            <w:rStyle w:val="c13"/>
          </w:rPr>
          <w:t>auth0.com</w:t>
        </w:r>
      </w:hyperlink>
      <w:r>
        <w:t xml:space="preserve">, </w:t>
      </w:r>
      <w:hyperlink r:id="hrId5" target="_blank">
        <w:r>
          <w:rPr>
            <w:rStyle w:val="c13"/>
          </w:rPr>
          <w:t>KeyCloak</w:t>
        </w:r>
      </w:hyperlink>
      <w:r>
        <w:t xml:space="preserve">, and </w:t>
      </w:r>
      <w:hyperlink r:id="hrId6">
        <w:r>
          <w:rPr>
            <w:rStyle w:val="c13"/>
          </w:rPr>
          <w:t>Okta</w:t>
        </w:r>
      </w:hyperlink>
      <w:r>
        <w:t>.</w:t>
      </w:r>
    </w:p>
    <w:p>
      <w:r>
        <w:t xml:space="preserve">Additionally, we have added support for an "administrator" role that allows you to configure specific users to be an administrator of ToF. These administrators have complete access over the installation of ToF. More information on configuring various authentication providers and how to setup administrator users can be found on the ToF GitHub repository's WIKI: </w:t>
      </w:r>
      <w:hyperlink r:id="hrId7" target="_blank">
        <w:r>
          <w:rPr>
            <w:rStyle w:val="c13"/>
          </w:rPr>
          <w:t>https://github.com/lantanagroup/trifolia-on-fhir/wiki/Authentication</w:t>
        </w:r>
      </w:hyperlink>
      <w:r>
        <w:t>.</w:t>
      </w:r>
    </w:p>
    <w:p>
      <w:pPr>
        <w:pStyle w:val="5"/>
      </w:pPr>
      <w:r>
        <w:t>Paging "Other Resources"</w:t>
      </w:r>
    </w:p>
    <w:p>
      <w:r>
        <w:t>Prior to this release, the screen would only show the first 10 resources stored on the server. Now, users are given paging options when there are multiple pages of resources.</w:t>
      </w:r>
    </w:p>
    <w:p>
      <w:pPr>
        <w:pStyle w:val="5"/>
      </w:pPr>
      <w:r>
        <w:t>Profile Mappings</w:t>
      </w:r>
    </w:p>
    <w:p>
      <w:r>
        <w:t>Enhancements have been made to the "Edit Profile" screen that make it easier for users to construct mappings within the profile.</w:t>
      </w:r>
    </w:p>
    <w:p>
      <w:pPr>
        <w:pStyle w:val="5"/>
      </w:pPr>
      <w:r>
        <w:t>Development Log</w:t>
      </w:r>
    </w:p>
    <w:p>
      <w:pPr>
        <w:ind w:left="-30"/>
      </w:pPr>
      <w:r>
        <w:t/>
      </w:r>
    </w:p>
    <w:tbl>
      <w:tblPr>
        <w:tblW w:w="11700" w:type="dxa"/>
        <w:tblLayout w:type="fixed"/>
        <w:tblCellMar>
          <w:top w:w="0" w:type="dxa"/>
          <w:left w:w="0" w:type="dxa"/>
          <w:bottom w:w="0" w:type="dxa"/>
          <w:right w:w="0" w:type="dxa"/>
        </w:tblCellMar>
        <w:tblInd w:w="-30" w:type="dxa"/>
      </w:tblPr>
      <w:tblGrid>
        <w:gridCol w:w="1770"/>
        <w:gridCol w:w="1755"/>
        <w:gridCol w:w="8175"/>
      </w:tblGrid>
      <w:tr>
        <w:trPr>
          <w:trHeight w:val="285" w:hRule="atLeast"/>
        </w:trPr>
        <w:tc>
          <w:tcPr>
            <w:tcW w:w="1770" w:type="dxa"/>
          </w:tcPr>
          <w:p>
            <w:r>
              <w:rPr>
                <w:b/>
                <w:color w:val="000000"/>
              </w:rPr>
              <w:t>Key</w:t>
            </w:r>
          </w:p>
        </w:tc>
        <w:tc>
          <w:tcPr>
            <w:tcW w:w="1755" w:type="dxa"/>
          </w:tcPr>
          <w:p>
            <w:r>
              <w:rPr>
                <w:b/>
                <w:color w:val="000000"/>
              </w:rPr>
              <w:t>Type</w:t>
            </w:r>
          </w:p>
        </w:tc>
        <w:tc>
          <w:tcPr>
            <w:tcW w:w="8175" w:type="dxa"/>
          </w:tcPr>
          <w:p>
            <w:r>
              <w:rPr>
                <w:b/>
                <w:color w:val="000000"/>
              </w:rPr>
              <w:t>Summary</w:t>
            </w:r>
          </w:p>
        </w:tc>
      </w:tr>
      <w:tr>
        <w:trPr>
          <w:trHeight w:val="285" w:hRule="atLeast"/>
        </w:trPr>
        <w:tc>
          <w:tcPr>
            <w:tcW w:w="1770" w:type="dxa"/>
          </w:tcPr>
          <w:p>
            <w:hyperlink r:id="hrId8" target="_blank">
              <w:r>
                <w:rPr>
                  <w:rStyle w:val="c13"/>
                </w:rPr>
                <w:t>TRIFFHIR-231</w:t>
              </w:r>
            </w:hyperlink>
          </w:p>
        </w:tc>
        <w:tc>
          <w:tcPr>
            <w:tcW w:w="1755" w:type="dxa"/>
          </w:tcPr>
          <w:p>
            <w:r>
              <w:rPr>
                <w:color w:val="000000"/>
              </w:rPr>
              <w:t>New Feature</w:t>
            </w:r>
          </w:p>
        </w:tc>
        <w:tc>
          <w:tcPr>
            <w:tcW w:w="8175" w:type="dxa"/>
          </w:tcPr>
          <w:p>
            <w:r>
              <w:rPr>
                <w:color w:val="000000"/>
              </w:rPr>
              <w:t>Select Project/ImplementationGuide Context</w:t>
            </w:r>
          </w:p>
        </w:tc>
      </w:tr>
      <w:tr>
        <w:trPr>
          <w:trHeight w:val="285" w:hRule="atLeast"/>
        </w:trPr>
        <w:tc>
          <w:tcPr>
            <w:tcW w:w="1770" w:type="dxa"/>
          </w:tcPr>
          <w:p>
            <w:hyperlink r:id="hrId9" target="_blank">
              <w:r>
                <w:rPr>
                  <w:rStyle w:val="c13"/>
                </w:rPr>
                <w:t>TRIFFHIR-199</w:t>
              </w:r>
            </w:hyperlink>
          </w:p>
        </w:tc>
        <w:tc>
          <w:tcPr>
            <w:tcW w:w="1755" w:type="dxa"/>
          </w:tcPr>
          <w:p>
            <w:r>
              <w:rPr>
                <w:color w:val="000000"/>
              </w:rPr>
              <w:t>New Feature</w:t>
            </w:r>
          </w:p>
        </w:tc>
        <w:tc>
          <w:tcPr>
            <w:tcW w:w="8175" w:type="dxa"/>
          </w:tcPr>
          <w:p>
            <w:r>
              <w:rPr>
                <w:color w:val="000000"/>
              </w:rPr>
              <w:t>Add an administrative role that overrides all permissions</w:t>
            </w:r>
          </w:p>
        </w:tc>
      </w:tr>
      <w:tr>
        <w:trPr>
          <w:trHeight w:val="285" w:hRule="atLeast"/>
        </w:trPr>
        <w:tc>
          <w:tcPr>
            <w:tcW w:w="1770" w:type="dxa"/>
          </w:tcPr>
          <w:p>
            <w:hyperlink r:id="hrId10" target="_blank">
              <w:r>
                <w:rPr>
                  <w:rStyle w:val="c13"/>
                </w:rPr>
                <w:t>TRIFFHIR-244</w:t>
              </w:r>
            </w:hyperlink>
          </w:p>
        </w:tc>
        <w:tc>
          <w:tcPr>
            <w:tcW w:w="1755" w:type="dxa"/>
          </w:tcPr>
          <w:p>
            <w:r>
              <w:rPr>
                <w:color w:val="000000"/>
              </w:rPr>
              <w:t>New Feature</w:t>
            </w:r>
          </w:p>
        </w:tc>
        <w:tc>
          <w:tcPr>
            <w:tcW w:w="8175" w:type="dxa"/>
          </w:tcPr>
          <w:p>
            <w:r>
              <w:rPr>
                <w:color w:val="000000"/>
              </w:rPr>
              <w:t>Make authentication generic to OAuth 2.0, not bound specifically to auth0.com</w:t>
            </w:r>
          </w:p>
        </w:tc>
      </w:tr>
      <w:tr>
        <w:trPr>
          <w:trHeight w:val="285" w:hRule="atLeast"/>
        </w:trPr>
        <w:tc>
          <w:tcPr>
            <w:tcW w:w="1770" w:type="dxa"/>
          </w:tcPr>
          <w:p>
            <w:hyperlink r:id="hrId11" target="_blank">
              <w:r>
                <w:rPr>
                  <w:rStyle w:val="c13"/>
                </w:rPr>
                <w:t>TRIFFHIR-236</w:t>
              </w:r>
            </w:hyperlink>
          </w:p>
        </w:tc>
        <w:tc>
          <w:tcPr>
            <w:tcW w:w="1755" w:type="dxa"/>
          </w:tcPr>
          <w:p>
            <w:r>
              <w:rPr>
                <w:color w:val="000000"/>
              </w:rPr>
              <w:t>Defect</w:t>
            </w:r>
          </w:p>
        </w:tc>
        <w:tc>
          <w:tcPr>
            <w:tcW w:w="8175" w:type="dxa"/>
          </w:tcPr>
          <w:p>
            <w:r>
              <w:rPr>
                <w:color w:val="000000"/>
              </w:rPr>
              <w:t>Profile editor doesn't allow expanding PlanDefinition.action.action</w:t>
            </w:r>
          </w:p>
        </w:tc>
      </w:tr>
      <w:tr>
        <w:trPr>
          <w:trHeight w:val="285" w:hRule="atLeast"/>
        </w:trPr>
        <w:tc>
          <w:tcPr>
            <w:tcW w:w="1770" w:type="dxa"/>
          </w:tcPr>
          <w:p>
            <w:hyperlink r:id="hrId12" target="_blank">
              <w:r>
                <w:rPr>
                  <w:rStyle w:val="c13"/>
                </w:rPr>
                <w:t>TRIFFHIR-214</w:t>
              </w:r>
            </w:hyperlink>
          </w:p>
        </w:tc>
        <w:tc>
          <w:tcPr>
            <w:tcW w:w="1755" w:type="dxa"/>
          </w:tcPr>
          <w:p>
            <w:r>
              <w:rPr>
                <w:color w:val="000000"/>
              </w:rPr>
              <w:t>Defect</w:t>
            </w:r>
          </w:p>
        </w:tc>
        <w:tc>
          <w:tcPr>
            <w:tcW w:w="8175" w:type="dxa"/>
          </w:tcPr>
          <w:p>
            <w:r>
              <w:rPr>
                <w:color w:val="000000"/>
              </w:rPr>
              <w:t>Change the element definition panel's alias property to repeat (allow multiple)</w:t>
            </w:r>
          </w:p>
        </w:tc>
      </w:tr>
      <w:tr>
        <w:trPr>
          <w:trHeight w:val="285" w:hRule="atLeast"/>
        </w:trPr>
        <w:tc>
          <w:tcPr>
            <w:tcW w:w="1770" w:type="dxa"/>
          </w:tcPr>
          <w:p>
            <w:hyperlink r:id="hrId13" target="_blank">
              <w:r>
                <w:rPr>
                  <w:rStyle w:val="c13"/>
                </w:rPr>
                <w:t>TRIFFHIR-232</w:t>
              </w:r>
            </w:hyperlink>
          </w:p>
        </w:tc>
        <w:tc>
          <w:tcPr>
            <w:tcW w:w="1755" w:type="dxa"/>
          </w:tcPr>
          <w:p>
            <w:r>
              <w:rPr>
                <w:color w:val="000000"/>
              </w:rPr>
              <w:t>Defect</w:t>
            </w:r>
          </w:p>
        </w:tc>
        <w:tc>
          <w:tcPr>
            <w:tcW w:w="8175" w:type="dxa"/>
          </w:tcPr>
          <w:p>
            <w:r>
              <w:rPr>
                <w:color w:val="000000"/>
              </w:rPr>
              <w:t>Cannot set value set binding on R4 profile's element</w:t>
            </w:r>
          </w:p>
        </w:tc>
      </w:tr>
      <w:tr>
        <w:trPr>
          <w:trHeight w:val="285" w:hRule="atLeast"/>
        </w:trPr>
        <w:tc>
          <w:tcPr>
            <w:tcW w:w="1770" w:type="dxa"/>
          </w:tcPr>
          <w:p>
            <w:hyperlink r:id="hrId14" target="_blank">
              <w:r>
                <w:rPr>
                  <w:rStyle w:val="c13"/>
                </w:rPr>
                <w:t>TRIFFHIR-243</w:t>
              </w:r>
            </w:hyperlink>
          </w:p>
        </w:tc>
        <w:tc>
          <w:tcPr>
            <w:tcW w:w="1755" w:type="dxa"/>
          </w:tcPr>
          <w:p>
            <w:r>
              <w:rPr>
                <w:color w:val="000000"/>
              </w:rPr>
              <w:t>Defect</w:t>
            </w:r>
          </w:p>
        </w:tc>
        <w:tc>
          <w:tcPr>
            <w:tcW w:w="8175" w:type="dxa"/>
          </w:tcPr>
          <w:p>
            <w:r>
              <w:rPr>
                <w:color w:val="000000"/>
              </w:rPr>
              <w:t>"Add" button for R4 capability statement REST tabs doesn't work</w:t>
            </w:r>
          </w:p>
        </w:tc>
      </w:tr>
      <w:tr>
        <w:trPr>
          <w:trHeight w:val="285" w:hRule="atLeast"/>
        </w:trPr>
        <w:tc>
          <w:tcPr>
            <w:tcW w:w="1770" w:type="dxa"/>
          </w:tcPr>
          <w:p>
            <w:hyperlink r:id="hrId15" target="_blank">
              <w:r>
                <w:rPr>
                  <w:rStyle w:val="c13"/>
                </w:rPr>
                <w:t>TRIFFHIR-249</w:t>
              </w:r>
            </w:hyperlink>
          </w:p>
        </w:tc>
        <w:tc>
          <w:tcPr>
            <w:tcW w:w="1755" w:type="dxa"/>
          </w:tcPr>
          <w:p>
            <w:r>
              <w:rPr>
                <w:color w:val="000000"/>
              </w:rPr>
              <w:t>Defect</w:t>
            </w:r>
          </w:p>
        </w:tc>
        <w:tc>
          <w:tcPr>
            <w:tcW w:w="8175" w:type="dxa"/>
          </w:tcPr>
          <w:p>
            <w:r>
              <w:rPr>
                <w:color w:val="000000"/>
              </w:rPr>
              <w:t>Can't expand a brand new slice</w:t>
            </w:r>
          </w:p>
        </w:tc>
      </w:tr>
      <w:tr>
        <w:trPr>
          <w:trHeight w:val="285" w:hRule="atLeast"/>
        </w:trPr>
        <w:tc>
          <w:tcPr>
            <w:tcW w:w="1770" w:type="dxa"/>
          </w:tcPr>
          <w:p>
            <w:hyperlink r:id="hrId16" target="_blank">
              <w:r>
                <w:rPr>
                  <w:rStyle w:val="c13"/>
                </w:rPr>
                <w:t>TRIFFHIR-246</w:t>
              </w:r>
            </w:hyperlink>
          </w:p>
        </w:tc>
        <w:tc>
          <w:tcPr>
            <w:tcW w:w="1755" w:type="dxa"/>
          </w:tcPr>
          <w:p>
            <w:r>
              <w:rPr>
                <w:color w:val="000000"/>
              </w:rPr>
              <w:t>Defect</w:t>
            </w:r>
          </w:p>
        </w:tc>
        <w:tc>
          <w:tcPr>
            <w:tcW w:w="8175" w:type="dxa"/>
          </w:tcPr>
          <w:p>
            <w:r>
              <w:rPr>
                <w:color w:val="000000"/>
              </w:rPr>
              <w:t>ServiceRequest vs. ServiceDefinition for CapabilityStatement &gt; REST &gt; Resource &gt; Type</w:t>
            </w:r>
          </w:p>
        </w:tc>
      </w:tr>
      <w:tr>
        <w:trPr>
          <w:trHeight w:val="285" w:hRule="atLeast"/>
        </w:trPr>
        <w:tc>
          <w:tcPr>
            <w:tcW w:w="1770" w:type="dxa"/>
          </w:tcPr>
          <w:p>
            <w:hyperlink r:id="hrId17" target="_blank">
              <w:r>
                <w:rPr>
                  <w:rStyle w:val="c13"/>
                </w:rPr>
                <w:t>TRIFFHIR-251</w:t>
              </w:r>
            </w:hyperlink>
          </w:p>
        </w:tc>
        <w:tc>
          <w:tcPr>
            <w:tcW w:w="1755" w:type="dxa"/>
          </w:tcPr>
          <w:p>
            <w:r>
              <w:rPr>
                <w:color w:val="000000"/>
              </w:rPr>
              <w:t>Defect</w:t>
            </w:r>
          </w:p>
        </w:tc>
        <w:tc>
          <w:tcPr>
            <w:tcW w:w="8175" w:type="dxa"/>
          </w:tcPr>
          <w:p>
            <w:r>
              <w:rPr>
                <w:color w:val="000000"/>
              </w:rPr>
              <w:t>Multiple publish boxes on published implementation guide's main page</w:t>
            </w:r>
          </w:p>
        </w:tc>
      </w:tr>
      <w:tr>
        <w:trPr>
          <w:trHeight w:val="285" w:hRule="atLeast"/>
        </w:trPr>
        <w:tc>
          <w:tcPr>
            <w:tcW w:w="1770" w:type="dxa"/>
          </w:tcPr>
          <w:p>
            <w:hyperlink r:id="hrId18" target="_blank">
              <w:r>
                <w:rPr>
                  <w:rStyle w:val="c13"/>
                </w:rPr>
                <w:t>TRIFFHIR-254</w:t>
              </w:r>
            </w:hyperlink>
          </w:p>
        </w:tc>
        <w:tc>
          <w:tcPr>
            <w:tcW w:w="1755" w:type="dxa"/>
          </w:tcPr>
          <w:p>
            <w:r>
              <w:rPr>
                <w:color w:val="000000"/>
              </w:rPr>
              <w:t>Defect</w:t>
            </w:r>
          </w:p>
        </w:tc>
        <w:tc>
          <w:tcPr>
            <w:tcW w:w="8175" w:type="dxa"/>
          </w:tcPr>
          <w:p>
            <w:r>
              <w:rPr>
                <w:color w:val="000000"/>
              </w:rPr>
              <w:t>Change editor to only display constraints in the current profile's differential, regardless of base profile</w:t>
            </w:r>
          </w:p>
        </w:tc>
      </w:tr>
      <w:tr>
        <w:trPr>
          <w:trHeight w:val="285" w:hRule="atLeast"/>
        </w:trPr>
        <w:tc>
          <w:tcPr>
            <w:tcW w:w="1770" w:type="dxa"/>
          </w:tcPr>
          <w:p>
            <w:hyperlink r:id="hrId19" target="_blank">
              <w:r>
                <w:rPr>
                  <w:rStyle w:val="c13"/>
                </w:rPr>
                <w:t>TRIFFHIR-190</w:t>
              </w:r>
            </w:hyperlink>
          </w:p>
        </w:tc>
        <w:tc>
          <w:tcPr>
            <w:tcW w:w="1755" w:type="dxa"/>
          </w:tcPr>
          <w:p>
            <w:r>
              <w:rPr>
                <w:color w:val="000000"/>
              </w:rPr>
              <w:t>Improvement</w:t>
            </w:r>
          </w:p>
        </w:tc>
        <w:tc>
          <w:tcPr>
            <w:tcW w:w="8175" w:type="dxa"/>
          </w:tcPr>
          <w:p>
            <w:r>
              <w:rPr>
                <w:color w:val="000000"/>
              </w:rPr>
              <w:t>User interface allows profiling fields that shouldn't be profiled</w:t>
            </w:r>
          </w:p>
        </w:tc>
      </w:tr>
      <w:tr>
        <w:trPr>
          <w:trHeight w:val="285" w:hRule="atLeast"/>
        </w:trPr>
        <w:tc>
          <w:tcPr>
            <w:tcW w:w="1770" w:type="dxa"/>
          </w:tcPr>
          <w:p>
            <w:hyperlink r:id="hrId20" target="_blank">
              <w:r>
                <w:rPr>
                  <w:rStyle w:val="c13"/>
                </w:rPr>
                <w:t>TRIFFHIR-188</w:t>
              </w:r>
            </w:hyperlink>
          </w:p>
        </w:tc>
        <w:tc>
          <w:tcPr>
            <w:tcW w:w="1755" w:type="dxa"/>
          </w:tcPr>
          <w:p>
            <w:r>
              <w:rPr>
                <w:color w:val="000000"/>
              </w:rPr>
              <w:t>Improvement</w:t>
            </w:r>
          </w:p>
        </w:tc>
        <w:tc>
          <w:tcPr>
            <w:tcW w:w="8175" w:type="dxa"/>
          </w:tcPr>
          <w:p>
            <w:r>
              <w:rPr>
                <w:color w:val="000000"/>
              </w:rPr>
              <w:t>Add support for paging in the "Other Resources" screen</w:t>
            </w:r>
          </w:p>
        </w:tc>
      </w:tr>
      <w:tr>
        <w:trPr>
          <w:trHeight w:val="285" w:hRule="atLeast"/>
        </w:trPr>
        <w:tc>
          <w:tcPr>
            <w:tcW w:w="1770" w:type="dxa"/>
          </w:tcPr>
          <w:p>
            <w:hyperlink r:id="hrId21" target="_blank">
              <w:r>
                <w:rPr>
                  <w:rStyle w:val="c13"/>
                </w:rPr>
                <w:t>TRIFFHIR-233</w:t>
              </w:r>
            </w:hyperlink>
          </w:p>
        </w:tc>
        <w:tc>
          <w:tcPr>
            <w:tcW w:w="1755" w:type="dxa"/>
          </w:tcPr>
          <w:p>
            <w:r>
              <w:rPr>
                <w:color w:val="000000"/>
              </w:rPr>
              <w:t>Improvement</w:t>
            </w:r>
          </w:p>
        </w:tc>
        <w:tc>
          <w:tcPr>
            <w:tcW w:w="8175" w:type="dxa"/>
          </w:tcPr>
          <w:p>
            <w:r>
              <w:rPr>
                <w:color w:val="000000"/>
              </w:rPr>
              <w:t>Element mappings reference profile mappings</w:t>
            </w:r>
          </w:p>
        </w:tc>
      </w:tr>
      <w:tr>
        <w:trPr>
          <w:trHeight w:val="285" w:hRule="atLeast"/>
        </w:trPr>
        <w:tc>
          <w:tcPr>
            <w:tcW w:w="1770" w:type="dxa"/>
          </w:tcPr>
          <w:p>
            <w:hyperlink r:id="hrId22" target="_blank">
              <w:r>
                <w:rPr>
                  <w:rStyle w:val="c13"/>
                </w:rPr>
                <w:t>TRIFFHIR-240</w:t>
              </w:r>
            </w:hyperlink>
          </w:p>
        </w:tc>
        <w:tc>
          <w:tcPr>
            <w:tcW w:w="1755" w:type="dxa"/>
          </w:tcPr>
          <w:p>
            <w:r>
              <w:rPr>
                <w:color w:val="000000"/>
              </w:rPr>
              <w:t>Improvement</w:t>
            </w:r>
          </w:p>
        </w:tc>
        <w:tc>
          <w:tcPr>
            <w:tcW w:w="8175" w:type="dxa"/>
          </w:tcPr>
          <w:p>
            <w:r>
              <w:rPr>
                <w:color w:val="000000"/>
              </w:rPr>
              <w:t>Automatically delete IG references when deleting resources</w:t>
            </w:r>
          </w:p>
        </w:tc>
      </w:tr>
      <w:tr>
        <w:trPr>
          <w:trHeight w:val="285" w:hRule="atLeast"/>
        </w:trPr>
        <w:tc>
          <w:tcPr>
            <w:tcW w:w="1770" w:type="dxa"/>
          </w:tcPr>
          <w:p>
            <w:hyperlink r:id="hrId23" target="_blank">
              <w:r>
                <w:rPr>
                  <w:rStyle w:val="c13"/>
                </w:rPr>
                <w:t>TRIFFHIR-239</w:t>
              </w:r>
            </w:hyperlink>
          </w:p>
        </w:tc>
        <w:tc>
          <w:tcPr>
            <w:tcW w:w="1755" w:type="dxa"/>
          </w:tcPr>
          <w:p>
            <w:r>
              <w:rPr>
                <w:color w:val="000000"/>
              </w:rPr>
              <w:t>Improvement</w:t>
            </w:r>
          </w:p>
        </w:tc>
        <w:tc>
          <w:tcPr>
            <w:tcW w:w="8175" w:type="dxa"/>
          </w:tcPr>
          <w:p>
            <w:r>
              <w:rPr>
                <w:color w:val="000000"/>
              </w:rPr>
              <w:t>Automatically set ID of new resources to the leaf/end of the URL</w:t>
            </w:r>
          </w:p>
        </w:tc>
      </w:tr>
      <w:tr>
        <w:trPr>
          <w:trHeight w:val="285" w:hRule="atLeast"/>
        </w:trPr>
        <w:tc>
          <w:tcPr>
            <w:tcW w:w="1770" w:type="dxa"/>
          </w:tcPr>
          <w:p>
            <w:hyperlink r:id="hrId24" target="_blank">
              <w:r>
                <w:rPr>
                  <w:rStyle w:val="c13"/>
                </w:rPr>
                <w:t>TRIFFHIR-242</w:t>
              </w:r>
            </w:hyperlink>
          </w:p>
        </w:tc>
        <w:tc>
          <w:tcPr>
            <w:tcW w:w="1755" w:type="dxa"/>
          </w:tcPr>
          <w:p>
            <w:r>
              <w:rPr>
                <w:color w:val="000000"/>
              </w:rPr>
              <w:t>Improvement</w:t>
            </w:r>
          </w:p>
        </w:tc>
        <w:tc>
          <w:tcPr>
            <w:tcW w:w="8175" w:type="dxa"/>
          </w:tcPr>
          <w:p>
            <w:r>
              <w:rPr>
                <w:color w:val="000000"/>
              </w:rPr>
              <w:t>Add "supported profiles" to R4 capability statement editing screen</w:t>
            </w:r>
          </w:p>
        </w:tc>
      </w:tr>
      <w:tr>
        <w:trPr>
          <w:trHeight w:val="255" w:hRule="atLeast"/>
        </w:trPr>
        <w:tc>
          <w:tcPr>
            <w:tcW w:w="1770" w:type="dxa"/>
          </w:tcPr>
          <w:p>
            <w:hyperlink r:id="hrId25" target="_blank">
              <w:r>
                <w:rPr>
                  <w:rStyle w:val="c13"/>
                </w:rPr>
                <w:t>TRIFFHIR-253</w:t>
              </w:r>
            </w:hyperlink>
          </w:p>
        </w:tc>
        <w:tc>
          <w:tcPr>
            <w:tcW w:w="1755" w:type="dxa"/>
          </w:tcPr>
          <w:p>
            <w:r>
              <w:rPr>
                <w:color w:val="000000"/>
              </w:rPr>
              <w:t>Improvement</w:t>
            </w:r>
          </w:p>
        </w:tc>
        <w:tc>
          <w:tcPr>
            <w:tcW w:w="8175" w:type="dxa"/>
          </w:tcPr>
          <w:p>
            <w:r>
              <w:rPr>
                <w:color w:val="000000"/>
              </w:rPr>
              <w:t>Getting latest ig publisher doesn't work due to HL7/FHIR process changes</w:t>
            </w:r>
          </w:p>
        </w:tc>
      </w:tr>
      <w:tr>
        <w:trPr>
          <w:trHeight w:val="255" w:hRule="atLeast"/>
        </w:trPr>
        <w:tc>
          <w:tcPr>
            <w:tcW w:w="1770" w:type="dxa"/>
          </w:tcPr>
          <w:p>
            <w:hyperlink r:id="hrId26" target="_blank">
              <w:r>
                <w:rPr>
                  <w:rStyle w:val="c13"/>
                </w:rPr>
                <w:t>TRIFFHIR-200</w:t>
              </w:r>
            </w:hyperlink>
          </w:p>
        </w:tc>
        <w:tc>
          <w:tcPr>
            <w:tcW w:w="1755" w:type="dxa"/>
          </w:tcPr>
          <w:p>
            <w:r>
              <w:rPr>
                <w:color w:val="000000"/>
              </w:rPr>
              <w:t>Improvement</w:t>
            </w:r>
          </w:p>
        </w:tc>
        <w:tc>
          <w:tcPr>
            <w:tcW w:w="8175" w:type="dxa"/>
          </w:tcPr>
          <w:p>
            <w:r>
              <w:rPr>
                <w:color w:val="000000"/>
              </w:rPr>
              <w:t>Automatically associate new resources to IG in context</w:t>
            </w:r>
          </w:p>
        </w:tc>
      </w:tr>
    </w:tbl>
    <w:p>
      <w:pPr>
        <w:ind w:left="-30"/>
      </w:pPr>
      <w:r>
        <w:tab/>
      </w:r>
    </w:p>
    <w:p>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27"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5"/>
        </w:numPr>
      </w:pPr>
      <w:r/>
      <w:r>
        <w:t>Create an Implementation Guide</w:t>
      </w:r>
    </w:p>
    <w:p>
      <w:pPr>
        <w:numPr>
          <w:ilvl w:val="0"/>
          <w:numId w:val="5"/>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5"/>
        </w:numPr>
      </w:pPr>
      <w:r/>
      <w:r>
        <w:t>Export an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Validation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p>
    <w:p>
      <w:pPr>
        <w:ind w:left="5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6"/>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28">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6"/>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6"/>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6"/>
        </w:numPr>
      </w:pPr>
      <w:r/>
      <w:r>
        <w:t xml:space="preserve">The profile editor loads the elements from the snapshot of the “base definition” profile. </w:t>
      </w:r>
    </w:p>
    <w:p>
      <w:pPr>
        <w:widowControl/>
        <w:spacing w:before="105" w:after="105"/>
        <w:numPr>
          <w:ilvl w:val="1"/>
          <w:numId w:val="6"/>
        </w:numPr>
      </w:pPr>
      <w:r/>
      <w:r>
        <w:t>If the base definition represents a profile that does not yet have a snapshot, it attempts to create a snapshot for the base definition profile.</w:t>
      </w:r>
    </w:p>
    <w:p>
      <w:pPr>
        <w:widowControl/>
        <w:spacing w:before="105" w:after="105"/>
        <w:numPr>
          <w:ilvl w:val="1"/>
          <w:numId w:val="6"/>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6"/>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6"/>
        </w:numPr>
      </w:pPr>
      <w:r/>
      <w:r>
        <w:t>Cardinality</w:t>
      </w:r>
    </w:p>
    <w:p>
      <w:pPr>
        <w:numPr>
          <w:ilvl w:val="1"/>
          <w:numId w:val="6"/>
        </w:numPr>
      </w:pPr>
      <w:r/>
      <w:r>
        <w:t>Users can set the cardinality of an element to an invalid value, but a Warning will appear in the Element Definition form and a Validation Error appears in the Validation tab if the user.</w:t>
      </w:r>
    </w:p>
    <w:p>
      <w:pPr>
        <w:numPr>
          <w:ilvl w:val="2"/>
          <w:numId w:val="6"/>
        </w:numPr>
      </w:pPr>
      <w:r/>
      <w:r>
        <w:t>selects a min cardinality less than the base element's min cardinality.</w:t>
      </w:r>
    </w:p>
    <w:p>
      <w:pPr>
        <w:numPr>
          <w:ilvl w:val="2"/>
          <w:numId w:val="6"/>
        </w:numPr>
      </w:pPr>
      <w:r/>
      <w:r>
        <w:t>selects a max cardinality greater than the base element's max cardinality.</w:t>
      </w:r>
      <w:r>
        <w:br/>
      </w:r>
      <w:r>
        <w:t/>
      </w:r>
    </w:p>
    <w:p>
      <w:pPr>
        <w:numPr>
          <w:ilvl w:val="0"/>
          <w:numId w:val="6"/>
        </w:numPr>
      </w:pPr>
      <w:r/>
      <w:r>
        <w:t>Maximum Field Length</w:t>
      </w:r>
    </w:p>
    <w:p>
      <w:pPr>
        <w:numPr>
          <w:ilvl w:val="1"/>
          <w:numId w:val="6"/>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7"/>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7"/>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7"/>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8"/>
        </w:numPr>
      </w:pPr>
      <w:r/>
      <w:r>
        <w:t>Select the element you want to bind the fixed value to.</w:t>
      </w:r>
    </w:p>
    <w:p>
      <w:pPr>
        <w:numPr>
          <w:ilvl w:val="0"/>
          <w:numId w:val="8"/>
        </w:numPr>
      </w:pPr>
      <w:r/>
      <w:r>
        <w:t>Select the "binding" tab in the properties of the element (on the right side of the screen).</w:t>
      </w:r>
    </w:p>
    <w:p>
      <w:pPr>
        <w:numPr>
          <w:ilvl w:val="0"/>
          <w:numId w:val="8"/>
        </w:numPr>
      </w:pPr>
      <w:r/>
      <w:r>
        <w:t>Check the checkbox next to "Fixed".</w:t>
      </w:r>
    </w:p>
    <w:p>
      <w:pPr>
        <w:numPr>
          <w:ilvl w:val="0"/>
          <w:numId w:val="8"/>
        </w:numPr>
      </w:pPr>
      <w:r/>
      <w:r>
        <w:t>Select the corresponding "type" for the element (ex: "CodeableConcept" or "string" or whatever, depending on the data type of the element you are constraining).</w:t>
      </w:r>
    </w:p>
    <w:p>
      <w:pPr>
        <w:numPr>
          <w:ilvl w:val="0"/>
          <w:numId w:val="8"/>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9"/>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9"/>
        </w:numPr>
      </w:pPr>
      <w:r/>
      <w:r>
        <w:t xml:space="preserve">The CodeSystem resource may list some or all of the concepts in the code system, along with their basic properties (code, display, definition), designations, and additional properties. </w:t>
      </w:r>
    </w:p>
    <w:p>
      <w:pPr>
        <w:numPr>
          <w:ilvl w:val="0"/>
          <w:numId w:val="9"/>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and any special requirements for the implementation guide. You can add these narrative pages in the "Edit Implementation Guide" screen under the "Narrative/Pages" tab.</w:t>
      </w:r>
    </w:p>
    <w:p>
      <w:r>
        <w:t>The content of the pages is markdown, and the ToF user interface provides a WYSIWYG editor that is based on markdown syntax. The WYSIWYG editor supports basic markdown syntax, such as bold, italics, underline, headings, etc. More advanced markdown functionality (such as tables) may not display correctly in the editor, but will be supported during the publish process; even though the WYSIWYG editor doesn't show the tables, it may look like a table after you have published your implementation guide.</w:t>
      </w:r>
    </w:p>
    <w:p>
      <w:pPr>
        <w:pStyle w:val="4"/>
      </w:pPr>
      <w:r>
        <w:t>Navigation Menus</w:t>
      </w:r>
    </w:p>
    <w:p>
      <w:r>
        <w:t>Each page in the implementation guide can be associated with a top-level navigation menu. Edit the page, and specify a name for the top-level navigation menu. When you edit additional pages and begin typing the same menu name, the already-existing menu name will be shown as a suggestion for selection. Each unique page name will show up as a top-level navigation menu after you have published your implementation guides, and any pages that are associated with that menu will be shown as options within that menu.</w:t>
      </w:r>
    </w:p>
    <w:p>
      <w:pPr>
        <w:pStyle w:val="4"/>
      </w:pPr>
      <w:r>
        <w:t>Images</w:t>
      </w:r>
    </w:p>
    <w:p>
      <w:r>
        <w:t>To add one or more images to pages in your implementation guide, follow these steps:</w:t>
      </w:r>
    </w:p>
    <w:p>
      <w:pPr>
        <w:numPr>
          <w:ilvl w:val="0"/>
          <w:numId w:val="10"/>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10"/>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10"/>
        </w:numPr>
      </w:pPr>
      <w:r/>
      <w:r>
        <w:t>Open the page(s) you would like the image to show in, place your cursor where you want the image inserted and select the "Insert image from predefined list" option in the Markdown editor.</w:t>
      </w:r>
    </w:p>
    <w:p>
      <w:pPr>
        <w:numPr>
          <w:ilvl w:val="0"/>
          <w:numId w:val="10"/>
        </w:numPr>
      </w:pPr>
      <w:r/>
      <w:r>
        <w:t>Select the image you want to add.</w:t>
      </w:r>
    </w:p>
    <w:p>
      <w:pPr>
        <w:numPr>
          <w:ilvl w:val="0"/>
          <w:numId w:val="10"/>
        </w:numPr>
      </w:pPr>
      <w:r/>
      <w:r>
        <w:t>Text will be placed at your cursor for the image you selected.</w:t>
      </w:r>
    </w:p>
    <w:p>
      <w:r>
        <w:t>Note: The following image types are supported:</w:t>
      </w:r>
    </w:p>
    <w:p>
      <w:pPr>
        <w:numPr>
          <w:ilvl w:val="0"/>
          <w:numId w:val="11"/>
        </w:numPr>
      </w:pPr>
      <w:r/>
      <w:r>
        <w:t>.JPG</w:t>
      </w:r>
    </w:p>
    <w:p>
      <w:pPr>
        <w:numPr>
          <w:ilvl w:val="0"/>
          <w:numId w:val="11"/>
        </w:numPr>
      </w:pPr>
      <w:r/>
      <w:r>
        <w:t>.GIF</w:t>
      </w:r>
    </w:p>
    <w:p>
      <w:pPr>
        <w:numPr>
          <w:ilvl w:val="0"/>
          <w:numId w:val="11"/>
        </w:numPr>
      </w:pPr>
      <w:r/>
      <w:r>
        <w:t>.PNG</w:t>
      </w:r>
    </w:p>
    <w:p>
      <w:pPr>
        <w:numPr>
          <w:ilvl w:val="0"/>
          <w:numId w:val="11"/>
        </w:numPr>
      </w:pPr>
      <w:r/>
      <w:r>
        <w:t>.BMP</w:t>
      </w:r>
    </w:p>
    <w:p>
      <w:pPr>
        <w:pStyle w:val="4"/>
      </w:pPr>
      <w:r>
        <w:t>Technical Notes</w:t>
      </w:r>
    </w:p>
    <w:p>
      <w:r>
        <w:t xml:space="preserve">When the IG is being exported or published,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Because the ImplementationGuide resource does not have any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3"/>
        </w:numPr>
      </w:pPr>
      <w:r/>
      <w:r>
        <w:t xml:space="preserve">The "IG Publisher Package" generates a package using the published version of the IG to be used with the FHIR IG Publisher.  </w:t>
      </w:r>
    </w:p>
    <w:p>
      <w:pPr>
        <w:numPr>
          <w:ilvl w:val="1"/>
          <w:numId w:val="12"/>
        </w:numPr>
      </w:pPr>
      <w:r/>
      <w:r>
        <w:t>Users can select either JSON or XML format for the output</w:t>
      </w:r>
    </w:p>
    <w:p>
      <w:pPr>
        <w:numPr>
          <w:ilvl w:val="1"/>
          <w:numId w:val="12"/>
        </w:numPr>
      </w:pPr>
      <w:r/>
      <w:r>
        <w:t>The "FHIR IG Publisher JAR" can be included in the export package</w:t>
      </w:r>
    </w:p>
    <w:p>
      <w:pPr>
        <w:numPr>
          <w:ilvl w:val="1"/>
          <w:numId w:val="12"/>
        </w:numPr>
      </w:pPr>
      <w:r/>
      <w:r>
        <w:t xml:space="preserve">The Export tool will take a few minutes to process. The length of time is correlated with the size of the export. </w:t>
      </w:r>
    </w:p>
    <w:p>
      <w:pPr>
        <w:numPr>
          <w:ilvl w:val="1"/>
          <w:numId w:val="12"/>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12"/>
        </w:numPr>
      </w:pPr>
      <w:r/>
      <w:r>
        <w:t xml:space="preserve">When the IG Publisher is executed, the output from the IG Publisher is copied to a public location in Trifolia-on-FHIR for preview.  </w:t>
      </w:r>
    </w:p>
    <w:p>
      <w:pPr>
        <w:numPr>
          <w:ilvl w:val="1"/>
          <w:numId w:val="12"/>
        </w:numPr>
      </w:pPr>
      <w:r/>
      <w:r>
        <w:t xml:space="preserve">HTML exports produce a package (ZIP file) for use with the FHIR </w:t>
      </w:r>
      <w:hyperlink r:id="hrId29" target="_blank">
        <w:r>
          <w:rPr>
            <w:rStyle w:val="c13"/>
          </w:rPr>
          <w:t>IG Publisher</w:t>
        </w:r>
      </w:hyperlink>
      <w:r>
        <w:t xml:space="preserve">. </w:t>
      </w:r>
    </w:p>
    <w:p>
      <w:r>
        <w:t/>
      </w:r>
    </w:p>
    <w:p>
      <w:pPr>
        <w:numPr>
          <w:ilvl w:val="0"/>
          <w:numId w:val="13"/>
        </w:numPr>
      </w:pPr>
      <w:r/>
      <w:r>
        <w:t>The "Bundle" export format is a Bundle of all resources referenced by the selected implementation guide, including the implementation guide resource</w:t>
      </w:r>
    </w:p>
    <w:p>
      <w:pPr>
        <w:numPr>
          <w:ilvl w:val="1"/>
          <w:numId w:val="12"/>
        </w:numPr>
      </w:pPr>
      <w:r/>
      <w:r>
        <w:t xml:space="preserve">Bundle exports produce a single download (pretty quickly) as a single XML file. This XML file is a FHIR </w:t>
      </w:r>
      <w:hyperlink r:id="hrId30" target="_blank">
        <w:r>
          <w:rPr>
            <w:rStyle w:val="c13"/>
          </w:rPr>
          <w:t>Bundle</w:t>
        </w:r>
      </w:hyperlink>
      <w:r>
        <w:t xml:space="preserve"> that can be used to import the resources for the implementation guide in another FHIR environment.</w:t>
      </w:r>
    </w:p>
    <w:p>
      <w:pPr>
        <w:numPr>
          <w:ilvl w:val="1"/>
          <w:numId w:val="12"/>
        </w:numPr>
      </w:pPr>
      <w:r/>
      <w:r>
        <w:t>Users can select the type of output, JSON or XML, the bundle will be exported in.</w:t>
      </w:r>
      <w:r>
        <w:br/>
      </w:r>
      <w:r>
        <w:t/>
      </w:r>
    </w:p>
    <w:p>
      <w:pPr>
        <w:numPr>
          <w:ilvl w:val="0"/>
          <w:numId w:val="13"/>
        </w:numPr>
      </w:pPr>
      <w:r/>
      <w:r>
        <w:t>The "GitHub" export format places all the resources within the IG into the specified GITHub repository/branch</w:t>
      </w:r>
    </w:p>
    <w:p>
      <w:pPr>
        <w:numPr>
          <w:ilvl w:val="1"/>
          <w:numId w:val="12"/>
        </w:numPr>
      </w:pPr>
      <w:r/>
      <w:r>
        <w:t>Only resources that have a repository, branch and path will be exported to GitHub.  At least one resource must have GitHub location information specified to export</w:t>
      </w:r>
    </w:p>
    <w:p>
      <w:pPr>
        <w:numPr>
          <w:ilvl w:val="1"/>
          <w:numId w:val="12"/>
        </w:numPr>
      </w:pPr>
      <w:r/>
      <w:r>
        <w:t>If the file already exists in GitHub, it will be completely overwritten by this export</w:t>
      </w:r>
    </w:p>
    <w:p>
      <w:pPr>
        <w:numPr>
          <w:ilvl w:val="1"/>
          <w:numId w:val="12"/>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12"/>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14"/>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14"/>
        </w:numPr>
      </w:pPr>
      <w:r/>
      <w:r>
        <w:t>Users can drag-and-drop files from their computers File Explorer directly into the Import screen, or select the "Click to Select" link to select the files they wish to import.</w:t>
      </w:r>
    </w:p>
    <w:p>
      <w:pPr>
        <w:numPr>
          <w:ilvl w:val="1"/>
          <w:numId w:val="14"/>
        </w:numPr>
      </w:pPr>
      <w:r/>
      <w:r>
        <w:t xml:space="preserve">Once the user has selected the files in Explorer, the list of files to be imported will be displayed in the Import screen.  </w:t>
      </w:r>
    </w:p>
    <w:p>
      <w:pPr>
        <w:numPr>
          <w:ilvl w:val="1"/>
          <w:numId w:val="14"/>
        </w:numPr>
      </w:pPr>
      <w:r/>
      <w:r>
        <w:t xml:space="preserve">Users can click the </w:t>
      </w:r>
      <w:r>
        <w:rPr>
          <w:b/>
        </w:rPr>
        <w:t>trash</w:t>
      </w:r>
      <w:r>
        <w:t xml:space="preserve"> icon to remove file(s) from the list of files to be imported.</w:t>
      </w:r>
    </w:p>
    <w:p>
      <w:pPr>
        <w:numPr>
          <w:ilvl w:val="1"/>
          <w:numId w:val="14"/>
        </w:numPr>
      </w:pPr>
      <w:r/>
      <w:r>
        <w:t>Imported resources are sent directly to the ToF server as a transaction bundle.   ToF displays an excerpt of the JSON or XML bundle of the file prior to uploading.</w:t>
      </w:r>
    </w:p>
    <w:p>
      <w:pPr>
        <w:numPr>
          <w:ilvl w:val="1"/>
          <w:numId w:val="14"/>
        </w:numPr>
      </w:pPr>
      <w:r/>
      <w:r>
        <w:t xml:space="preserve">The </w:t>
      </w:r>
      <w:r>
        <w:rPr>
          <w:b/>
        </w:rPr>
        <w:t>Results</w:t>
      </w:r>
      <w:r>
        <w:t xml:space="preserve"> tab displays the outcome of importing from the </w:t>
      </w:r>
      <w:r>
        <w:rPr>
          <w:b/>
        </w:rPr>
        <w:t>Files</w:t>
      </w:r>
      <w:r>
        <w:t xml:space="preserve"> tab</w:t>
      </w:r>
    </w:p>
    <w:p>
      <w:pPr>
        <w:numPr>
          <w:ilvl w:val="0"/>
          <w:numId w:val="14"/>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14"/>
        </w:numPr>
      </w:pPr>
      <w:r/>
      <w:r>
        <w:rPr>
          <w:b/>
        </w:rPr>
        <w:t>VSAC</w:t>
      </w:r>
      <w:r>
        <w:t xml:space="preserve"> imports allows users to import value sets and code systems directly from VSAC into ToF.  </w:t>
      </w:r>
    </w:p>
    <w:p>
      <w:pPr>
        <w:numPr>
          <w:ilvl w:val="1"/>
          <w:numId w:val="14"/>
        </w:numPr>
      </w:pPr>
      <w:r/>
      <w:r>
        <w:t>Imported value sets and code systems can be referenced by Structure Definition resources.</w:t>
      </w:r>
    </w:p>
    <w:p>
      <w:pPr>
        <w:numPr>
          <w:ilvl w:val="1"/>
          <w:numId w:val="14"/>
        </w:numPr>
      </w:pPr>
      <w:r/>
      <w:r>
        <w:t>The VSAC mports require users' VSAC credentials, which are not persisted on the ToF server. If users select 'Remember VSAC Credentials,' the tool will store this information as cookies in the users' browser.</w:t>
      </w:r>
    </w:p>
    <w:p>
      <w:pPr>
        <w:numPr>
          <w:ilvl w:val="0"/>
          <w:numId w:val="14"/>
        </w:numPr>
      </w:pPr>
      <w:r/>
      <w:r>
        <w:t xml:space="preserve">The </w:t>
      </w:r>
      <w:r>
        <w:rPr>
          <w:b/>
        </w:rPr>
        <w:t>GitHub</w:t>
      </w:r>
      <w:r>
        <w:t xml:space="preserve"> tab allows users to import resources directly from GitHub into ToF.   </w:t>
      </w:r>
    </w:p>
    <w:p>
      <w:pPr>
        <w:numPr>
          <w:ilvl w:val="1"/>
          <w:numId w:val="14"/>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14"/>
        </w:numPr>
      </w:pPr>
      <w:r/>
      <w:r>
        <w:t xml:space="preserve">ID - This is the ID of the value set. This value in this column is repeated for each code/row. The value must be formatted as a </w:t>
      </w:r>
      <w:hyperlink r:id="hrId31" target="_blank" w:anchor="id">
        <w:r>
          <w:rPr>
            <w:rStyle w:val="c13"/>
          </w:rPr>
          <w:t>valid ID</w:t>
        </w:r>
      </w:hyperlink>
      <w:r>
        <w:t>.</w:t>
      </w:r>
      <w:r>
        <w:rPr>
          <w:rStyle w:val="c30"/>
        </w:rPr>
        <w:t xml:space="preserve"> Ex: 2.16.840.1.113883.42.3.1</w:t>
      </w:r>
    </w:p>
    <w:p>
      <w:pPr>
        <w:numPr>
          <w:ilvl w:val="0"/>
          <w:numId w:val="14"/>
        </w:numPr>
      </w:pPr>
      <w:r/>
      <w:r>
        <w:t>Name - The name of the value set. This value in this column is repeated for each code/row.</w:t>
      </w:r>
    </w:p>
    <w:p>
      <w:pPr>
        <w:numPr>
          <w:ilvl w:val="0"/>
          <w:numId w:val="14"/>
        </w:numPr>
      </w:pPr>
      <w:r/>
      <w:r>
        <w:t>URL - The URL of the value set. This value in this column is repeated for each code/row.</w:t>
      </w:r>
      <w:r>
        <w:rPr>
          <w:rStyle w:val="c30"/>
        </w:rPr>
        <w:t xml:space="preserve"> Ex: http://some.com/test/fhir/valueset</w:t>
      </w:r>
    </w:p>
    <w:p>
      <w:pPr>
        <w:numPr>
          <w:ilvl w:val="0"/>
          <w:numId w:val="14"/>
        </w:numPr>
      </w:pPr>
      <w:r/>
      <w:r>
        <w:t xml:space="preserve">Code - The code representing the concept. </w:t>
      </w:r>
      <w:r>
        <w:rPr>
          <w:rStyle w:val="c30"/>
        </w:rPr>
        <w:t>Ex: 900000000000073002</w:t>
      </w:r>
    </w:p>
    <w:p>
      <w:pPr>
        <w:numPr>
          <w:ilvl w:val="0"/>
          <w:numId w:val="14"/>
        </w:numPr>
      </w:pPr>
      <w:r/>
      <w:r>
        <w:t xml:space="preserve">Display - The display representing the concept. </w:t>
      </w:r>
      <w:r>
        <w:rPr>
          <w:rStyle w:val="c30"/>
        </w:rPr>
        <w:t>Ex: "Sufficiently defined concept definition status"</w:t>
      </w:r>
    </w:p>
    <w:p>
      <w:pPr>
        <w:numPr>
          <w:ilvl w:val="0"/>
          <w:numId w:val="14"/>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5"/>
        </w:numPr>
      </w:pPr>
      <w:r/>
      <w:r>
        <w:t>Import resources from a GitHub repository into the selected FHIR server</w:t>
      </w:r>
    </w:p>
    <w:p>
      <w:pPr>
        <w:numPr>
          <w:ilvl w:val="0"/>
          <w:numId w:val="15"/>
        </w:numPr>
      </w:pPr>
      <w:r/>
      <w:r>
        <w:t>Edit the resources using ToF</w:t>
      </w:r>
    </w:p>
    <w:p>
      <w:pPr>
        <w:numPr>
          <w:ilvl w:val="0"/>
          <w:numId w:val="15"/>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6"/>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6"/>
        </w:numPr>
      </w:pPr>
      <w:r/>
      <w:r>
        <w:t>Trifolia only allows importing FHIR resources. Trifolia-on-FHIR allows the user to select any JSON or XML file from GitHub. If the user selects an XML or JSON file that is not a FHIR resource, the import will fail.</w:t>
      </w:r>
    </w:p>
    <w:p>
      <w:pPr>
        <w:numPr>
          <w:ilvl w:val="0"/>
          <w:numId w:val="16"/>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17"/>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17"/>
        </w:numPr>
      </w:pPr>
      <w:r/>
      <w:r>
        <w:rPr>
          <w:b/>
        </w:rPr>
        <w:t>Pre-publish Validation</w:t>
      </w:r>
      <w:r>
        <w:br/>
      </w:r>
      <w:r>
        <w:t xml:space="preserve">When publishing an implementation guide from the "Publish" screen, the FHIR server's </w:t>
      </w:r>
      <w:hyperlink r:id="hrId32" target="_blank">
        <w:r>
          <w:rPr>
            <w:rStyle w:val="c13"/>
          </w:rPr>
          <w:t>$validate operation</w:t>
        </w:r>
      </w:hyperlink>
      <w:hyperlink r:id="hrId33"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17"/>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18"/>
        </w:numPr>
      </w:pPr>
      <w:r/>
      <w:r>
        <w:t>Create account and Login</w:t>
      </w:r>
    </w:p>
    <w:p>
      <w:pPr>
        <w:numPr>
          <w:ilvl w:val="0"/>
          <w:numId w:val="18"/>
        </w:numPr>
      </w:pPr>
      <w:r/>
      <w:r>
        <w:t>Select FHIR Release version (gear icon in top right)</w:t>
      </w:r>
    </w:p>
    <w:p>
      <w:pPr>
        <w:numPr>
          <w:ilvl w:val="0"/>
          <w:numId w:val="18"/>
        </w:numPr>
      </w:pPr>
      <w:r/>
      <w:r>
        <w:t>Create new Implementation Guide</w:t>
      </w:r>
    </w:p>
    <w:p>
      <w:pPr>
        <w:numPr>
          <w:ilvl w:val="1"/>
          <w:numId w:val="19"/>
        </w:numPr>
      </w:pPr>
      <w:r/>
      <w:r>
        <w:t>Option A: Create IG from scratch. Navigate to Browse Implementation Guides &gt;  click the "plus" + button at top IG list/table.</w:t>
      </w:r>
    </w:p>
    <w:p>
      <w:pPr>
        <w:numPr>
          <w:ilvl w:val="1"/>
          <w:numId w:val="19"/>
        </w:numPr>
      </w:pPr>
      <w:r/>
      <w:r>
        <w:t>Option B: Import IG from a file. Import IG.xml from your computer ("Import" button at top and either drag-and-drop the IG.xml file into the "Files" tab or copy/paste the contents of IG.xml into the second tab).</w:t>
      </w:r>
    </w:p>
    <w:p>
      <w:pPr>
        <w:numPr>
          <w:ilvl w:val="0"/>
          <w:numId w:val="18"/>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8"/>
        </w:numPr>
      </w:pPr>
      <w:r/>
      <w:r>
        <w:t>Create/import additional templates/profiles</w:t>
      </w:r>
    </w:p>
    <w:p>
      <w:pPr>
        <w:numPr>
          <w:ilvl w:val="1"/>
          <w:numId w:val="19"/>
        </w:numPr>
      </w:pPr>
      <w:r/>
      <w:r>
        <w:t>Option A: Create Profile from scratch. Navigate to Browse Templates/Profiles &gt; click the "plus" + button at top of Profile list/table.</w:t>
      </w:r>
    </w:p>
    <w:p>
      <w:pPr>
        <w:numPr>
          <w:ilvl w:val="1"/>
          <w:numId w:val="19"/>
        </w:numPr>
      </w:pPr>
      <w:r/>
      <w:r>
        <w:t>Option B: Import profiles from directories on computer</w:t>
      </w:r>
    </w:p>
    <w:p>
      <w:pPr>
        <w:numPr>
          <w:ilvl w:val="0"/>
          <w:numId w:val="18"/>
        </w:numPr>
      </w:pPr>
      <w:r/>
      <w:r>
        <w:t>Modify and constrain the templates/profiles to use case</w:t>
      </w:r>
    </w:p>
    <w:p>
      <w:pPr>
        <w:numPr>
          <w:ilvl w:val="0"/>
          <w:numId w:val="18"/>
        </w:numPr>
      </w:pPr>
      <w:r/>
      <w:r>
        <w:t xml:space="preserve">Resolve all Validation errors and warnings on Validation (tab) within each profile </w:t>
      </w:r>
    </w:p>
    <w:p>
      <w:pPr>
        <w:numPr>
          <w:ilvl w:val="0"/>
          <w:numId w:val="18"/>
        </w:numPr>
      </w:pPr>
      <w:r/>
      <w:r>
        <w:t>Export selected IG package. Suggested settings for initial export:</w:t>
      </w:r>
    </w:p>
    <w:p>
      <w:pPr>
        <w:numPr>
          <w:ilvl w:val="1"/>
          <w:numId w:val="18"/>
        </w:numPr>
      </w:pPr>
      <w:r/>
      <w:r>
        <w:t xml:space="preserve">Export Format: HTML (IG publisher) </w:t>
      </w:r>
    </w:p>
    <w:p>
      <w:pPr>
        <w:numPr>
          <w:ilvl w:val="1"/>
          <w:numId w:val="18"/>
        </w:numPr>
      </w:pPr>
      <w:r/>
      <w:r>
        <w:t>Run the IG Publisher: Yes</w:t>
      </w:r>
    </w:p>
    <w:p>
      <w:pPr>
        <w:numPr>
          <w:ilvl w:val="1"/>
          <w:numId w:val="18"/>
        </w:numPr>
      </w:pPr>
      <w:r/>
      <w:r>
        <w:t>Run the latest version of the IG Publisher: No</w:t>
      </w:r>
    </w:p>
    <w:p>
      <w:pPr>
        <w:numPr>
          <w:ilvl w:val="1"/>
          <w:numId w:val="18"/>
        </w:numPr>
      </w:pPr>
      <w:r/>
      <w:r>
        <w:t>Use terminology server: Yes/No (Suggest No if IG uses large standard codesets)</w:t>
      </w:r>
      <w:r>
        <w:br/>
      </w:r>
      <w:r>
        <w:t>Selecting Yes will verify applicable value sets and code systems externally</w:t>
      </w:r>
    </w:p>
    <w:p>
      <w:pPr>
        <w:numPr>
          <w:ilvl w:val="1"/>
          <w:numId w:val="18"/>
        </w:numPr>
      </w:pPr>
      <w:r/>
      <w:r>
        <w:t>Download: Yes</w:t>
      </w:r>
    </w:p>
    <w:p>
      <w:pPr>
        <w:numPr>
          <w:ilvl w:val="1"/>
          <w:numId w:val="18"/>
        </w:numPr>
      </w:pPr>
      <w:r/>
      <w:r>
        <w:t>Output format: XML</w:t>
      </w:r>
    </w:p>
    <w:p>
      <w:pPr>
        <w:numPr>
          <w:ilvl w:val="0"/>
          <w:numId w:val="18"/>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0"/>
        </w:numPr>
      </w:pPr>
      <w:r/>
      <w:r>
        <w:t>Selecting a resource type and typing search criteria in the text field. Suggestions will be presented below the text field. Select one of the suggestions and press the "Copy" button.</w:t>
      </w:r>
    </w:p>
    <w:p>
      <w:pPr>
        <w:numPr>
          <w:ilvl w:val="0"/>
          <w:numId w:val="20"/>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Glossary"/>
      <w:bookmarkEnd w:id="20"/>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5835"/>
        <w:gridCol w:w="583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FAQ"/>
      <w:bookmarkEnd w:id="21"/>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TechnicalDetails"/>
      <w:bookmarkEnd w:id="22"/>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3" w:name="_topic_SystemRequirements"/>
      <w:bookmarkEnd w:id="23"/>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21"/>
        </w:numPr>
      </w:pPr>
      <w:r/>
      <w:r>
        <w:rPr>
          <w:b/>
        </w:rPr>
        <w:t xml:space="preserve">Windows </w:t>
      </w:r>
      <w:r>
        <w:rPr>
          <w:b/>
          <w:i/>
        </w:rPr>
        <w:t xml:space="preserve">or </w:t>
      </w:r>
      <w:r>
        <w:rPr>
          <w:b/>
        </w:rPr>
        <w:t>Linux</w:t>
      </w:r>
    </w:p>
    <w:p>
      <w:pPr>
        <w:numPr>
          <w:ilvl w:val="0"/>
          <w:numId w:val="21"/>
        </w:numPr>
      </w:pPr>
      <w:r/>
      <w:r>
        <w:rPr>
          <w:b/>
        </w:rPr>
        <w:t>Java 8+</w:t>
      </w:r>
      <w:r>
        <w:t xml:space="preserve"> (to execute the publish process using the FHIR IG Publisher)</w:t>
      </w:r>
    </w:p>
    <w:p>
      <w:pPr>
        <w:numPr>
          <w:ilvl w:val="0"/>
          <w:numId w:val="21"/>
        </w:numPr>
      </w:pPr>
      <w:r/>
      <w:r>
        <w:rPr>
          <w:b/>
        </w:rPr>
        <w:t xml:space="preserve">Jekyll </w:t>
      </w:r>
      <w:r>
        <w:t>(to successfully complete the publish process using the FHIR IG Publisher)</w:t>
      </w:r>
    </w:p>
    <w:p>
      <w:pPr>
        <w:numPr>
          <w:ilvl w:val="0"/>
          <w:numId w:val="21"/>
        </w:numPr>
      </w:pPr>
      <w:r/>
      <w:r>
        <w:rPr>
          <w:b/>
        </w:rPr>
        <w:t xml:space="preserve">FHIR Server </w:t>
      </w:r>
      <w:r>
        <w:t>(STU3 or R4)</w:t>
      </w:r>
    </w:p>
    <w:p>
      <w:pPr>
        <w:numPr>
          <w:ilvl w:val="1"/>
          <w:numId w:val="21"/>
        </w:numPr>
      </w:pPr>
      <w:r/>
      <w:r>
        <w:t>Must support creating resources via a PUT with an ID</w:t>
      </w:r>
    </w:p>
    <w:p>
      <w:pPr>
        <w:numPr>
          <w:ilvl w:val="1"/>
          <w:numId w:val="21"/>
        </w:numPr>
      </w:pPr>
      <w:r/>
      <w:r>
        <w:t xml:space="preserve">Must support the </w:t>
      </w:r>
      <w:hyperlink r:id="hrId34" target="_blank">
        <w:r>
          <w:rPr>
            <w:rStyle w:val="c13"/>
          </w:rPr>
          <w:t>$validate operation</w:t>
        </w:r>
      </w:hyperlink>
    </w:p>
    <w:p>
      <w:pPr>
        <w:numPr>
          <w:ilvl w:val="1"/>
          <w:numId w:val="21"/>
        </w:numPr>
      </w:pPr>
      <w:r/>
      <w:r>
        <w:t xml:space="preserve">Must support the </w:t>
      </w:r>
      <w:hyperlink r:id="hrId35" target="_blank">
        <w:r>
          <w:rPr>
            <w:rStyle w:val="c13"/>
          </w:rPr>
          <w:t>$meta-delete operation</w:t>
        </w:r>
      </w:hyperlink>
    </w:p>
    <w:p>
      <w:pPr>
        <w:numPr>
          <w:ilvl w:val="1"/>
          <w:numId w:val="21"/>
        </w:numPr>
      </w:pPr>
      <w:r/>
      <w:r>
        <w:t>Must support ImplementationGuide search query parameters:</w:t>
      </w:r>
    </w:p>
    <w:p>
      <w:pPr>
        <w:numPr>
          <w:ilvl w:val="2"/>
          <w:numId w:val="21"/>
        </w:numPr>
      </w:pPr>
      <w:r/>
      <w:r>
        <w:t>resource</w:t>
      </w:r>
    </w:p>
    <w:p>
      <w:pPr>
        <w:numPr>
          <w:ilvl w:val="2"/>
          <w:numId w:val="21"/>
        </w:numPr>
      </w:pPr>
      <w:r/>
      <w:r>
        <w:t>global</w:t>
      </w:r>
    </w:p>
    <w:p>
      <w:pPr>
        <w:numPr>
          <w:ilvl w:val="1"/>
          <w:numId w:val="21"/>
        </w:numPr>
      </w:pPr>
      <w:r/>
      <w:r>
        <w:t>Must support _has (reverse chaining) search criteria. For example: GET /StructureDefinition?_has:ImplementationGuide:resource:_id=&lt;IG_ID&gt;</w:t>
      </w:r>
    </w:p>
    <w:p>
      <w:pPr>
        <w:numPr>
          <w:ilvl w:val="1"/>
          <w:numId w:val="21"/>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FHIRVersions"/>
      <w:bookmarkEnd w:id="24"/>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RESTAPI"/>
      <w:bookmarkEnd w:id="25"/>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36"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37"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TechnicalDetails_SecurityandPerm"/>
      <w:bookmarkEnd w:id="26"/>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22"/>
        </w:numPr>
      </w:pPr>
      <w:r/>
      <w:r>
        <w:t>Everyone - Anyone that has a user account in the installation.</w:t>
      </w:r>
    </w:p>
    <w:p>
      <w:pPr>
        <w:numPr>
          <w:ilvl w:val="0"/>
          <w:numId w:val="22"/>
        </w:numPr>
      </w:pPr>
      <w:r/>
      <w:r>
        <w:t>Group - One or more users (Practitioners) that are represented together as a single Group. Use a group to represent a team of users.</w:t>
      </w:r>
    </w:p>
    <w:p>
      <w:pPr>
        <w:numPr>
          <w:ilvl w:val="0"/>
          <w:numId w:val="22"/>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22"/>
        </w:numPr>
      </w:pPr>
      <w:r/>
      <w:r>
        <w:t>Read - Allows the user to search/view the resource</w:t>
      </w:r>
    </w:p>
    <w:p>
      <w:pPr>
        <w:numPr>
          <w:ilvl w:val="0"/>
          <w:numId w:val="22"/>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Arial">
    <w:charset w:val="00"/>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bullet"/>
      <w:lvlText w:val="·"/>
      <w:lvlJc w:val="left"/>
      <w:pPr>
        <w:ind w:left="180" w:hanging="180"/>
        <w:tab w:val="num" w:pos="180"/>
      </w:pPr>
      <w:rPr>
        <w:rFonts w:ascii="Symbol" w:hAnsi="Symbol" w:cs="Symbol" w:eastAsia="Symbol"/>
        <w:b w:val="0"/>
        <w:i w:val="0"/>
        <w:strike w:val="0"/>
        <w:sz w:val="24"/>
        <w:color w:val="auto"/>
        <w:u w:val="none"/>
      </w:rPr>
    </w:lvl>
    <w:lvl w:ilvl="1">
      <w:numFmt w:val="bullet"/>
      <w:lvlText w:val="o"/>
      <w:lvlJc w:val="left"/>
      <w:pPr>
        <w:ind w:left="540" w:hanging="180"/>
        <w:tab w:val="num" w:pos="540"/>
      </w:pPr>
      <w:rPr>
        <w:rFonts w:ascii="Courier New" w:hAnsi="Courier New" w:cs="Courier New" w:eastAsia="Courier New"/>
        <w:b w:val="0"/>
        <w:i w:val="0"/>
        <w:strike w:val="0"/>
        <w:sz w:val="24"/>
        <w:color w:val="auto"/>
        <w:u w:val="none"/>
      </w:rPr>
    </w:lvl>
    <w:lvl w:ilvl="2">
      <w:numFmt w:val="bullet"/>
      <w:lvlText w:val="§"/>
      <w:lvlJc w:val="left"/>
      <w:pPr>
        <w:ind w:left="900" w:hanging="180"/>
        <w:tab w:val="num" w:pos="900"/>
      </w:pPr>
      <w:rPr>
        <w:rFonts w:ascii="Wingdings" w:hAnsi="Wingdings" w:cs="Wingdings" w:eastAsia="Wingdings"/>
        <w:b w:val="0"/>
        <w:i w:val="0"/>
        <w:strike w:val="0"/>
        <w:sz w:val="24"/>
        <w:color w:val="auto"/>
        <w:u w:val="none"/>
      </w:rPr>
    </w:lvl>
    <w:lvl w:ilvl="3">
      <w:numFmt w:val="bullet"/>
      <w:lvlText w:val="·"/>
      <w:lvlJc w:val="left"/>
      <w:pPr>
        <w:ind w:left="1260" w:hanging="180"/>
        <w:tab w:val="num" w:pos="1260"/>
      </w:pPr>
      <w:rPr>
        <w:rFonts w:ascii="Symbol" w:hAnsi="Symbol" w:cs="Symbol" w:eastAsia="Symbol"/>
        <w:b w:val="0"/>
        <w:i w:val="0"/>
        <w:strike w:val="0"/>
        <w:sz w:val="24"/>
        <w:color w:val="auto"/>
        <w:u w:val="none"/>
      </w:rPr>
    </w:lvl>
    <w:lvl w:ilvl="4">
      <w:numFmt w:val="bullet"/>
      <w:lvlText w:val="o"/>
      <w:lvlJc w:val="left"/>
      <w:pPr>
        <w:ind w:left="1620" w:hanging="180"/>
        <w:tab w:val="num" w:pos="1620"/>
      </w:pPr>
      <w:rPr>
        <w:rFonts w:ascii="Courier New" w:hAnsi="Courier New" w:cs="Courier New" w:eastAsia="Courier New"/>
        <w:b w:val="0"/>
        <w:i w:val="0"/>
        <w:strike w:val="0"/>
        <w:sz w:val="24"/>
        <w:color w:val="auto"/>
        <w:u w:val="none"/>
      </w:rPr>
    </w:lvl>
    <w:lvl w:ilvl="5">
      <w:numFmt w:val="bullet"/>
      <w:lvlText w:val="§"/>
      <w:lvlJc w:val="left"/>
      <w:pPr>
        <w:ind w:left="1980" w:hanging="180"/>
        <w:tab w:val="num" w:pos="1980"/>
      </w:pPr>
      <w:rPr>
        <w:rFonts w:ascii="Wingdings" w:hAnsi="Wingdings" w:cs="Wingdings" w:eastAsia="Wingdings"/>
        <w:b w:val="0"/>
        <w:i w:val="0"/>
        <w:strike w:val="0"/>
        <w:sz w:val="24"/>
        <w:color w:val="auto"/>
        <w:u w:val="none"/>
      </w:rPr>
    </w:lvl>
    <w:lvl w:ilvl="6">
      <w:numFmt w:val="bullet"/>
      <w:lvlText w:val="·"/>
      <w:lvlJc w:val="left"/>
      <w:pPr>
        <w:ind w:left="2340" w:hanging="180"/>
        <w:tab w:val="num" w:pos="2340"/>
      </w:pPr>
      <w:rPr>
        <w:rFonts w:ascii="Symbol" w:hAnsi="Symbol" w:cs="Symbol" w:eastAsia="Symbol"/>
        <w:b w:val="0"/>
        <w:i w:val="0"/>
        <w:strike w:val="0"/>
        <w:sz w:val="24"/>
        <w:color w:val="auto"/>
        <w:u w:val="none"/>
      </w:rPr>
    </w:lvl>
    <w:lvl w:ilvl="7">
      <w:numFmt w:val="bullet"/>
      <w:lvlText w:val="o"/>
      <w:lvlJc w:val="left"/>
      <w:pPr>
        <w:ind w:left="2700" w:hanging="180"/>
        <w:tab w:val="num" w:pos="2700"/>
      </w:pPr>
      <w:rPr>
        <w:rFonts w:ascii="Courier New" w:hAnsi="Courier New" w:cs="Courier New" w:eastAsia="Courier New"/>
        <w:b w:val="0"/>
        <w:i w:val="0"/>
        <w:strike w:val="0"/>
        <w:sz w:val="24"/>
        <w:color w:val="auto"/>
        <w:u w:val="none"/>
      </w:rPr>
    </w:lvl>
    <w:lvl w:ilvl="8">
      <w:numFmt w:val="bullet"/>
      <w:lvlText w:val="§"/>
      <w:lvlJc w:val="left"/>
      <w:pPr>
        <w:ind w:left="3060" w:hanging="180"/>
        <w:tab w:val="num" w:pos="3060"/>
      </w:pPr>
      <w:rPr>
        <w:rFonts w:ascii="Wingdings" w:hAnsi="Wingdings" w:cs="Wingdings" w:eastAsia="Wingdings"/>
        <w:b w:val="0"/>
        <w:i w:val="0"/>
        <w:strike w:val="0"/>
        <w:sz w:val="24"/>
        <w:color w:val="auto"/>
        <w:u w:val="none"/>
      </w:rPr>
    </w:lvl>
  </w:abstractNum>
  <w:abstractNum w:abstractNumId="4">
    <w:multiLevelType w:val="multilevel"/>
    <w:lvl w:ilvl="0">
      <w:numFmt w:val="decimal"/>
      <w:lvlText w:val="%1."/>
      <w:lvlJc w:val="left"/>
      <w:start w:val="1"/>
      <w:pPr>
        <w:ind w:left="180" w:hanging="180"/>
        <w:tab w:val="num" w:pos="180"/>
      </w:pPr>
      <w:rPr>
        <w:rFonts w:ascii="Arial" w:hAnsi="Arial" w:cs="Arial" w:eastAsia="Arial"/>
        <w:b w:val="0"/>
        <w:i w:val="0"/>
        <w:strike w:val="0"/>
        <w:sz w:val="20"/>
        <w:color w:val="auto"/>
        <w:u w:val="none"/>
      </w:rPr>
    </w:lvl>
    <w:lvl w:ilvl="1">
      <w:numFmt w:val="decimal"/>
      <w:lvlText w:val="%2."/>
      <w:lvlJc w:val="left"/>
      <w:start w:val="1"/>
      <w:pPr>
        <w:ind w:left="540" w:hanging="180"/>
        <w:tab w:val="num" w:pos="540"/>
      </w:pPr>
      <w:rPr>
        <w:rFonts w:ascii="Arial" w:hAnsi="Arial" w:cs="Arial" w:eastAsia="Arial"/>
        <w:b w:val="0"/>
        <w:i w:val="0"/>
        <w:strike w:val="0"/>
        <w:sz w:val="20"/>
        <w:color w:val="auto"/>
        <w:u w:val="none"/>
      </w:rPr>
    </w:lvl>
    <w:lvl w:ilvl="2">
      <w:numFmt w:val="decimal"/>
      <w:lvlText w:val="%3."/>
      <w:lvlJc w:val="left"/>
      <w:start w:val="1"/>
      <w:pPr>
        <w:ind w:left="900" w:hanging="180"/>
        <w:tab w:val="num" w:pos="900"/>
      </w:pPr>
      <w:rPr>
        <w:rFonts w:ascii="Arial" w:hAnsi="Arial" w:cs="Arial" w:eastAsia="Arial"/>
        <w:b w:val="0"/>
        <w:i w:val="0"/>
        <w:strike w:val="0"/>
        <w:sz w:val="20"/>
        <w:color w:val="auto"/>
        <w:u w:val="none"/>
      </w:rPr>
    </w:lvl>
    <w:lvl w:ilvl="3">
      <w:numFmt w:val="decimal"/>
      <w:lvlText w:val="%4."/>
      <w:lvlJc w:val="left"/>
      <w:start w:val="1"/>
      <w:pPr>
        <w:ind w:left="1260" w:hanging="180"/>
        <w:tab w:val="num" w:pos="1260"/>
      </w:pPr>
      <w:rPr>
        <w:rFonts w:ascii="Arial" w:hAnsi="Arial" w:cs="Arial" w:eastAsia="Arial"/>
        <w:b w:val="0"/>
        <w:i w:val="0"/>
        <w:strike w:val="0"/>
        <w:sz w:val="20"/>
        <w:color w:val="auto"/>
        <w:u w:val="none"/>
      </w:rPr>
    </w:lvl>
    <w:lvl w:ilvl="4">
      <w:numFmt w:val="decimal"/>
      <w:lvlText w:val="%5."/>
      <w:lvlJc w:val="left"/>
      <w:start w:val="1"/>
      <w:pPr>
        <w:ind w:left="1620" w:hanging="180"/>
        <w:tab w:val="num" w:pos="1620"/>
      </w:pPr>
      <w:rPr>
        <w:rFonts w:ascii="Arial" w:hAnsi="Arial" w:cs="Arial" w:eastAsia="Arial"/>
        <w:b w:val="0"/>
        <w:i w:val="0"/>
        <w:strike w:val="0"/>
        <w:sz w:val="20"/>
        <w:color w:val="auto"/>
        <w:u w:val="none"/>
      </w:rPr>
    </w:lvl>
    <w:lvl w:ilvl="5">
      <w:numFmt w:val="decimal"/>
      <w:lvlText w:val="%6."/>
      <w:lvlJc w:val="left"/>
      <w:start w:val="1"/>
      <w:pPr>
        <w:ind w:left="1980" w:hanging="180"/>
        <w:tab w:val="num" w:pos="1980"/>
      </w:pPr>
      <w:rPr>
        <w:rFonts w:ascii="Arial" w:hAnsi="Arial" w:cs="Arial" w:eastAsia="Arial"/>
        <w:b w:val="0"/>
        <w:i w:val="0"/>
        <w:strike w:val="0"/>
        <w:sz w:val="20"/>
        <w:color w:val="auto"/>
        <w:u w:val="none"/>
      </w:rPr>
    </w:lvl>
    <w:lvl w:ilvl="6">
      <w:numFmt w:val="decimal"/>
      <w:lvlText w:val="%7."/>
      <w:lvlJc w:val="left"/>
      <w:start w:val="1"/>
      <w:pPr>
        <w:ind w:left="2340" w:hanging="180"/>
        <w:tab w:val="num" w:pos="2340"/>
      </w:pPr>
      <w:rPr>
        <w:rFonts w:ascii="Arial" w:hAnsi="Arial" w:cs="Arial" w:eastAsia="Arial"/>
        <w:b w:val="0"/>
        <w:i w:val="0"/>
        <w:strike w:val="0"/>
        <w:sz w:val="20"/>
        <w:color w:val="auto"/>
        <w:u w:val="none"/>
      </w:rPr>
    </w:lvl>
    <w:lvl w:ilvl="7">
      <w:numFmt w:val="decimal"/>
      <w:lvlText w:val="%8."/>
      <w:lvlJc w:val="left"/>
      <w:start w:val="1"/>
      <w:pPr>
        <w:ind w:left="2700" w:hanging="180"/>
        <w:tab w:val="num" w:pos="2700"/>
      </w:pPr>
      <w:rPr>
        <w:rFonts w:ascii="Arial" w:hAnsi="Arial" w:cs="Arial" w:eastAsia="Arial"/>
        <w:b w:val="0"/>
        <w:i w:val="0"/>
        <w:strike w:val="0"/>
        <w:sz w:val="20"/>
        <w:color w:val="auto"/>
        <w:u w:val="none"/>
      </w:rPr>
    </w:lvl>
    <w:lvl w:ilvl="8">
      <w:numFmt w:val="decimal"/>
      <w:lvlText w:val="%9."/>
      <w:lvlJc w:val="left"/>
      <w:start w:val="1"/>
      <w:pPr>
        <w:ind w:left="3060" w:hanging="180"/>
        <w:tab w:val="num" w:pos="3060"/>
      </w:pPr>
      <w:rPr>
        <w:rFonts w:ascii="Arial" w:hAnsi="Arial" w:cs="Arial" w:eastAsia="Arial"/>
        <w:b w:val="0"/>
        <w:i w:val="0"/>
        <w:strike w:val="0"/>
        <w:sz w:val="20"/>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auth0.com" TargetMode="External"/><Relationship Id="hrId5" Type="http://schemas.openxmlformats.org/officeDocument/2006/relationships/hyperlink" Target="https://www.keycloak.org/" TargetMode="External"/><Relationship Id="hrId6" Type="http://schemas.openxmlformats.org/officeDocument/2006/relationships/hyperlink" Target="https://www.okta.com/" TargetMode="External"/><Relationship Id="hrId7" Type="http://schemas.openxmlformats.org/officeDocument/2006/relationships/hyperlink" Target="https://github.com/lantanagroup/trifolia-on-fhir/wiki/Authentication" TargetMode="External"/><Relationship Id="hrId8" Type="http://schemas.openxmlformats.org/officeDocument/2006/relationships/hyperlink" Target="https://trifolia.atlassian.net/browse/TRIFFHIR-231" TargetMode="External"/><Relationship Id="hrId9" Type="http://schemas.openxmlformats.org/officeDocument/2006/relationships/hyperlink" Target="https://trifolia.atlassian.net/browse/TRIFFHIR-199" TargetMode="External"/><Relationship Id="hrId10" Type="http://schemas.openxmlformats.org/officeDocument/2006/relationships/hyperlink" Target="https://trifolia.atlassian.net/browse/TRIFFHIR-244" TargetMode="External"/><Relationship Id="hrId11" Type="http://schemas.openxmlformats.org/officeDocument/2006/relationships/hyperlink" Target="https://trifolia.atlassian.net/browse/TRIFFHIR-236" TargetMode="External"/><Relationship Id="hrId12" Type="http://schemas.openxmlformats.org/officeDocument/2006/relationships/hyperlink" Target="https://trifolia.atlassian.net/browse/TRIFFHIR-214" TargetMode="External"/><Relationship Id="hrId13" Type="http://schemas.openxmlformats.org/officeDocument/2006/relationships/hyperlink" Target="https://trifolia.atlassian.net/browse/TRIFFHIR-232" TargetMode="External"/><Relationship Id="hrId14" Type="http://schemas.openxmlformats.org/officeDocument/2006/relationships/hyperlink" Target="https://trifolia.atlassian.net/browse/TRIFFHIR-243" TargetMode="External"/><Relationship Id="hrId15" Type="http://schemas.openxmlformats.org/officeDocument/2006/relationships/hyperlink" Target="https://trifolia.atlassian.net/browse/TRIFFHIR-249" TargetMode="External"/><Relationship Id="hrId16" Type="http://schemas.openxmlformats.org/officeDocument/2006/relationships/hyperlink" Target="https://trifolia.atlassian.net/browse/TRIFFHIR-246" TargetMode="External"/><Relationship Id="hrId17" Type="http://schemas.openxmlformats.org/officeDocument/2006/relationships/hyperlink" Target="https://trifolia.atlassian.net/browse/TRIFFHIR-251" TargetMode="External"/><Relationship Id="hrId18" Type="http://schemas.openxmlformats.org/officeDocument/2006/relationships/hyperlink" Target="https://trifolia.atlassian.net/browse/TRIFFHIR-254" TargetMode="External"/><Relationship Id="hrId19" Type="http://schemas.openxmlformats.org/officeDocument/2006/relationships/hyperlink" Target="https://trifolia.atlassian.net/browse/TRIFFHIR-190" TargetMode="External"/><Relationship Id="hrId20" Type="http://schemas.openxmlformats.org/officeDocument/2006/relationships/hyperlink" Target="https://trifolia.atlassian.net/browse/TRIFFHIR-188" TargetMode="External"/><Relationship Id="hrId21" Type="http://schemas.openxmlformats.org/officeDocument/2006/relationships/hyperlink" Target="https://trifolia.atlassian.net/browse/TRIFFHIR-233" TargetMode="External"/><Relationship Id="hrId22" Type="http://schemas.openxmlformats.org/officeDocument/2006/relationships/hyperlink" Target="https://trifolia.atlassian.net/browse/TRIFFHIR-240" TargetMode="External"/><Relationship Id="hrId23" Type="http://schemas.openxmlformats.org/officeDocument/2006/relationships/hyperlink" Target="https://trifolia.atlassian.net/browse/TRIFFHIR-239" TargetMode="External"/><Relationship Id="hrId24" Type="http://schemas.openxmlformats.org/officeDocument/2006/relationships/hyperlink" Target="https://trifolia.atlassian.net/browse/TRIFFHIR-242" TargetMode="External"/><Relationship Id="hrId25" Type="http://schemas.openxmlformats.org/officeDocument/2006/relationships/hyperlink" Target="https://trifolia.atlassian.net/browse/TRIFFHIR-253" TargetMode="External"/><Relationship Id="hrId26" Type="http://schemas.openxmlformats.org/officeDocument/2006/relationships/hyperlink" Target="https://trifolia.atlassian.net/browse/TRIFFHIR-200" TargetMode="External"/><Relationship Id="hrId27" Type="http://schemas.openxmlformats.org/officeDocument/2006/relationships/hyperlink" Target="http://www.hl7.org/fhir/practitioner.html" TargetMode="External"/><Relationship Id="hrId28" Type="http://schemas.openxmlformats.org/officeDocument/2006/relationships/hyperlink" Target="http://myproject.com/someRoot/StructureDefinition/" TargetMode="External"/><Relationship Id="hrId29" Type="http://schemas.openxmlformats.org/officeDocument/2006/relationships/hyperlink" Target="http://wiki.hl7.org/index.php?title=IG_Publisher_Documentation" TargetMode="External"/><Relationship Id="hrId30" Type="http://schemas.openxmlformats.org/officeDocument/2006/relationships/hyperlink" Target="http://hl7.org/fhir/bundle.html" TargetMode="External"/><Relationship Id="hrId31" Type="http://schemas.openxmlformats.org/officeDocument/2006/relationships/hyperlink" Target="https://www.hl7.org/fhir/resource.html" TargetMode="External"/><Relationship Id="hrId32" Type="http://schemas.openxmlformats.org/officeDocument/2006/relationships/hyperlink" Target="https://www.hl7.org/fhir/operation-resource-validate.html" TargetMode="External"/><Relationship Id="hrId33" Type="http://schemas.openxmlformats.org/officeDocument/2006/relationships/hyperlink" Target="https://www.hl7.org/fhir/operation-resource-validate.html" TargetMode="External"/><Relationship Id="hrId34" Type="http://schemas.openxmlformats.org/officeDocument/2006/relationships/hyperlink" Target="https://www.hl7.org/fhir/operation-resource-validate.html" TargetMode="External"/><Relationship Id="hrId35" Type="http://schemas.openxmlformats.org/officeDocument/2006/relationships/hyperlink" Target="https://www.hl7.org/fhir/operation-resource-meta-delete.html" TargetMode="External"/><Relationship Id="hrId36" Type="http://schemas.openxmlformats.org/officeDocument/2006/relationships/hyperlink" Target="http://www.hl7.org/fhir/http.html" TargetMode="External"/><Relationship Id="hrId37"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