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elp">
        <w:r>
          <w:rPr>
            <w:rFonts w:ascii="Tahoma" w:hAnsi="Tahoma" w:cs="Tahoma" w:eastAsia="Tahoma"/>
            <w:sz w:val="24"/>
            <w:color w:val="000000"/>
          </w:rPr>
          <w:t>Help</w:t>
        </w:r>
      </w:hyperlink>
      <w:r>
        <w:rPr>
          <w:rFonts w:ascii="Tahoma" w:hAnsi="Tahoma" w:cs="Tahoma" w:eastAsia="Tahoma"/>
          <w:sz w:val="24"/>
          <w:color w:val="000000"/>
        </w:rPr>
        <w:tab/>
      </w:r>
      <w:r>
        <w:fldChar w:fldCharType="begin"/>
      </w:r>
      <w:r>
        <w:instrText xml:space="preserve">PAGEREF _topic_Help \h  \* MERGEFORMAT </w:instrText>
      </w:r>
      <w:r>
        <w:fldChar w:fldCharType="separate"/>
      </w:r>
      <w:r>
        <w:rPr>
          <w:rFonts w:ascii="Tahoma" w:hAnsi="Tahoma" w:cs="Tahoma" w:eastAsia="Tahoma"/>
          <w:sz w:val="24"/>
          <w:color w:val="000000"/>
        </w:rPr>
        <w:t>10</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10</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10</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PI">
        <w:r>
          <w:rPr>
            <w:rFonts w:ascii="Tahoma" w:hAnsi="Tahoma" w:cs="Tahoma" w:eastAsia="Tahoma"/>
            <w:sz w:val="24"/>
            <w:color w:val="000000"/>
          </w:rPr>
          <w:t>API</w:t>
        </w:r>
      </w:hyperlink>
      <w:r>
        <w:rPr>
          <w:rFonts w:ascii="Tahoma" w:hAnsi="Tahoma" w:cs="Tahoma" w:eastAsia="Tahoma"/>
          <w:sz w:val="24"/>
          <w:color w:val="000000"/>
        </w:rPr>
        <w:tab/>
      </w:r>
      <w:r>
        <w:fldChar w:fldCharType="begin"/>
      </w:r>
      <w:r>
        <w:instrText xml:space="preserve">PAGEREF _topic_API \h  \* MERGEFORMAT </w:instrText>
      </w:r>
      <w:r>
        <w:fldChar w:fldCharType="separate"/>
      </w:r>
      <w:r>
        <w:rPr>
          <w:rFonts w:ascii="Tahoma" w:hAnsi="Tahoma" w:cs="Tahoma" w:eastAsia="Tahoma"/>
          <w:sz w:val="24"/>
          <w:color w:val="000000"/>
        </w:rPr>
        <w:t>10</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an editor for FHIR resources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p>
    <w:p>
      <w:pPr>
        <w:pStyle w:val="5"/>
      </w:pPr>
      <w:r>
        <w:t>Requesting Support</w:t>
      </w:r>
    </w:p>
    <w:p>
      <w:r>
        <w:t xml:space="preserve">Support requests are captured using JIRA Service Desk, located here: </w:t>
      </w:r>
      <w:hyperlink r:id="hrId2" target="_blank">
        <w:r>
          <w:rPr>
            <w:rStyle w:val="c13"/>
          </w:rPr>
          <w:t>https://trifolia.atlassian.net/servicedesk/customer/portal/3</w:t>
        </w:r>
      </w:hyperlink>
      <w:r>
        <w:t>. JIRA will require that you be logged in with an Atlassian account before submitting/viewing support requests.</w:t>
      </w:r>
    </w:p>
    <w:p>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1.3.0 on March 29, 2019</w:t>
      </w:r>
    </w:p>
    <w:p>
      <w:pPr>
        <w:pStyle w:val="5"/>
      </w:pPr>
      <w:r>
        <w:t>Search by 'Title' for Implementation Guides and Profiles</w:t>
      </w:r>
    </w:p>
    <w:p>
      <w:r>
        <w:t xml:space="preserve">Users can search for Implementation Guides and Profiles by title. Note, users must expand 'More Options' to search by title for Profiles/Extensions. </w:t>
      </w:r>
    </w:p>
    <w:p>
      <w:pPr>
        <w:pStyle w:val="5"/>
      </w:pPr>
      <w:r>
        <w:t>Fixed element ids for slicing</w:t>
      </w:r>
    </w:p>
    <w:p>
      <w:r>
        <w:t>A bug has been fixed which caused slices to produce the wrong "id" property for elements.</w:t>
      </w:r>
    </w:p>
    <w:p>
      <w:r>
        <w:t>Example of section slicing:</w:t>
      </w:r>
    </w:p>
    <w:p>
      <w:r>
        <w:t xml:space="preserve">Before: </w:t>
      </w:r>
      <w:r>
        <w:rPr>
          <w:rStyle w:val="c32"/>
        </w:rPr>
        <w:t>&lt;element id="Composition.section.entry:testSectionSlice"&gt;</w:t>
      </w:r>
    </w:p>
    <w:p>
      <w:r>
        <w:t xml:space="preserve">After: </w:t>
      </w:r>
      <w:r>
        <w:rPr>
          <w:rStyle w:val="c32"/>
        </w:rPr>
        <w:t xml:space="preserve">&lt;element id="Composition.section:testSectionSlice.entry"&gt; </w:t>
      </w:r>
    </w:p>
    <w:p>
      <w:pPr>
        <w:pStyle w:val="5"/>
      </w:pPr>
      <w:r>
        <w:t>LOINC &amp; SNOMED code systems locked</w:t>
      </w:r>
    </w:p>
    <w:p>
      <w:r>
        <w:t xml:space="preserve">Users can no longer edit or delete LOINC or SNOMED code systems using the user interface. </w:t>
      </w:r>
    </w:p>
    <w:p>
      <w:pPr>
        <w:pStyle w:val="5"/>
      </w:pPr>
      <w:r>
        <w:t>Retain Export/Publish preferences</w:t>
      </w:r>
    </w:p>
    <w:p>
      <w:r>
        <w:t xml:space="preserve">When performing subsequent export and publishings, field preferences are retained. As a result, fields no longer return to their default after each Export/Publish completes. </w:t>
      </w:r>
    </w:p>
    <w:p>
      <w:pPr>
        <w:pStyle w:val="5"/>
      </w:pPr>
      <w:r>
        <w:t>Development Log</w:t>
      </w:r>
    </w:p>
    <w:tbl>
      <w:tblPr>
        <w:tblW w:w="5000" w:type="pct"/>
        <w:tblLayout w:type="fixed"/>
        <w:tblBorders>
          <w:left w:val="single" w:sz="12" w:color="auto"/>
          <w:top w:val="single" w:sz="12" w:color="auto"/>
          <w:right w:val="single" w:sz="12" w:color="auto"/>
          <w:bottom w:val="single" w:sz="12" w:color="auto"/>
          <w:insideH w:val="single" w:sz="12" w:color="auto"/>
          <w:insideV w:val="single" w:sz="12" w:color="auto"/>
        </w:tblBorders>
        <w:tblCellMar>
          <w:top w:w="0" w:type="dxa"/>
          <w:left w:w="195" w:type="dxa"/>
          <w:bottom w:w="0" w:type="dxa"/>
          <w:right w:w="195" w:type="dxa"/>
        </w:tblCellMar>
        <w:tblCellSpacing w:w="30" w:type="dxa"/>
      </w:tblPr>
      <w:tblGrid>
        <w:gridCol w:w="1365"/>
        <w:gridCol w:w="1335"/>
        <w:gridCol w:w="6600"/>
      </w:tblGrid>
      <w:tr>
        <w:tc>
          <w:tcPr>
            <w:tcW w:w="1275" w:type="dxa"/>
            <w:tcBorders>
              <w:left w:val="single" w:sz="12" w:color="000000"/>
              <w:top w:val="single" w:sz="12" w:color="000000"/>
              <w:right w:val="single" w:sz="12" w:color="000000"/>
              <w:bottom w:val="single" w:sz="12" w:color="000000"/>
            </w:tcBorders>
          </w:tcPr>
          <w:p>
            <w:r>
              <w:rPr>
                <w:b/>
              </w:rPr>
              <w:t>Key</w:t>
            </w:r>
          </w:p>
        </w:tc>
        <w:tc>
          <w:tcPr>
            <w:tcW w:w="1275" w:type="dxa"/>
            <w:tcBorders>
              <w:left w:val="single" w:sz="12" w:color="000000"/>
              <w:top w:val="single" w:sz="12" w:color="000000"/>
              <w:right w:val="single" w:sz="12" w:color="000000"/>
              <w:bottom w:val="single" w:sz="12" w:color="000000"/>
            </w:tcBorders>
          </w:tcPr>
          <w:p>
            <w:r>
              <w:rPr>
                <w:b/>
              </w:rPr>
              <w:t>Type</w:t>
            </w:r>
          </w:p>
        </w:tc>
        <w:tc>
          <w:tcPr>
            <w:tcW w:w="6510" w:type="dxa"/>
            <w:tcBorders>
              <w:left w:val="single" w:sz="12" w:color="000000"/>
              <w:top w:val="single" w:sz="12" w:color="000000"/>
              <w:right w:val="single" w:sz="12" w:color="000000"/>
              <w:bottom w:val="single" w:sz="12" w:color="000000"/>
            </w:tcBorders>
          </w:tcPr>
          <w:p>
            <w:r>
              <w:rPr>
                <w:b/>
              </w:rPr>
              <w:t>Summary</w:t>
            </w:r>
          </w:p>
        </w:tc>
      </w:tr>
      <w:tr>
        <w:tc>
          <w:tcPr>
            <w:tcW w:w="1275" w:type="dxa"/>
            <w:tcBorders>
              <w:left w:val="single" w:sz="12" w:color="000000"/>
              <w:top w:val="single" w:sz="12" w:color="000000"/>
              <w:right w:val="single" w:sz="12" w:color="000000"/>
              <w:bottom w:val="single" w:sz="12" w:color="000000"/>
            </w:tcBorders>
          </w:tcPr>
          <w:p>
            <w:hyperlink r:id="hrId4" target="_blank">
              <w:r>
                <w:rPr>
                  <w:rStyle w:val="c13"/>
                  <w:rFonts w:ascii="Calibri" w:hAnsi="Calibri" w:cs="Calibri" w:eastAsia="Calibri"/>
                  <w:b/>
                  <w:sz w:val="22"/>
                </w:rPr>
                <w:t>TRIFFHIR-27</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Disable editing for select/configured resources</w:t>
            </w:r>
          </w:p>
        </w:tc>
      </w:tr>
      <w:tr>
        <w:tc>
          <w:tcPr>
            <w:tcW w:w="1275" w:type="dxa"/>
            <w:tcBorders>
              <w:left w:val="single" w:sz="12" w:color="000000"/>
              <w:top w:val="single" w:sz="12" w:color="000000"/>
              <w:right w:val="single" w:sz="12" w:color="000000"/>
              <w:bottom w:val="single" w:sz="12" w:color="000000"/>
            </w:tcBorders>
          </w:tcPr>
          <w:p>
            <w:hyperlink r:id="hrId5" target="_blank">
              <w:r>
                <w:rPr>
                  <w:rStyle w:val="c13"/>
                  <w:rFonts w:ascii="Calibri" w:hAnsi="Calibri" w:cs="Calibri" w:eastAsia="Calibri"/>
                  <w:b/>
                  <w:sz w:val="22"/>
                </w:rPr>
                <w:t>TRIFFHIR-82</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On Export, add option to include IG publisher jar file and build script(s)</w:t>
            </w:r>
          </w:p>
        </w:tc>
      </w:tr>
      <w:tr>
        <w:tc>
          <w:tcPr>
            <w:tcW w:w="1275" w:type="dxa"/>
            <w:tcBorders>
              <w:left w:val="single" w:sz="12" w:color="000000"/>
              <w:top w:val="single" w:sz="12" w:color="000000"/>
              <w:right w:val="single" w:sz="12" w:color="000000"/>
              <w:bottom w:val="single" w:sz="12" w:color="000000"/>
            </w:tcBorders>
          </w:tcPr>
          <w:p>
            <w:hyperlink r:id="hrId6" target="_blank">
              <w:r>
                <w:rPr>
                  <w:rStyle w:val="c13"/>
                  <w:rFonts w:ascii="Calibri" w:hAnsi="Calibri" w:cs="Calibri" w:eastAsia="Calibri"/>
                  <w:b/>
                  <w:sz w:val="22"/>
                </w:rPr>
                <w:t>TRIFFHIR-116</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Save defaults during subsequent Exports</w:t>
            </w:r>
          </w:p>
        </w:tc>
      </w:tr>
      <w:tr>
        <w:tc>
          <w:tcPr>
            <w:tcW w:w="1275" w:type="dxa"/>
            <w:tcBorders>
              <w:left w:val="single" w:sz="12" w:color="000000"/>
              <w:top w:val="single" w:sz="12" w:color="000000"/>
              <w:right w:val="single" w:sz="12" w:color="000000"/>
              <w:bottom w:val="single" w:sz="12" w:color="000000"/>
            </w:tcBorders>
          </w:tcPr>
          <w:p>
            <w:hyperlink r:id="hrId7" target="_blank">
              <w:r>
                <w:rPr>
                  <w:rStyle w:val="c13"/>
                  <w:rFonts w:ascii="Calibri" w:hAnsi="Calibri" w:cs="Calibri" w:eastAsia="Calibri"/>
                  <w:b/>
                  <w:sz w:val="22"/>
                </w:rPr>
                <w:t>TRIFFHIR-123</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Generic Error message</w:t>
            </w:r>
          </w:p>
        </w:tc>
      </w:tr>
      <w:tr>
        <w:tc>
          <w:tcPr>
            <w:tcW w:w="1275" w:type="dxa"/>
            <w:tcBorders>
              <w:left w:val="single" w:sz="12" w:color="000000"/>
              <w:top w:val="single" w:sz="12" w:color="000000"/>
              <w:right w:val="single" w:sz="12" w:color="000000"/>
              <w:bottom w:val="single" w:sz="12" w:color="000000"/>
            </w:tcBorders>
          </w:tcPr>
          <w:p>
            <w:hyperlink r:id="hrId8" target="_blank">
              <w:r>
                <w:rPr>
                  <w:rStyle w:val="c13"/>
                  <w:rFonts w:ascii="Calibri" w:hAnsi="Calibri" w:cs="Calibri" w:eastAsia="Calibri"/>
                  <w:b/>
                  <w:sz w:val="22"/>
                </w:rPr>
                <w:t>TRIFFHIR-130</w:t>
              </w:r>
            </w:hyperlink>
          </w:p>
        </w:tc>
        <w:tc>
          <w:tcPr>
            <w:tcW w:w="1275" w:type="dxa"/>
            <w:tcBorders>
              <w:left w:val="single" w:sz="12" w:color="000000"/>
              <w:top w:val="single" w:sz="12" w:color="000000"/>
              <w:right w:val="single" w:sz="12" w:color="000000"/>
              <w:bottom w:val="single" w:sz="12" w:color="000000"/>
            </w:tcBorders>
          </w:tcPr>
          <w:p>
            <w:r>
              <w:t>Story</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Login problems for GitHub authentication</w:t>
            </w:r>
          </w:p>
        </w:tc>
      </w:tr>
      <w:tr>
        <w:tc>
          <w:tcPr>
            <w:tcW w:w="1275" w:type="dxa"/>
            <w:tcBorders>
              <w:left w:val="single" w:sz="12" w:color="000000"/>
              <w:top w:val="single" w:sz="12" w:color="000000"/>
              <w:right w:val="single" w:sz="12" w:color="000000"/>
              <w:bottom w:val="single" w:sz="12" w:color="000000"/>
            </w:tcBorders>
          </w:tcPr>
          <w:p>
            <w:hyperlink r:id="hrId9" target="_blank">
              <w:r>
                <w:rPr>
                  <w:rStyle w:val="c13"/>
                  <w:rFonts w:ascii="Calibri" w:hAnsi="Calibri" w:cs="Calibri" w:eastAsia="Calibri"/>
                  <w:b/>
                  <w:sz w:val="22"/>
                </w:rPr>
                <w:t>TRIFFHIR-143</w:t>
              </w:r>
            </w:hyperlink>
          </w:p>
        </w:tc>
        <w:tc>
          <w:tcPr>
            <w:tcW w:w="1275" w:type="dxa"/>
            <w:tcBorders>
              <w:left w:val="single" w:sz="12" w:color="000000"/>
              <w:top w:val="single" w:sz="12" w:color="000000"/>
              <w:right w:val="single" w:sz="12" w:color="000000"/>
              <w:bottom w:val="single" w:sz="12" w:color="000000"/>
            </w:tcBorders>
          </w:tcPr>
          <w:p>
            <w:r>
              <w:t>New Feature</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Display version history for remaining editing screens</w:t>
            </w:r>
          </w:p>
        </w:tc>
      </w:tr>
      <w:tr>
        <w:tc>
          <w:tcPr>
            <w:tcW w:w="1275" w:type="dxa"/>
            <w:tcBorders>
              <w:left w:val="single" w:sz="12" w:color="000000"/>
              <w:top w:val="single" w:sz="12" w:color="000000"/>
              <w:right w:val="single" w:sz="12" w:color="000000"/>
              <w:bottom w:val="single" w:sz="12" w:color="000000"/>
            </w:tcBorders>
          </w:tcPr>
          <w:p>
            <w:hyperlink r:id="hrId10" target="_blank">
              <w:r>
                <w:rPr>
                  <w:rStyle w:val="c13"/>
                  <w:rFonts w:ascii="Calibri" w:hAnsi="Calibri" w:cs="Calibri" w:eastAsia="Calibri"/>
                  <w:b/>
                  <w:sz w:val="22"/>
                </w:rPr>
                <w:t>TRIFFHIR-156</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Use type-ahead search for implementation guide selection on export screen</w:t>
            </w:r>
          </w:p>
        </w:tc>
      </w:tr>
      <w:tr>
        <w:tc>
          <w:tcPr>
            <w:tcW w:w="1275" w:type="dxa"/>
            <w:tcBorders>
              <w:left w:val="single" w:sz="12" w:color="000000"/>
              <w:top w:val="single" w:sz="12" w:color="000000"/>
              <w:right w:val="single" w:sz="12" w:color="000000"/>
              <w:bottom w:val="single" w:sz="12" w:color="000000"/>
            </w:tcBorders>
          </w:tcPr>
          <w:p>
            <w:hyperlink r:id="hrId11" target="_blank">
              <w:r>
                <w:rPr>
                  <w:rStyle w:val="c13"/>
                  <w:rFonts w:ascii="Calibri" w:hAnsi="Calibri" w:cs="Calibri" w:eastAsia="Calibri"/>
                  <w:b/>
                  <w:sz w:val="22"/>
                </w:rPr>
                <w:t>TRIFFHIR-157</w:t>
              </w:r>
            </w:hyperlink>
          </w:p>
        </w:tc>
        <w:tc>
          <w:tcPr>
            <w:tcW w:w="1275" w:type="dxa"/>
            <w:tcBorders>
              <w:left w:val="single" w:sz="12" w:color="000000"/>
              <w:top w:val="single" w:sz="12" w:color="000000"/>
              <w:right w:val="single" w:sz="12" w:color="000000"/>
              <w:bottom w:val="single" w:sz="12" w:color="000000"/>
            </w:tcBorders>
          </w:tcPr>
          <w:p>
            <w:r>
              <w:t>Defect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Profile editor not showing slices</w:t>
            </w:r>
          </w:p>
        </w:tc>
      </w:tr>
      <w:tr>
        <w:tc>
          <w:tcPr>
            <w:tcW w:w="1275" w:type="dxa"/>
            <w:tcBorders>
              <w:left w:val="single" w:sz="12" w:color="000000"/>
              <w:top w:val="single" w:sz="12" w:color="000000"/>
              <w:right w:val="single" w:sz="12" w:color="000000"/>
              <w:bottom w:val="single" w:sz="12" w:color="000000"/>
            </w:tcBorders>
          </w:tcPr>
          <w:p>
            <w:hyperlink r:id="hrId12" target="_blank">
              <w:r>
                <w:rPr>
                  <w:rStyle w:val="c13"/>
                  <w:rFonts w:ascii="Calibri" w:hAnsi="Calibri" w:cs="Calibri" w:eastAsia="Calibri"/>
                  <w:b/>
                  <w:sz w:val="22"/>
                </w:rPr>
                <w:t>TRIFFHIR-158</w:t>
              </w:r>
            </w:hyperlink>
          </w:p>
        </w:tc>
        <w:tc>
          <w:tcPr>
            <w:tcW w:w="1275" w:type="dxa"/>
            <w:tcBorders>
              <w:left w:val="single" w:sz="12" w:color="000000"/>
              <w:top w:val="single" w:sz="12" w:color="000000"/>
              <w:right w:val="single" w:sz="12" w:color="000000"/>
              <w:bottom w:val="single" w:sz="12" w:color="000000"/>
            </w:tcBorders>
          </w:tcPr>
          <w:p>
            <w:r>
              <w:t>Defect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Resources on "Other" page of published IG all prefixed as "CapabilityStatement" causing broken link</w:t>
            </w:r>
          </w:p>
        </w:tc>
      </w:tr>
      <w:tr>
        <w:tc>
          <w:tcPr>
            <w:tcW w:w="1275" w:type="dxa"/>
            <w:tcBorders>
              <w:left w:val="single" w:sz="12" w:color="000000"/>
              <w:top w:val="single" w:sz="12" w:color="000000"/>
              <w:right w:val="single" w:sz="12" w:color="000000"/>
              <w:bottom w:val="single" w:sz="12" w:color="000000"/>
            </w:tcBorders>
          </w:tcPr>
          <w:p>
            <w:hyperlink r:id="hrId13" target="_blank">
              <w:r>
                <w:rPr>
                  <w:rStyle w:val="c13"/>
                  <w:rFonts w:ascii="Calibri" w:hAnsi="Calibri" w:cs="Calibri" w:eastAsia="Calibri"/>
                  <w:b/>
                  <w:sz w:val="22"/>
                </w:rPr>
                <w:t>TRIFFHIR-159</w:t>
              </w:r>
            </w:hyperlink>
          </w:p>
        </w:tc>
        <w:tc>
          <w:tcPr>
            <w:tcW w:w="1275" w:type="dxa"/>
            <w:tcBorders>
              <w:left w:val="single" w:sz="12" w:color="000000"/>
              <w:top w:val="single" w:sz="12" w:color="000000"/>
              <w:right w:val="single" w:sz="12" w:color="000000"/>
              <w:bottom w:val="single" w:sz="12" w:color="000000"/>
            </w:tcBorders>
          </w:tcPr>
          <w:p>
            <w:r>
              <w:t>Defect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Create new profile - Type should not default to Account</w:t>
            </w:r>
          </w:p>
        </w:tc>
      </w:tr>
      <w:tr>
        <w:tc>
          <w:tcPr>
            <w:tcW w:w="1275" w:type="dxa"/>
            <w:tcBorders>
              <w:left w:val="single" w:sz="12" w:color="000000"/>
              <w:top w:val="single" w:sz="12" w:color="000000"/>
              <w:right w:val="single" w:sz="12" w:color="000000"/>
              <w:bottom w:val="single" w:sz="12" w:color="000000"/>
            </w:tcBorders>
          </w:tcPr>
          <w:p>
            <w:hyperlink r:id="hrId14" target="_blank">
              <w:r>
                <w:rPr>
                  <w:rStyle w:val="c13"/>
                  <w:rFonts w:ascii="Calibri" w:hAnsi="Calibri" w:cs="Calibri" w:eastAsia="Calibri"/>
                  <w:b/>
                  <w:sz w:val="22"/>
                </w:rPr>
                <w:t>TRIFFHIR-160</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Specify packageId on STU3 implementation guide</w:t>
            </w:r>
          </w:p>
        </w:tc>
      </w:tr>
      <w:tr>
        <w:tc>
          <w:tcPr>
            <w:tcW w:w="1275" w:type="dxa"/>
            <w:tcBorders>
              <w:left w:val="single" w:sz="12" w:color="000000"/>
              <w:top w:val="single" w:sz="12" w:color="000000"/>
              <w:right w:val="single" w:sz="12" w:color="000000"/>
              <w:bottom w:val="single" w:sz="12" w:color="000000"/>
            </w:tcBorders>
          </w:tcPr>
          <w:p>
            <w:hyperlink r:id="hrId15" target="_blank">
              <w:r>
                <w:rPr>
                  <w:rStyle w:val="c13"/>
                  <w:rFonts w:ascii="Calibri" w:hAnsi="Calibri" w:cs="Calibri" w:eastAsia="Calibri"/>
                  <w:b/>
                  <w:sz w:val="22"/>
                </w:rPr>
                <w:t>TRIFFHIR-164</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Search by title for implementation guide and profiles</w:t>
            </w:r>
          </w:p>
        </w:tc>
      </w:tr>
      <w:tr>
        <w:tc>
          <w:tcPr>
            <w:tcW w:w="1275" w:type="dxa"/>
            <w:tcBorders>
              <w:left w:val="single" w:sz="12" w:color="000000"/>
              <w:top w:val="single" w:sz="12" w:color="000000"/>
              <w:right w:val="single" w:sz="12" w:color="000000"/>
              <w:bottom w:val="single" w:sz="12" w:color="000000"/>
            </w:tcBorders>
          </w:tcPr>
          <w:p>
            <w:hyperlink r:id="hrId16" target="_blank">
              <w:r>
                <w:rPr>
                  <w:rStyle w:val="c13"/>
                  <w:rFonts w:ascii="Calibri" w:hAnsi="Calibri" w:cs="Calibri" w:eastAsia="Calibri"/>
                  <w:b/>
                  <w:sz w:val="22"/>
                </w:rPr>
                <w:t>TRIFFHIR-165</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Extra validation on the "name" field in Implementation Guide and Profiles</w:t>
            </w:r>
          </w:p>
        </w:tc>
      </w:tr>
      <w:tr>
        <w:tc>
          <w:tcPr>
            <w:tcW w:w="1275" w:type="dxa"/>
            <w:tcBorders>
              <w:left w:val="single" w:sz="12" w:color="000000"/>
              <w:top w:val="single" w:sz="12" w:color="000000"/>
              <w:right w:val="single" w:sz="12" w:color="000000"/>
              <w:bottom w:val="single" w:sz="12" w:color="000000"/>
            </w:tcBorders>
          </w:tcPr>
          <w:p>
            <w:hyperlink r:id="hrId17" target="_blank">
              <w:r>
                <w:rPr>
                  <w:rStyle w:val="c13"/>
                  <w:rFonts w:ascii="Calibri" w:hAnsi="Calibri" w:cs="Calibri" w:eastAsia="Calibri"/>
                  <w:b/>
                  <w:sz w:val="22"/>
                </w:rPr>
                <w:t>TRIFFHIR-166</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Minor UI styling and field position changes</w:t>
            </w:r>
          </w:p>
        </w:tc>
      </w:tr>
      <w:tr>
        <w:tc>
          <w:tcPr>
            <w:tcW w:w="1275" w:type="dxa"/>
            <w:tcBorders>
              <w:left w:val="single" w:sz="12" w:color="000000"/>
              <w:top w:val="single" w:sz="12" w:color="000000"/>
              <w:right w:val="single" w:sz="12" w:color="000000"/>
              <w:bottom w:val="single" w:sz="12" w:color="000000"/>
            </w:tcBorders>
          </w:tcPr>
          <w:p>
            <w:hyperlink r:id="hrId18" target="_blank">
              <w:r>
                <w:rPr>
                  <w:rStyle w:val="c13"/>
                  <w:rFonts w:ascii="Calibri" w:hAnsi="Calibri" w:cs="Calibri" w:eastAsia="Calibri"/>
                  <w:b/>
                  <w:sz w:val="22"/>
                </w:rPr>
                <w:t>TRIFFHIR-167</w:t>
              </w:r>
            </w:hyperlink>
          </w:p>
        </w:tc>
        <w:tc>
          <w:tcPr>
            <w:tcW w:w="1275" w:type="dxa"/>
            <w:tcBorders>
              <w:left w:val="single" w:sz="12" w:color="000000"/>
              <w:top w:val="single" w:sz="12" w:color="000000"/>
              <w:right w:val="single" w:sz="12" w:color="000000"/>
              <w:bottom w:val="single" w:sz="12" w:color="000000"/>
            </w:tcBorders>
          </w:tcPr>
          <w:p>
            <w:r>
              <w:t>Defect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Invalid element ids after slicing</w:t>
            </w:r>
          </w:p>
        </w:tc>
      </w:tr>
      <w:tr>
        <w:tc>
          <w:tcPr>
            <w:tcW w:w="1275" w:type="dxa"/>
            <w:tcBorders>
              <w:left w:val="single" w:sz="12" w:color="000000"/>
              <w:top w:val="single" w:sz="12" w:color="000000"/>
              <w:right w:val="single" w:sz="12" w:color="000000"/>
              <w:bottom w:val="single" w:sz="12" w:color="000000"/>
            </w:tcBorders>
          </w:tcPr>
          <w:p>
            <w:hyperlink r:id="hrId19" target="_blank">
              <w:r>
                <w:rPr>
                  <w:rStyle w:val="c13"/>
                  <w:rFonts w:ascii="Calibri" w:hAnsi="Calibri" w:cs="Calibri" w:eastAsia="Calibri"/>
                  <w:b/>
                  <w:sz w:val="22"/>
                </w:rPr>
                <w:t>TRIFFHIR-169</w:t>
              </w:r>
            </w:hyperlink>
          </w:p>
        </w:tc>
        <w:tc>
          <w:tcPr>
            <w:tcW w:w="1275" w:type="dxa"/>
            <w:tcBorders>
              <w:left w:val="single" w:sz="12" w:color="000000"/>
              <w:top w:val="single" w:sz="12" w:color="000000"/>
              <w:right w:val="single" w:sz="12" w:color="000000"/>
              <w:bottom w:val="single" w:sz="12" w:color="000000"/>
            </w:tcBorders>
          </w:tcPr>
          <w:p>
            <w:r>
              <w:t>Defect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Value Set binding incorrect for R4</w:t>
            </w:r>
          </w:p>
        </w:tc>
      </w:tr>
      <w:tr>
        <w:tc>
          <w:tcPr>
            <w:tcW w:w="1275" w:type="dxa"/>
            <w:tcBorders>
              <w:left w:val="single" w:sz="12" w:color="000000"/>
              <w:top w:val="single" w:sz="12" w:color="000000"/>
              <w:right w:val="single" w:sz="12" w:color="000000"/>
              <w:bottom w:val="single" w:sz="12" w:color="000000"/>
            </w:tcBorders>
          </w:tcPr>
          <w:p>
            <w:hyperlink r:id="hrId20" target="_blank">
              <w:r>
                <w:rPr>
                  <w:rStyle w:val="c13"/>
                  <w:rFonts w:ascii="Calibri" w:hAnsi="Calibri" w:cs="Calibri" w:eastAsia="Calibri"/>
                  <w:b/>
                  <w:sz w:val="22"/>
                </w:rPr>
                <w:t>TRIFFHIR-174</w:t>
              </w:r>
            </w:hyperlink>
          </w:p>
        </w:tc>
        <w:tc>
          <w:tcPr>
            <w:tcW w:w="1275" w:type="dxa"/>
            <w:tcBorders>
              <w:left w:val="single" w:sz="12" w:color="000000"/>
              <w:top w:val="single" w:sz="12" w:color="000000"/>
              <w:right w:val="single" w:sz="12" w:color="000000"/>
              <w:bottom w:val="single" w:sz="12" w:color="000000"/>
            </w:tcBorders>
          </w:tcPr>
          <w:p>
            <w:r>
              <w:t>Defect</w:t>
            </w:r>
          </w:p>
        </w:tc>
        <w:tc>
          <w:tcPr>
            <w:tcW w:w="6510" w:type="dxa"/>
            <w:tcBorders>
              <w:left w:val="single" w:sz="12" w:color="000000"/>
              <w:top w:val="single" w:sz="12" w:color="000000"/>
              <w:right w:val="single" w:sz="12" w:color="000000"/>
              <w:bottom w:val="single" w:sz="12" w:color="000000"/>
            </w:tcBorders>
          </w:tcPr>
          <w:p>
            <w:r>
              <w:rPr>
                <w:rFonts w:ascii="Calibri" w:hAnsi="Calibri" w:cs="Calibri" w:eastAsia="Calibri"/>
                <w:sz w:val="22"/>
                <w:color w:val="000000"/>
              </w:rPr>
              <w:t>Update XML viewing under Raw tab</w:t>
            </w:r>
          </w:p>
        </w:tc>
      </w:tr>
    </w:tbl>
    <w:p>
      <w:pPr>
        <w:widowControl/>
        <w:spacing w:after="285" w:lineRule="auto" w:line="256"/>
      </w:pPr>
      <w:r>
        <w:rPr>
          <w:rFonts w:ascii="Times New Roman" w:hAnsi="Times New Roman" w:cs="Times New Roman" w:eastAsia="Times New Roman"/>
        </w:rPr>
        <w:t/>
      </w:r>
    </w:p>
    <w:p>
      <w:pPr>
        <w:widowControl/>
        <w:spacing w:after="285" w:lineRule="auto" w:line="256"/>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Login"/>
      <w:bookmarkEnd w:id="3"/>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Navigation"/>
      <w:bookmarkEnd w:id="4"/>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2"/>
        </w:numPr>
      </w:pPr>
      <w:r/>
      <w:r>
        <w:t>File</w:t>
      </w:r>
    </w:p>
    <w:p>
      <w:pPr>
        <w:numPr>
          <w:ilvl w:val="1"/>
          <w:numId w:val="2"/>
        </w:numPr>
      </w:pPr>
      <w:r/>
      <w:r>
        <w:t>Home - This is the first screen users see after login. It presents high-level information about ToF.</w:t>
      </w:r>
    </w:p>
    <w:p>
      <w:pPr>
        <w:numPr>
          <w:ilvl w:val="1"/>
          <w:numId w:val="2"/>
        </w:numPr>
      </w:pPr>
      <w:r/>
      <w:r>
        <w:t>Open from computer -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1"/>
          <w:numId w:val="2"/>
        </w:numPr>
      </w:pPr>
      <w:r/>
      <w:r>
        <w:t>Documentation - Opens this help documentation in HTML format.</w:t>
      </w:r>
    </w:p>
    <w:p>
      <w:pPr>
        <w:numPr>
          <w:ilvl w:val="1"/>
          <w:numId w:val="2"/>
        </w:numPr>
      </w:pPr>
      <w:r/>
      <w:r>
        <w:t>Request Support - Opens the support page for ToF, where users can submit support requests (defects, new ideas for features/improvements and general questions).</w:t>
      </w:r>
    </w:p>
    <w:p>
      <w:pPr>
        <w:numPr>
          <w:ilvl w:val="1"/>
          <w:numId w:val="2"/>
        </w:numPr>
      </w:pPr>
      <w:r/>
      <w:r>
        <w:t>Settings - This opens the settings window for ToF.</w:t>
      </w:r>
    </w:p>
    <w:p>
      <w:pPr>
        <w:numPr>
          <w:ilvl w:val="0"/>
          <w:numId w:val="2"/>
        </w:numPr>
      </w:pPr>
      <w:r/>
      <w:r>
        <w:t>Browse/Edit - Search, select, delete, and create new resources depending on the resource type selected in the sub-menu.</w:t>
      </w:r>
    </w:p>
    <w:p>
      <w:pPr>
        <w:numPr>
          <w:ilvl w:val="1"/>
          <w:numId w:val="2"/>
        </w:numPr>
      </w:pPr>
      <w:r/>
      <w:r>
        <w:t>Implementation Guides</w:t>
      </w:r>
    </w:p>
    <w:p>
      <w:pPr>
        <w:numPr>
          <w:ilvl w:val="1"/>
          <w:numId w:val="2"/>
        </w:numPr>
      </w:pPr>
      <w:r/>
      <w:r>
        <w:t>Profiles</w:t>
      </w:r>
    </w:p>
    <w:p>
      <w:pPr>
        <w:numPr>
          <w:ilvl w:val="1"/>
          <w:numId w:val="2"/>
        </w:numPr>
      </w:pPr>
      <w:r/>
      <w:r>
        <w:t>Capability Statements</w:t>
      </w:r>
    </w:p>
    <w:p>
      <w:pPr>
        <w:numPr>
          <w:ilvl w:val="1"/>
          <w:numId w:val="2"/>
        </w:numPr>
      </w:pPr>
      <w:r/>
      <w:r>
        <w:t>Operation Definitions</w:t>
      </w:r>
    </w:p>
    <w:p>
      <w:pPr>
        <w:numPr>
          <w:ilvl w:val="1"/>
          <w:numId w:val="2"/>
        </w:numPr>
      </w:pPr>
      <w:r/>
      <w:r>
        <w:t>Value Sets</w:t>
      </w:r>
    </w:p>
    <w:p>
      <w:pPr>
        <w:numPr>
          <w:ilvl w:val="1"/>
          <w:numId w:val="2"/>
        </w:numPr>
      </w:pPr>
      <w:r/>
      <w:r>
        <w:t>Code Systems</w:t>
      </w:r>
    </w:p>
    <w:p>
      <w:pPr>
        <w:numPr>
          <w:ilvl w:val="1"/>
          <w:numId w:val="2"/>
        </w:numPr>
      </w:pPr>
      <w:r/>
      <w:r>
        <w:t>Questionnaires</w:t>
      </w:r>
    </w:p>
    <w:p>
      <w:pPr>
        <w:numPr>
          <w:ilvl w:val="0"/>
          <w:numId w:val="2"/>
        </w:numPr>
      </w:pPr>
      <w:r/>
      <w:r>
        <w:t>Import - Import resources from other locations into ToF.</w:t>
      </w:r>
    </w:p>
    <w:p>
      <w:pPr>
        <w:numPr>
          <w:ilvl w:val="0"/>
          <w:numId w:val="2"/>
        </w:numPr>
      </w:pPr>
      <w:r/>
      <w:r>
        <w:t>Export - Export implementation guides from ToF in various formats (i.e., bundles, FHIR IG Publisher package, GitHub, etc).</w:t>
      </w:r>
    </w:p>
    <w:p>
      <w:pPr>
        <w:numPr>
          <w:ilvl w:val="0"/>
          <w:numId w:val="2"/>
        </w:numPr>
      </w:pPr>
      <w:r/>
      <w:r>
        <w:t>Publish - Publish your implementation guide using the FHIR IG Publisher.</w:t>
      </w:r>
    </w:p>
    <w:p>
      <w:r>
        <w:t/>
      </w:r>
    </w:p>
    <w:p>
      <w:r>
        <w:t>On the right-side of the navigation menu, users will find:</w:t>
      </w:r>
    </w:p>
    <w:p>
      <w:pPr>
        <w:numPr>
          <w:ilvl w:val="0"/>
          <w:numId w:val="2"/>
        </w:numPr>
      </w:pPr>
      <w:r/>
      <w:r>
        <w:t>A label indicating the currently selected FHIR server. You may click on this label to open the settings for ToF and select a different FHIR server. This is the same as clicking on the File &gt; Settings menu.</w:t>
      </w:r>
    </w:p>
    <w:p>
      <w:pPr>
        <w:numPr>
          <w:ilvl w:val="0"/>
          <w:numId w:val="2"/>
        </w:numPr>
      </w:pPr>
      <w:r/>
      <w:r>
        <w:t xml:space="preserve">A label indicating the user that is currently logged in. You may click on your name to edit your profile. A user is represented as a FHIR </w:t>
      </w:r>
      <w:hyperlink r:id="hrId21" target="_blank">
        <w:r>
          <w:rPr>
            <w:rStyle w:val="c13"/>
          </w:rPr>
          <w:t>Practitioner</w:t>
        </w:r>
      </w:hyperlink>
      <w:r>
        <w:t xml:space="preserve"> resource.</w:t>
      </w:r>
    </w:p>
    <w:p>
      <w:pPr>
        <w:numPr>
          <w:ilvl w:val="0"/>
          <w:numId w:val="2"/>
        </w:numPr>
      </w:pPr>
      <w:r/>
      <w:r>
        <w:t>An icon for logging out of GitHub (if you are logged into GitHub within ToF).</w:t>
      </w:r>
    </w:p>
    <w:p>
      <w:pPr>
        <w:numPr>
          <w:ilvl w:val="0"/>
          <w:numId w:val="2"/>
        </w:numPr>
      </w:pPr>
      <w:r/>
      <w:r>
        <w:t>An icon for logging out of ToF (if you are logged into ToF).</w:t>
      </w:r>
    </w:p>
    <w:p>
      <w:pPr>
        <w:numPr>
          <w:ilvl w:val="0"/>
          <w:numId w:val="2"/>
        </w:numPr>
      </w:pPr>
      <w:r/>
      <w:r>
        <w:t xml:space="preserve">An icon for getting real-time guidance on how to use each screen. When clicked, a tour of the page will be started, highlighting key points of interest. </w:t>
      </w:r>
      <w:r>
        <w:rPr>
          <w:i/>
        </w:rPr>
        <w:t>Note: not all screens support "tour" functionality.</w:t>
      </w:r>
    </w:p>
    <w:p>
      <w:pPr>
        <w:pStyle w:val="4"/>
      </w:pPr>
      <w:r>
        <w:t>FHIR Versions in the UI</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FHIRVersions"/>
      <w:bookmarkEnd w:id="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3"/>
        </w:numPr>
      </w:pPr>
      <w:r/>
      <w:r>
        <w:t>Create an Implementation Guide</w:t>
      </w:r>
    </w:p>
    <w:p>
      <w:pPr>
        <w:numPr>
          <w:ilvl w:val="0"/>
          <w:numId w:val="3"/>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3"/>
        </w:numPr>
      </w:pPr>
      <w:r/>
      <w:r>
        <w:t>Associate profiles, other conformance resources, and samples with the Implementation Guide</w:t>
      </w:r>
    </w:p>
    <w:p>
      <w:pPr>
        <w:numPr>
          <w:ilvl w:val="0"/>
          <w:numId w:val="3"/>
        </w:numPr>
      </w:pPr>
      <w:r/>
      <w:r>
        <w:t>Export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Q/A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5"/>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5"/>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5"/>
        </w:numPr>
      </w:pPr>
      <w:r/>
      <w:r>
        <w:t>The Implementation Guide should have a description. The main screen of the FHIR IG Publisher export displays the description.</w:t>
      </w:r>
    </w:p>
    <w:p>
      <w:pPr>
        <w:numPr>
          <w:ilvl w:val="0"/>
          <w:numId w:val="5"/>
        </w:numPr>
      </w:pPr>
      <w:r/>
      <w:r>
        <w:t>All contacts in the Implementation Guide appear as authors in the FHIR IG Publisher export.</w:t>
      </w:r>
    </w:p>
    <w:p>
      <w:pPr>
        <w:numPr>
          <w:ilvl w:val="0"/>
          <w:numId w:val="5"/>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AuthoringValuesets"/>
      <w:bookmarkEnd w:id="9"/>
      <w:r>
        <w:rPr>
          <w:rFonts w:ascii="Tahoma" w:hAnsi="Tahoma" w:cs="Tahoma" w:eastAsia="Tahoma"/>
          <w:b/>
          <w:sz w:val="26"/>
          <w:color w:val="4F81BD"/>
        </w:rPr>
        <w:t>Value sets</w:t>
      </w:r>
      <w:r/>
    </w:p>
    <w:p>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r>
        <w:t>Additional fields (such as the "Designations") may be modified for each concept by clicking the "Edit" button.</w:t>
      </w:r>
    </w:p>
    <w:p>
      <w:r>
        <w:t>Below the table of (at most) five (5) concepts is a set of buttons which allow you to control which page you are viewing/editing.</w:t>
      </w:r>
    </w:p>
    <w:p>
      <w:pPr>
        <w:numPr>
          <w:ilvl w:val="0"/>
          <w:numId w:val="6"/>
        </w:numPr>
      </w:pPr>
      <w:r/>
      <w:r>
        <w:t>The &lt;&lt; button returns you to the first page of concepts</w:t>
      </w:r>
    </w:p>
    <w:p>
      <w:pPr>
        <w:numPr>
          <w:ilvl w:val="0"/>
          <w:numId w:val="6"/>
        </w:numPr>
      </w:pPr>
      <w:r/>
      <w:r>
        <w:t>The &gt;&gt; button moves you to the last page of concepts</w:t>
      </w:r>
    </w:p>
    <w:p>
      <w:pPr>
        <w:numPr>
          <w:ilvl w:val="0"/>
          <w:numId w:val="6"/>
        </w:numPr>
      </w:pPr>
      <w:r/>
      <w:r>
        <w:t>The &lt; button moves you one page backward</w:t>
      </w:r>
    </w:p>
    <w:p>
      <w:pPr>
        <w:numPr>
          <w:ilvl w:val="0"/>
          <w:numId w:val="6"/>
        </w:numPr>
      </w:pPr>
      <w:r/>
      <w:r>
        <w:t>The &gt; button moves you one page forward</w:t>
      </w:r>
    </w:p>
    <w:p>
      <w:pPr>
        <w:numPr>
          <w:ilvl w:val="0"/>
          <w:numId w:val="6"/>
        </w:numPr>
      </w:pPr>
      <w:r/>
      <w:r>
        <w:t>Selecting a number will bring you to that specific page number</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6"/>
        </w:numPr>
      </w:pPr>
      <w:r/>
      <w:r>
        <w:t>Included in the implementation guide itself (via a resource referenced in the ImplementationGuide resource)</w:t>
      </w:r>
    </w:p>
    <w:p>
      <w:pPr>
        <w:numPr>
          <w:ilvl w:val="0"/>
          <w:numId w:val="6"/>
        </w:numPr>
      </w:pPr>
      <w:r/>
      <w:r>
        <w:t>The ValueSet is publicly available by the URL of the value set (e.x. putting the URL of the value set in a browser should return the ValueSet in either XML or JSON format)</w:t>
      </w:r>
    </w:p>
    <w:p>
      <w:pPr>
        <w:numPr>
          <w:ilvl w:val="0"/>
          <w:numId w:val="6"/>
        </w:numPr>
      </w:pPr>
      <w:r/>
      <w:r>
        <w:t>The terminology server used by the FHIR IG Publisher (tx.fhir.org) has the value set pre-loaded</w:t>
      </w:r>
      <w:r/>
      <w:r/>
      <w:r/>
      <w:bookmarkStart w:id="10" w:name="_topic_ExportImport"/>
      <w:bookmarkEnd w:id="10"/>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Export"/>
      <w:bookmarkEnd w:id="11"/>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7"/>
        </w:numPr>
      </w:pPr>
      <w:r/>
      <w:r>
        <w:t xml:space="preserve">Bundle exports produce a single download (pretty quickly) as a single XML file. This XML file is a FHIR </w:t>
      </w:r>
      <w:hyperlink r:id="hrId22" target="_blank">
        <w:r>
          <w:rPr>
            <w:rStyle w:val="c13"/>
          </w:rPr>
          <w:t>Bundle</w:t>
        </w:r>
      </w:hyperlink>
      <w:r>
        <w:t xml:space="preserve"> that can be used to import the resources for the implementation guide in another FHIR environment.</w:t>
      </w:r>
    </w:p>
    <w:p>
      <w:pPr>
        <w:numPr>
          <w:ilvl w:val="0"/>
          <w:numId w:val="7"/>
        </w:numPr>
      </w:pPr>
      <w:r/>
      <w:r>
        <w:t xml:space="preserve">HTML exports produce a package (ZIP file) for use with the FHIR </w:t>
      </w:r>
      <w:hyperlink r:id="hrId23"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1"/>
          <w:numId w:val="7"/>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1"/>
          <w:numId w:val="7"/>
        </w:numPr>
      </w:pPr>
      <w:r/>
      <w:r>
        <w:t>When the IG Publisher is executed, the output from the IG Publisher is copied to a public location in Trifolia-on-FHIR for preview.</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Import"/>
      <w:bookmarkEnd w:id="12"/>
      <w:r>
        <w:rPr>
          <w:rFonts w:ascii="Tahoma" w:hAnsi="Tahoma" w:cs="Tahoma" w:eastAsia="Tahoma"/>
          <w:b/>
          <w:sz w:val="26"/>
          <w:color w:val="4F81BD"/>
        </w:rPr>
        <w:t>Import</w:t>
      </w:r>
      <w:r/>
    </w:p>
    <w:p>
      <w:pPr>
        <w:pStyle w:val="3"/>
      </w:pPr>
      <w:r>
        <w:t>Import</w:t>
      </w:r>
    </w:p>
    <w:p>
      <w:r>
        <w:t xml:space="preserve">ToF allows users to import files, text, and VSAC content. </w:t>
      </w:r>
    </w:p>
    <w:p>
      <w:r>
        <w:t/>
      </w:r>
    </w:p>
    <w:p>
      <w:r>
        <w:t>File imports allow users to drag-and-drop resources (e.g., StructureDefinitions, ValueSets, CodeSystems) from users' hard drives to the ToF tool.</w:t>
      </w:r>
    </w:p>
    <w:p>
      <w:r>
        <w:t/>
      </w:r>
    </w:p>
    <w:p>
      <w:r>
        <w:t>VSAC imports require users' VSAC credentials, which are not persisted on the ToF server. If users select 'Remember VSAC Credentials,' the tool will store this information as cookies in the users' browser.</w:t>
      </w:r>
    </w:p>
    <w:p>
      <w:r>
        <w:t/>
      </w:r>
    </w:p>
    <w:p>
      <w:r>
        <w:t xml:space="preserve">Users who upload more than 20 resources at once may experience a timeout error notification. In the event of a timeout error notification, users should reduce the size of the resource import. </w:t>
      </w:r>
    </w:p>
    <w:p>
      <w:r>
        <w:t/>
      </w:r>
    </w:p>
    <w:p>
      <w:r>
        <w:t>Users can edit resource numbers based on individual needs.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3" w:name="_topic_GitHubIntegration"/>
      <w:bookmarkEnd w:id="13"/>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8"/>
        </w:numPr>
      </w:pPr>
      <w:r/>
      <w:r>
        <w:t>Import resources from a GitHub repository into the selected FHIR server</w:t>
      </w:r>
    </w:p>
    <w:p>
      <w:pPr>
        <w:numPr>
          <w:ilvl w:val="0"/>
          <w:numId w:val="8"/>
        </w:numPr>
      </w:pPr>
      <w:r/>
      <w:r>
        <w:t>Edit the resources using ToF</w:t>
      </w:r>
    </w:p>
    <w:p>
      <w:pPr>
        <w:numPr>
          <w:ilvl w:val="0"/>
          <w:numId w:val="8"/>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9"/>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9"/>
        </w:numPr>
      </w:pPr>
      <w:r/>
      <w:r>
        <w:t>Trifolia only allows importing FHIR resources. Trifolia-on-FHIR allows the user to select any JSON or XML file from GitHub. If the user selects an XML or JSON file that is not a FHIR resource, the import will fail.</w:t>
      </w:r>
    </w:p>
    <w:p>
      <w:pPr>
        <w:numPr>
          <w:ilvl w:val="0"/>
          <w:numId w:val="9"/>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Validation"/>
      <w:bookmarkEnd w:id="14"/>
      <w:r>
        <w:rPr>
          <w:rFonts w:ascii="Tahoma" w:hAnsi="Tahoma" w:cs="Tahoma" w:eastAsia="Tahoma"/>
          <w:b/>
          <w:sz w:val="26"/>
          <w:color w:val="4F81BD"/>
        </w:rPr>
        <w:t>Validation</w:t>
      </w:r>
      <w:r/>
    </w:p>
    <w:p>
      <w:r>
        <w:rPr>
          <w:b/>
          <w:i/>
          <w:sz w:val="28"/>
        </w:rPr>
        <w:t>Validation</w:t>
      </w:r>
    </w:p>
    <w:p>
      <w:r>
        <w:t/>
      </w:r>
    </w:p>
    <w:p>
      <w:r>
        <w:t>Trifolia on FHIR utilizes 3 validation methods to provide as much feed-back to IG authors as possible.</w:t>
      </w:r>
    </w:p>
    <w:p>
      <w:r>
        <w:t/>
      </w:r>
    </w:p>
    <w:p>
      <w:pPr>
        <w:pStyle w:val="12"/>
        <w:numPr>
          <w:ilvl w:val="0"/>
          <w:numId w:val="10"/>
        </w:numPr>
      </w:pPr>
      <w:r/>
      <w:r>
        <w:rPr>
          <w:b/>
        </w:rPr>
        <w:t>Real-time UI validation while editing</w:t>
      </w:r>
      <w:r>
        <w:br/>
      </w:r>
      <w:r>
        <w:t xml:space="preserve">This validation checks the base FHIR specification requirements (i.e. cardinality, terminology bindings, value set requirements). This validation occurs as each field in ToF is changed, allowing it to update and render to the user in real-time. </w:t>
      </w:r>
    </w:p>
    <w:p>
      <w:pPr>
        <w:pStyle w:val="12"/>
        <w:numPr>
          <w:ilvl w:val="0"/>
          <w:numId w:val="10"/>
        </w:numPr>
      </w:pPr>
      <w:r/>
      <w:r>
        <w:rPr>
          <w:b/>
        </w:rPr>
        <w:t>Pre-publish validation</w:t>
      </w:r>
      <w:r>
        <w:br/>
      </w:r>
      <w:r>
        <w:t xml:space="preserve">When publishing an implementation guide from the "Publish" screen, the FHIR Server's </w:t>
      </w:r>
      <w:hyperlink r:id="hrId24" target="_blank">
        <w:r>
          <w:rPr>
            <w:rStyle w:val="c13"/>
          </w:rPr>
          <w:t xml:space="preserve">$validate operation </w:t>
        </w:r>
      </w:hyperlink>
      <w:r>
        <w:t>is executed for each resource in the implementation guide. This is specific to the FHIR server being utilized by ToF for this IG (ex: HAPI, or the FHIR server instance selected in the top right of ToF).</w:t>
      </w:r>
    </w:p>
    <w:p>
      <w:pPr>
        <w:pStyle w:val="12"/>
        <w:numPr>
          <w:ilvl w:val="0"/>
          <w:numId w:val="10"/>
        </w:numPr>
      </w:pPr>
      <w:r/>
      <w:r>
        <w:rPr>
          <w:b/>
        </w:rPr>
        <w:t>HL7 IG Publisher validation</w:t>
      </w:r>
      <w:r>
        <w:br/>
      </w:r>
      <w:r>
        <w:t xml:space="preserve">This validation is performed automatically </w:t>
      </w:r>
      <w:r>
        <w:rPr>
          <w:i/>
        </w:rPr>
        <w:t xml:space="preserve">during </w:t>
      </w:r>
      <w:r>
        <w:t>the publish process by the FHIR IG Publisher. Validation checks for relationships between all resources and pages within this IG package. This includes all applicable IG resources, profiles, extensions, value sets, etc. FHIR IG Publisher validation also validates HTML links contained in the package. This validation method cannot be invoked externally/independently of initiating the publish process for an entire IG.</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5" w:name="_topic_GettingStarted"/>
      <w:bookmarkEnd w:id="15"/>
      <w:r>
        <w:rPr>
          <w:rFonts w:ascii="Tahoma" w:hAnsi="Tahoma" w:cs="Tahoma" w:eastAsia="Tahoma"/>
          <w:b/>
          <w:sz w:val="28"/>
          <w:color w:val="365F91"/>
        </w:rPr>
        <w:t>Getting Started</w:t>
      </w:r>
      <w:r/>
    </w:p>
    <w:p>
      <w:r>
        <w:t>The purpose of this page is to guide new users through Trifolia-on-FHIR:</w:t>
      </w:r>
    </w:p>
    <w:p>
      <w:pPr>
        <w:numPr>
          <w:ilvl w:val="0"/>
          <w:numId w:val="11"/>
        </w:numPr>
      </w:pPr>
      <w:r/>
      <w:r>
        <w:t>Create account and Login</w:t>
      </w:r>
    </w:p>
    <w:p>
      <w:pPr>
        <w:numPr>
          <w:ilvl w:val="0"/>
          <w:numId w:val="11"/>
        </w:numPr>
      </w:pPr>
      <w:r/>
      <w:r>
        <w:t>Select FHIR Release version (gear icon in top right)</w:t>
      </w:r>
    </w:p>
    <w:p>
      <w:pPr>
        <w:numPr>
          <w:ilvl w:val="0"/>
          <w:numId w:val="11"/>
        </w:numPr>
      </w:pPr>
      <w:r/>
      <w:r>
        <w:t>Create new Implementation Guide</w:t>
      </w:r>
    </w:p>
    <w:p>
      <w:pPr>
        <w:numPr>
          <w:ilvl w:val="1"/>
          <w:numId w:val="12"/>
        </w:numPr>
      </w:pPr>
      <w:r/>
      <w:r>
        <w:t>Option A: Create IG from scratch. Navigate to Browse Implementation Guides &gt;  click the "plus" + button at top IG list/table.</w:t>
      </w:r>
    </w:p>
    <w:p>
      <w:pPr>
        <w:numPr>
          <w:ilvl w:val="1"/>
          <w:numId w:val="12"/>
        </w:numPr>
      </w:pPr>
      <w:r/>
      <w:r>
        <w:t>Option B: Import IG from a file. Import IG.xml from your computer ("Import" button at top and either drag-and-drop the IG.xml file into the "Files" tab or copy/paste the contents of IG.xml into the second tab).</w:t>
      </w:r>
    </w:p>
    <w:p>
      <w:pPr>
        <w:numPr>
          <w:ilvl w:val="0"/>
          <w:numId w:val="11"/>
        </w:numPr>
      </w:pPr>
      <w:r/>
      <w:r>
        <w:t xml:space="preserve">Modify IG. Be sure to always </w:t>
      </w:r>
      <w:r>
        <w:rPr>
          <w:i/>
        </w:rPr>
        <w:t>Save</w:t>
      </w:r>
      <w:r>
        <w:t xml:space="preserve"> (bottom left)</w:t>
      </w:r>
    </w:p>
    <w:p>
      <w:pPr>
        <w:numPr>
          <w:ilvl w:val="0"/>
          <w:numId w:val="11"/>
        </w:numPr>
      </w:pPr>
      <w:r/>
      <w:r>
        <w:t>Create/import additional templates/profiles</w:t>
      </w:r>
    </w:p>
    <w:p>
      <w:pPr>
        <w:numPr>
          <w:ilvl w:val="1"/>
          <w:numId w:val="12"/>
        </w:numPr>
      </w:pPr>
      <w:r/>
      <w:r>
        <w:t>Option A: Create Profile from scratch. Navigate to Browse Templates/Profiles &gt; click the "plus" + button at top of Profile list/table.</w:t>
      </w:r>
    </w:p>
    <w:p>
      <w:pPr>
        <w:numPr>
          <w:ilvl w:val="1"/>
          <w:numId w:val="12"/>
        </w:numPr>
      </w:pPr>
      <w:r/>
      <w:r>
        <w:t>Option B: Import profiles from directories on computer</w:t>
      </w:r>
    </w:p>
    <w:p>
      <w:pPr>
        <w:numPr>
          <w:ilvl w:val="0"/>
          <w:numId w:val="11"/>
        </w:numPr>
      </w:pPr>
      <w:r/>
      <w:r>
        <w:t>Modify and constrain the templates/profiles to use case</w:t>
      </w:r>
    </w:p>
    <w:p>
      <w:pPr>
        <w:numPr>
          <w:ilvl w:val="0"/>
          <w:numId w:val="11"/>
        </w:numPr>
      </w:pPr>
      <w:r/>
      <w:r>
        <w:t xml:space="preserve">Resolve all Validation errors and warnings on Validation (tab) within each profile </w:t>
      </w:r>
    </w:p>
    <w:p>
      <w:pPr>
        <w:numPr>
          <w:ilvl w:val="0"/>
          <w:numId w:val="11"/>
        </w:numPr>
      </w:pPr>
      <w:r/>
      <w:r>
        <w:t>Export selected IG package. Suggested settings for initial export:</w:t>
      </w:r>
    </w:p>
    <w:p>
      <w:pPr>
        <w:numPr>
          <w:ilvl w:val="1"/>
          <w:numId w:val="11"/>
        </w:numPr>
      </w:pPr>
      <w:r/>
      <w:r>
        <w:t xml:space="preserve">Export Format: HTML (IG publisher) </w:t>
      </w:r>
    </w:p>
    <w:p>
      <w:pPr>
        <w:numPr>
          <w:ilvl w:val="1"/>
          <w:numId w:val="11"/>
        </w:numPr>
      </w:pPr>
      <w:r/>
      <w:r>
        <w:t>Run the IG Publisher: Yes</w:t>
      </w:r>
    </w:p>
    <w:p>
      <w:pPr>
        <w:numPr>
          <w:ilvl w:val="1"/>
          <w:numId w:val="11"/>
        </w:numPr>
      </w:pPr>
      <w:r/>
      <w:r>
        <w:t>Run the latest version of the IG Publisher: No</w:t>
      </w:r>
    </w:p>
    <w:p>
      <w:pPr>
        <w:numPr>
          <w:ilvl w:val="1"/>
          <w:numId w:val="11"/>
        </w:numPr>
      </w:pPr>
      <w:r/>
      <w:r>
        <w:t>Use terminology server: Yes/No (Suggest No if IG uses large standard codesets)</w:t>
      </w:r>
      <w:r>
        <w:br/>
      </w:r>
      <w:r>
        <w:t>Selecting Yes will verify applicable value sets and code systems externally</w:t>
      </w:r>
    </w:p>
    <w:p>
      <w:pPr>
        <w:numPr>
          <w:ilvl w:val="1"/>
          <w:numId w:val="11"/>
        </w:numPr>
      </w:pPr>
      <w:r/>
      <w:r>
        <w:t>Download: Yes</w:t>
      </w:r>
    </w:p>
    <w:p>
      <w:pPr>
        <w:numPr>
          <w:ilvl w:val="1"/>
          <w:numId w:val="11"/>
        </w:numPr>
      </w:pPr>
      <w:r/>
      <w:r>
        <w:t>Output format: XML</w:t>
      </w:r>
    </w:p>
    <w:p>
      <w:pPr>
        <w:numPr>
          <w:ilvl w:val="0"/>
          <w:numId w:val="11"/>
        </w:numPr>
      </w:pPr>
      <w:r/>
      <w:r>
        <w:t>Confirm build logs against CI-publisher on Zulip &gt; Notifications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SystemRequirements"/>
      <w:bookmarkEnd w:id="16"/>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13"/>
        </w:numPr>
      </w:pPr>
      <w:r/>
      <w:r>
        <w:t xml:space="preserve">Windows </w:t>
      </w:r>
      <w:r>
        <w:rPr>
          <w:i/>
        </w:rPr>
        <w:t xml:space="preserve">or </w:t>
      </w:r>
      <w:r>
        <w:t>Linux</w:t>
      </w:r>
    </w:p>
    <w:p>
      <w:pPr>
        <w:numPr>
          <w:ilvl w:val="0"/>
          <w:numId w:val="13"/>
        </w:numPr>
      </w:pPr>
      <w:r/>
      <w:r>
        <w:t>FHIR Server (STU3 or R4)</w:t>
      </w:r>
    </w:p>
    <w:p>
      <w:pPr>
        <w:numPr>
          <w:ilvl w:val="1"/>
          <w:numId w:val="13"/>
        </w:numPr>
      </w:pPr>
      <w:r/>
      <w:r>
        <w:t>Must support creating resources via a PUT with an ID</w:t>
      </w:r>
    </w:p>
    <w:p>
      <w:pPr>
        <w:numPr>
          <w:ilvl w:val="1"/>
          <w:numId w:val="13"/>
        </w:numPr>
      </w:pPr>
      <w:r/>
      <w:r>
        <w:t xml:space="preserve">Must support the </w:t>
      </w:r>
      <w:hyperlink r:id="hrId25" target="_blank">
        <w:r>
          <w:rPr>
            <w:rStyle w:val="c13"/>
          </w:rPr>
          <w:t>$validate operation</w:t>
        </w:r>
      </w:hyperlink>
    </w:p>
    <w:p>
      <w:pPr>
        <w:numPr>
          <w:ilvl w:val="1"/>
          <w:numId w:val="13"/>
        </w:numPr>
      </w:pPr>
      <w:r/>
      <w:r>
        <w:t>Must support _has (reverse chaining) search criteria. For example: GET /StructureDefinition?_has:ImplementationGuide:resource:_id=&lt;IG_ID&gt;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7" w:name="_topic_Help"/>
      <w:bookmarkEnd w:id="17"/>
      <w:r>
        <w:rPr>
          <w:rFonts w:ascii="Tahoma" w:hAnsi="Tahoma" w:cs="Tahoma" w:eastAsia="Tahoma"/>
          <w:b/>
          <w:sz w:val="26"/>
          <w:color w:val="4F81BD"/>
        </w:rPr>
        <w:t>Help</w:t>
      </w:r>
      <w:r/>
    </w:p>
    <w:p>
      <w:pPr>
        <w:pStyle w:val="3"/>
      </w:pPr>
      <w:r>
        <w:t>Help</w:t>
      </w:r>
    </w:p>
    <w:p>
      <w:r>
        <w:t>The help documentation is available in several formats:</w:t>
      </w:r>
    </w:p>
    <w:p>
      <w:r/>
    </w:p>
    <w:p>
      <w:pPr>
        <w:numPr>
          <w:ilvl w:val="0"/>
          <w:numId w:val="14"/>
        </w:numPr>
      </w:pPr>
      <w:r/>
      <w:r>
        <w:t>CHM</w:t>
      </w:r>
    </w:p>
    <w:p>
      <w:pPr>
        <w:numPr>
          <w:ilvl w:val="0"/>
          <w:numId w:val="14"/>
        </w:numPr>
      </w:pPr>
      <w:r/>
      <w:r>
        <w:t>DOCX</w:t>
      </w:r>
    </w:p>
    <w:p>
      <w:pPr>
        <w:numPr>
          <w:ilvl w:val="0"/>
          <w:numId w:val="14"/>
        </w:numPr>
      </w:pPr>
      <w:r/>
      <w:r>
        <w:t>PDF</w:t>
      </w:r>
    </w:p>
    <w:p>
      <w:pPr>
        <w:numPr>
          <w:ilvl w:val="0"/>
          <w:numId w:val="14"/>
        </w:numPr>
      </w:pPr>
      <w:r/>
      <w:r>
        <w:t>EPub</w:t>
      </w:r>
    </w:p>
    <w:p>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Glossary"/>
      <w:bookmarkEnd w:id="18"/>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665"/>
        <w:gridCol w:w="4665"/>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9" w:name="_topic_FAQ"/>
      <w:bookmarkEnd w:id="19"/>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0" w:name="_topic_API"/>
      <w:bookmarkEnd w:id="20"/>
      <w:r>
        <w:rPr>
          <w:rFonts w:ascii="Tahoma" w:hAnsi="Tahoma" w:cs="Tahoma" w:eastAsia="Tahoma"/>
          <w:b/>
          <w:sz w:val="28"/>
          <w:color w:val="365F91"/>
        </w:rPr>
        <w:t>API</w:t>
      </w:r>
      <w:r/>
    </w:p>
    <w:p>
      <w:r>
        <w:t xml:space="preserve">Trifolia-on-FHIR's REST API is documented using Swagger. The publicly available installation of Trifolia-on-FHIR exposes the API documentation here: </w:t>
      </w:r>
      <w:hyperlink r:id="hrId26" target="_blank">
        <w:r>
          <w:rPr>
            <w:rStyle w:val="c13"/>
          </w:rPr>
          <w:t>https://trifolia-fhir.lantanagroup.com/api-docs/</w:t>
        </w:r>
      </w:hyperlink>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Times New Roman">
    <w:charset w:val="01"/>
  </w:font>
  <w:font w:name="Calibri">
    <w:charset w:val="01"/>
  </w:font>
  <w:font w:name="Courier New">
    <w:charset w:val="01"/>
  </w:font>
  <w:font w:name="Symbol">
    <w:charset w:val="02"/>
  </w:font>
  <w:font w:name="Courier New">
    <w:charset w:val="00"/>
  </w:font>
  <w:font w:name="Wingdings">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11</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10</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9">
    <w:multiLevelType w:val="multilevel"/>
    <w:lvl w:ilvl="0">
      <w:numFmt w:val="decimal"/>
      <w:lvlText w:val="%1."/>
      <w:lvlJc w:val="left"/>
      <w:start w:val="1"/>
      <w:pPr>
        <w:ind w:left="1080" w:hanging="540"/>
        <w:tab w:val="num" w:pos="108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2160" w:hanging="540"/>
        <w:tab w:val="num" w:pos="216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3240" w:hanging="270"/>
        <w:tab w:val="num" w:pos="324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4320" w:hanging="540"/>
        <w:tab w:val="num" w:pos="432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5400" w:hanging="540"/>
        <w:tab w:val="num" w:pos="54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6480" w:hanging="270"/>
        <w:tab w:val="num" w:pos="648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7560" w:hanging="540"/>
        <w:tab w:val="num" w:pos="756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8640" w:hanging="540"/>
        <w:tab w:val="num" w:pos="864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9720" w:hanging="270"/>
        <w:tab w:val="num" w:pos="9720"/>
      </w:pPr>
      <w:rPr>
        <w:rFonts w:ascii="Times New Roman" w:hAnsi="Times New Roman" w:cs="Times New Roman" w:eastAsia="Times New Roman"/>
        <w:b w:val="0"/>
        <w:i w:val="0"/>
        <w:strike w:val="0"/>
        <w:sz w:val="24"/>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s://trifolia.atlassian.net/browse/TRIFFHIR-27" TargetMode="External"/><Relationship Id="hrId5" Type="http://schemas.openxmlformats.org/officeDocument/2006/relationships/hyperlink" Target="https://trifolia.atlassian.net/browse/TRIFFHIR-82" TargetMode="External"/><Relationship Id="hrId6" Type="http://schemas.openxmlformats.org/officeDocument/2006/relationships/hyperlink" Target="https://trifolia.atlassian.net/browse/TRIFFHIR-116" TargetMode="External"/><Relationship Id="hrId7" Type="http://schemas.openxmlformats.org/officeDocument/2006/relationships/hyperlink" Target="https://trifolia.atlassian.net/browse/TRIFFHIR-123" TargetMode="External"/><Relationship Id="hrId8" Type="http://schemas.openxmlformats.org/officeDocument/2006/relationships/hyperlink" Target="https://trifolia.atlassian.net/browse/TRIFFHIR-130" TargetMode="External"/><Relationship Id="hrId9" Type="http://schemas.openxmlformats.org/officeDocument/2006/relationships/hyperlink" Target="https://trifolia.atlassian.net/browse/TRIFFHIR-143" TargetMode="External"/><Relationship Id="hrId10" Type="http://schemas.openxmlformats.org/officeDocument/2006/relationships/hyperlink" Target="https://trifolia.atlassian.net/browse/TRIFFHIR-156" TargetMode="External"/><Relationship Id="hrId11" Type="http://schemas.openxmlformats.org/officeDocument/2006/relationships/hyperlink" Target="https://trifolia.atlassian.net/browse/TRIFFHIR-157" TargetMode="External"/><Relationship Id="hrId12" Type="http://schemas.openxmlformats.org/officeDocument/2006/relationships/hyperlink" Target="https://trifolia.atlassian.net/browse/TRIFFHIR-158" TargetMode="External"/><Relationship Id="hrId13" Type="http://schemas.openxmlformats.org/officeDocument/2006/relationships/hyperlink" Target="https://trifolia.atlassian.net/browse/TRIFFHIR-159" TargetMode="External"/><Relationship Id="hrId14" Type="http://schemas.openxmlformats.org/officeDocument/2006/relationships/hyperlink" Target="https://trifolia.atlassian.net/browse/TRIFFHIR-160" TargetMode="External"/><Relationship Id="hrId15" Type="http://schemas.openxmlformats.org/officeDocument/2006/relationships/hyperlink" Target="https://trifolia.atlassian.net/browse/TRIFFHIR-164" TargetMode="External"/><Relationship Id="hrId16" Type="http://schemas.openxmlformats.org/officeDocument/2006/relationships/hyperlink" Target="https://trifolia.atlassian.net/browse/TRIFFHIR-165" TargetMode="External"/><Relationship Id="hrId17" Type="http://schemas.openxmlformats.org/officeDocument/2006/relationships/hyperlink" Target="https://trifolia.atlassian.net/browse/TRIFFHIR-166" TargetMode="External"/><Relationship Id="hrId18" Type="http://schemas.openxmlformats.org/officeDocument/2006/relationships/hyperlink" Target="https://trifolia.atlassian.net/browse/TRIFFHIR-167" TargetMode="External"/><Relationship Id="hrId19" Type="http://schemas.openxmlformats.org/officeDocument/2006/relationships/hyperlink" Target="https://trifolia.atlassian.net/browse/TRIFFHIR-169" TargetMode="External"/><Relationship Id="hrId20" Type="http://schemas.openxmlformats.org/officeDocument/2006/relationships/hyperlink" Target="https://trifolia.atlassian.net/browse/TRIFFHIR-174" TargetMode="External"/><Relationship Id="hrId21" Type="http://schemas.openxmlformats.org/officeDocument/2006/relationships/hyperlink" Target="http://www.hl7.org/fhir/practitioner.html" TargetMode="External"/><Relationship Id="hrId22" Type="http://schemas.openxmlformats.org/officeDocument/2006/relationships/hyperlink" Target="http://hl7.org/fhir/bundle.html" TargetMode="External"/><Relationship Id="hrId23" Type="http://schemas.openxmlformats.org/officeDocument/2006/relationships/hyperlink" Target="http://wiki.hl7.org/index.php?title=IG_Publisher_Documentation" TargetMode="External"/><Relationship Id="hrId24" Type="http://schemas.openxmlformats.org/officeDocument/2006/relationships/hyperlink" Target="https://www.hl7.org/fhir/operation-resource-validate.html" TargetMode="External"/><Relationship Id="hrId25" Type="http://schemas.openxmlformats.org/officeDocument/2006/relationships/hyperlink" Target="https://www.hl7.org/fhir/operation-resource-validate.html" TargetMode="External"/><Relationship Id="hrId26"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