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7</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bookmarkStart w:id="9" w:name="_topic_GettingStarted"/>
      <w:bookmarkEnd w:id="9"/>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6"/>
        </w:numPr>
      </w:pPr>
      <w:r/>
      <w:r>
        <w:t xml:space="preserve">Windows </w:t>
      </w:r>
      <w:r>
        <w:rPr>
          <w:i/>
        </w:rPr>
        <w:t xml:space="preserve">or </w:t>
      </w:r>
      <w:r>
        <w:t>Linux</w:t>
      </w:r>
    </w:p>
    <w:p>
      <w:pPr>
        <w:numPr>
          <w:ilvl w:val="0"/>
          <w:numId w:val="6"/>
        </w:numPr>
      </w:pPr>
      <w:r/>
      <w:r>
        <w:t>FHIR Server (STU3 or R4)</w:t>
      </w:r>
    </w:p>
    <w:p>
      <w:pPr>
        <w:numPr>
          <w:ilvl w:val="1"/>
          <w:numId w:val="6"/>
        </w:numPr>
      </w:pPr>
      <w:r/>
      <w:r>
        <w:t>Must support creating resources via a PUT with an ID</w:t>
      </w:r>
    </w:p>
    <w:p>
      <w:pPr>
        <w:numPr>
          <w:ilvl w:val="1"/>
          <w:numId w:val="6"/>
        </w:numPr>
      </w:pPr>
      <w:r/>
      <w:r>
        <w:t>Must support the $validate operation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7"/>
        </w:numPr>
      </w:pPr>
      <w:r/>
      <w:r>
        <w:t>CHM</w:t>
      </w:r>
    </w:p>
    <w:p>
      <w:pPr>
        <w:numPr>
          <w:ilvl w:val="0"/>
          <w:numId w:val="7"/>
        </w:numPr>
      </w:pPr>
      <w:r/>
      <w:r>
        <w:t>DOCX</w:t>
      </w:r>
    </w:p>
    <w:p>
      <w:pPr>
        <w:numPr>
          <w:ilvl w:val="0"/>
          <w:numId w:val="7"/>
        </w:numPr>
      </w:pPr>
      <w:r/>
      <w:r>
        <w:t>PDF</w:t>
      </w:r>
    </w:p>
    <w:p>
      <w:pPr>
        <w:numPr>
          <w:ilvl w:val="0"/>
          <w:numId w:val="7"/>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8"/>
        </w:numPr>
      </w:pPr>
      <w:r/>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numPr>
          <w:ilvl w:val="0"/>
          <w:numId w:val="8"/>
        </w:numPr>
      </w:pPr>
      <w:r/>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8"/>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8"/>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pPr>
        <w:pStyle w:val="4"/>
      </w:pPr>
      <w:r>
        <w:t>Work Flow</w:t>
      </w:r>
    </w:p>
    <w:p>
      <w:r>
        <w:t>The work flow within ToF for GitHub is to</w:t>
      </w:r>
    </w:p>
    <w:p>
      <w:pPr>
        <w:numPr>
          <w:ilvl w:val="0"/>
          <w:numId w:val="9"/>
        </w:numPr>
      </w:pPr>
      <w:r/>
      <w:r>
        <w:t>Import resources from a GitHub repository into the selected FHIR server</w:t>
      </w:r>
    </w:p>
    <w:p>
      <w:pPr>
        <w:numPr>
          <w:ilvl w:val="0"/>
          <w:numId w:val="9"/>
        </w:numPr>
      </w:pPr>
      <w:r/>
      <w:r>
        <w:t>Edit the resources using ToF</w:t>
      </w:r>
    </w:p>
    <w:p>
      <w:pPr>
        <w:numPr>
          <w:ilvl w:val="0"/>
          <w:numId w:val="9"/>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