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1.2.0 on March 1, 2019</w:t>
      </w:r>
    </w:p>
    <w:p>
      <w:pPr>
        <w:pStyle w:val="5"/>
      </w:pPr>
      <w:r>
        <w:t>Navigation improvements</w:t>
      </w:r>
    </w:p>
    <w:p>
      <w:r>
        <w:t>Most of the individual icons in the top-right navigation bar have been moved to a new "File" menu, which replaces the "Home" button. The "Home" button is now a menu item within the "File" menu.</w:t>
      </w:r>
    </w:p>
    <w:p>
      <w:pPr>
        <w:pStyle w:val="5"/>
      </w:pPr>
      <w:r>
        <w:t>Development Log</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Pr>
      <w:tblGrid>
        <w:gridCol w:w="1365"/>
        <w:gridCol w:w="1335"/>
        <w:gridCol w:w="6600"/>
      </w:tblGrid>
      <w:tr>
        <w:tc>
          <w:tcPr>
            <w:tcW w:w="1275" w:type="dxa"/>
            <w:tcBorders>
              <w:left w:val="single" w:sz="12" w:color="000000"/>
              <w:top w:val="single" w:sz="12" w:color="000000"/>
              <w:right w:val="single" w:sz="12" w:color="000000"/>
              <w:bottom w:val="single" w:sz="12" w:color="000000"/>
            </w:tcBorders>
          </w:tcPr>
          <w:p>
            <w:r>
              <w:rPr>
                <w:b/>
              </w:rPr>
              <w:t>Key</w:t>
            </w:r>
          </w:p>
        </w:tc>
        <w:tc>
          <w:tcPr>
            <w:tcW w:w="1275" w:type="dxa"/>
            <w:tcBorders>
              <w:left w:val="single" w:sz="12" w:color="000000"/>
              <w:top w:val="single" w:sz="12" w:color="000000"/>
              <w:right w:val="single" w:sz="12" w:color="000000"/>
              <w:bottom w:val="single" w:sz="12" w:color="000000"/>
            </w:tcBorders>
          </w:tcPr>
          <w:p>
            <w:r>
              <w:rPr>
                <w:b/>
              </w:rPr>
              <w:t>Type</w:t>
            </w:r>
          </w:p>
        </w:tc>
        <w:tc>
          <w:tcPr>
            <w:tcW w:w="6510" w:type="dxa"/>
            <w:tcBorders>
              <w:left w:val="single" w:sz="12" w:color="000000"/>
              <w:top w:val="single" w:sz="12" w:color="000000"/>
              <w:right w:val="single" w:sz="12" w:color="000000"/>
              <w:bottom w:val="single" w:sz="12" w:color="000000"/>
            </w:tcBorders>
          </w:tcPr>
          <w:p>
            <w:r>
              <w:rPr>
                <w:b/>
              </w:rPr>
              <w:t>Summary</w:t>
            </w:r>
          </w:p>
        </w:tc>
      </w:tr>
      <w:tr>
        <w:tc>
          <w:tcPr>
            <w:tcW w:w="1275" w:type="dxa"/>
            <w:tcBorders>
              <w:left w:val="single" w:sz="12" w:color="000000"/>
              <w:top w:val="single" w:sz="12" w:color="000000"/>
              <w:right w:val="single" w:sz="12" w:color="000000"/>
              <w:bottom w:val="single" w:sz="12" w:color="000000"/>
            </w:tcBorders>
          </w:tcPr>
          <w:p>
            <w:hyperlink r:id="hrId4" target="_blank">
              <w:r>
                <w:rPr>
                  <w:rStyle w:val="c13"/>
                </w:rPr>
                <w:t>TRIFFHIR-131</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Pages should create unique page names</w:t>
            </w:r>
          </w:p>
        </w:tc>
      </w:tr>
      <w:tr>
        <w:tc>
          <w:tcPr>
            <w:tcW w:w="1275" w:type="dxa"/>
            <w:tcBorders>
              <w:left w:val="single" w:sz="12" w:color="000000"/>
              <w:top w:val="single" w:sz="12" w:color="000000"/>
              <w:right w:val="single" w:sz="12" w:color="000000"/>
              <w:bottom w:val="single" w:sz="12" w:color="000000"/>
            </w:tcBorders>
          </w:tcPr>
          <w:p>
            <w:hyperlink r:id="hrId5" target="_blank">
              <w:r>
                <w:rPr>
                  <w:rStyle w:val="c13"/>
                </w:rPr>
                <w:t>TRIFFHIR-132</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Add additional guidance for the ID on VSAC import page</w:t>
            </w:r>
          </w:p>
        </w:tc>
      </w:tr>
      <w:tr>
        <w:tc>
          <w:tcPr>
            <w:tcW w:w="1275" w:type="dxa"/>
            <w:tcBorders>
              <w:left w:val="single" w:sz="12" w:color="000000"/>
              <w:top w:val="single" w:sz="12" w:color="000000"/>
              <w:right w:val="single" w:sz="12" w:color="000000"/>
              <w:bottom w:val="single" w:sz="12" w:color="000000"/>
            </w:tcBorders>
          </w:tcPr>
          <w:p>
            <w:hyperlink r:id="hrId6" target="_blank">
              <w:r>
                <w:rPr>
                  <w:rStyle w:val="c13"/>
                </w:rPr>
                <w:t>TRIFFHIR-139</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Allow users to change the id of "other" resources</w:t>
            </w:r>
          </w:p>
        </w:tc>
      </w:tr>
      <w:tr>
        <w:tc>
          <w:tcPr>
            <w:tcW w:w="1275" w:type="dxa"/>
            <w:tcBorders>
              <w:left w:val="single" w:sz="12" w:color="000000"/>
              <w:top w:val="single" w:sz="12" w:color="000000"/>
              <w:right w:val="single" w:sz="12" w:color="000000"/>
              <w:bottom w:val="single" w:sz="12" w:color="000000"/>
            </w:tcBorders>
          </w:tcPr>
          <w:p>
            <w:hyperlink r:id="hrId7" target="_blank">
              <w:r>
                <w:rPr>
                  <w:rStyle w:val="c13"/>
                </w:rPr>
                <w:t>TRIFFHIR-152</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t>Adding a StructureDefinition to an IG via the "Edit Structure Definition" screen does not work</w:t>
            </w:r>
          </w:p>
        </w:tc>
      </w:tr>
      <w:tr>
        <w:tc>
          <w:tcPr>
            <w:tcW w:w="1275" w:type="dxa"/>
            <w:tcBorders>
              <w:left w:val="single" w:sz="12" w:color="000000"/>
              <w:top w:val="single" w:sz="12" w:color="000000"/>
              <w:right w:val="single" w:sz="12" w:color="000000"/>
              <w:bottom w:val="single" w:sz="12" w:color="000000"/>
            </w:tcBorders>
          </w:tcPr>
          <w:p>
            <w:hyperlink r:id="hrId8" target="_blank">
              <w:r>
                <w:rPr>
                  <w:rStyle w:val="c13"/>
                </w:rPr>
                <w:t>TRIFFHIR-151</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Re-arrange navigation bar's individual icons into a File menu</w:t>
            </w:r>
          </w:p>
        </w:tc>
      </w:tr>
      <w:tr>
        <w:tc>
          <w:tcPr>
            <w:tcW w:w="1275" w:type="dxa"/>
            <w:tcBorders>
              <w:left w:val="single" w:sz="12" w:color="000000"/>
              <w:top w:val="single" w:sz="12" w:color="000000"/>
              <w:right w:val="single" w:sz="12" w:color="000000"/>
              <w:bottom w:val="single" w:sz="12" w:color="000000"/>
            </w:tcBorders>
          </w:tcPr>
          <w:p>
            <w:hyperlink r:id="hrId9" target="_blank">
              <w:r>
                <w:rPr>
                  <w:rStyle w:val="c13"/>
                </w:rPr>
                <w:t>TRIFFHIR-150</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t>Exported ig publisher package's ig.json file has incorrect specification property</w:t>
            </w:r>
          </w:p>
        </w:tc>
      </w:tr>
      <w:tr>
        <w:tc>
          <w:tcPr>
            <w:tcW w:w="1275" w:type="dxa"/>
            <w:tcBorders>
              <w:left w:val="single" w:sz="12" w:color="000000"/>
              <w:top w:val="single" w:sz="12" w:color="000000"/>
              <w:right w:val="single" w:sz="12" w:color="000000"/>
              <w:bottom w:val="single" w:sz="12" w:color="000000"/>
            </w:tcBorders>
          </w:tcPr>
          <w:p>
            <w:hyperlink r:id="hrId10" target="_blank">
              <w:r>
                <w:rPr>
                  <w:rStyle w:val="c13"/>
                </w:rPr>
                <w:t>TRIFFHIR-149</w:t>
              </w:r>
            </w:hyperlink>
          </w:p>
        </w:tc>
        <w:tc>
          <w:tcPr>
            <w:tcW w:w="1275" w:type="dxa"/>
            <w:tcBorders>
              <w:left w:val="single" w:sz="12" w:color="000000"/>
              <w:top w:val="single" w:sz="12" w:color="000000"/>
              <w:right w:val="single" w:sz="12" w:color="000000"/>
              <w:bottom w:val="single" w:sz="12" w:color="000000"/>
            </w:tcBorders>
          </w:tcPr>
          <w:p>
            <w:r>
              <w:t>Defect</w:t>
            </w:r>
          </w:p>
        </w:tc>
        <w:tc>
          <w:tcPr>
            <w:tcW w:w="6510" w:type="dxa"/>
            <w:tcBorders>
              <w:left w:val="single" w:sz="12" w:color="000000"/>
              <w:top w:val="single" w:sz="12" w:color="000000"/>
              <w:right w:val="single" w:sz="12" w:color="000000"/>
              <w:bottom w:val="single" w:sz="12" w:color="000000"/>
            </w:tcBorders>
          </w:tcPr>
          <w:p>
            <w:r>
              <w:t>Editing a profile's ElementDefinition.type is incorrect for R4</w:t>
            </w:r>
          </w:p>
        </w:tc>
      </w:tr>
    </w:tbl>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0" w:name="_topic_GettingStarted"/>
      <w:bookmarkEnd w:id="10"/>
      <w:r>
        <w:rPr>
          <w:rFonts w:ascii="Tahoma" w:hAnsi="Tahoma" w:cs="Tahoma" w:eastAsia="Tahoma"/>
          <w:b/>
          <w:sz w:val="28"/>
          <w:color w:val="365F91"/>
        </w:rPr>
        <w:t>Getting Started</w:t>
      </w:r>
      <w:r/>
    </w:p>
    <w:p>
      <w:r>
        <w:t>The purpose of this page is to guide new users through Trifolia-on-FHIR:</w:t>
      </w:r>
    </w:p>
    <w:p>
      <w:pPr>
        <w:numPr>
          <w:ilvl w:val="0"/>
          <w:numId w:val="7"/>
        </w:numPr>
      </w:pPr>
      <w:r/>
      <w:r>
        <w:t>Create account and Login</w:t>
      </w:r>
    </w:p>
    <w:p>
      <w:pPr>
        <w:numPr>
          <w:ilvl w:val="0"/>
          <w:numId w:val="7"/>
        </w:numPr>
      </w:pPr>
      <w:r/>
      <w:r>
        <w:t>Select FHIR Release version (gear icon in top right)</w:t>
      </w:r>
    </w:p>
    <w:p>
      <w:pPr>
        <w:numPr>
          <w:ilvl w:val="0"/>
          <w:numId w:val="7"/>
        </w:numPr>
      </w:pPr>
      <w:r/>
      <w:r>
        <w:t>Create new Implementation Guide</w:t>
      </w:r>
    </w:p>
    <w:p>
      <w:pPr>
        <w:numPr>
          <w:ilvl w:val="1"/>
          <w:numId w:val="8"/>
        </w:numPr>
      </w:pPr>
      <w:r/>
      <w:r>
        <w:t>Option A: Create IG from scratch. Navigate to Browse Implementation Guides &gt;  click the "plus" + button at top IG list/table.</w:t>
      </w:r>
    </w:p>
    <w:p>
      <w:pPr>
        <w:numPr>
          <w:ilvl w:val="1"/>
          <w:numId w:val="8"/>
        </w:numPr>
      </w:pPr>
      <w:r/>
      <w:r>
        <w:t>Option B: Import IG from a file. Import IG.xml from your computer ("Import" button at top and either drag-and-drop the IG.xml file into the "Files" tab or copy/paste the contents of IG.xml into the second tab).</w:t>
      </w:r>
    </w:p>
    <w:p>
      <w:pPr>
        <w:numPr>
          <w:ilvl w:val="0"/>
          <w:numId w:val="7"/>
        </w:numPr>
      </w:pPr>
      <w:r/>
      <w:r>
        <w:t xml:space="preserve">Modify IG. Be sure to always </w:t>
      </w:r>
      <w:r>
        <w:rPr>
          <w:i/>
        </w:rPr>
        <w:t>Save</w:t>
      </w:r>
      <w:r>
        <w:t xml:space="preserve"> (bottom left)</w:t>
      </w:r>
    </w:p>
    <w:p>
      <w:pPr>
        <w:numPr>
          <w:ilvl w:val="0"/>
          <w:numId w:val="7"/>
        </w:numPr>
      </w:pPr>
      <w:r/>
      <w:r>
        <w:t>Create/import additional templates/profiles</w:t>
      </w:r>
    </w:p>
    <w:p>
      <w:pPr>
        <w:numPr>
          <w:ilvl w:val="1"/>
          <w:numId w:val="8"/>
        </w:numPr>
      </w:pPr>
      <w:r/>
      <w:r>
        <w:t>Option A: Create Profile from scratch. Navigate to Browse Templates/Profiles &gt; click the "plus" + button at top of Profile list/table.</w:t>
      </w:r>
    </w:p>
    <w:p>
      <w:pPr>
        <w:numPr>
          <w:ilvl w:val="1"/>
          <w:numId w:val="8"/>
        </w:numPr>
      </w:pPr>
      <w:r/>
      <w:r>
        <w:t>Option B: Import profiles from directories on computer</w:t>
      </w:r>
    </w:p>
    <w:p>
      <w:pPr>
        <w:numPr>
          <w:ilvl w:val="0"/>
          <w:numId w:val="7"/>
        </w:numPr>
      </w:pPr>
      <w:r/>
      <w:r>
        <w:t>Modify and constrain the templates/profiles to use case</w:t>
      </w:r>
    </w:p>
    <w:p>
      <w:pPr>
        <w:numPr>
          <w:ilvl w:val="0"/>
          <w:numId w:val="7"/>
        </w:numPr>
      </w:pPr>
      <w:r/>
      <w:r>
        <w:t xml:space="preserve">Resolve all Validation errors and warnings on Validation (tab) within each profile </w:t>
      </w:r>
    </w:p>
    <w:p>
      <w:pPr>
        <w:numPr>
          <w:ilvl w:val="0"/>
          <w:numId w:val="7"/>
        </w:numPr>
      </w:pPr>
      <w:r/>
      <w:r>
        <w:t>Export selected IG package. Suggested settings for initial export:</w:t>
      </w:r>
    </w:p>
    <w:p>
      <w:pPr>
        <w:numPr>
          <w:ilvl w:val="1"/>
          <w:numId w:val="7"/>
        </w:numPr>
      </w:pPr>
      <w:r/>
      <w:r>
        <w:t xml:space="preserve">Export Format: HTML (IG publisher) </w:t>
      </w:r>
    </w:p>
    <w:p>
      <w:pPr>
        <w:numPr>
          <w:ilvl w:val="1"/>
          <w:numId w:val="7"/>
        </w:numPr>
      </w:pPr>
      <w:r/>
      <w:r>
        <w:t>Run the IG Publisher: Yes</w:t>
      </w:r>
    </w:p>
    <w:p>
      <w:pPr>
        <w:numPr>
          <w:ilvl w:val="1"/>
          <w:numId w:val="7"/>
        </w:numPr>
      </w:pPr>
      <w:r/>
      <w:r>
        <w:t>Run the latest version of the IG Publisher: No</w:t>
      </w:r>
    </w:p>
    <w:p>
      <w:pPr>
        <w:numPr>
          <w:ilvl w:val="1"/>
          <w:numId w:val="7"/>
        </w:numPr>
      </w:pPr>
      <w:r/>
      <w:r>
        <w:t>Use terminology server: Yes/No (Suggest No if IG uses large standard codesets)</w:t>
      </w:r>
      <w:r>
        <w:br/>
      </w:r>
      <w:r>
        <w:t>Selecting Yes will verify applicable value sets and code systems externally</w:t>
      </w:r>
    </w:p>
    <w:p>
      <w:pPr>
        <w:numPr>
          <w:ilvl w:val="1"/>
          <w:numId w:val="7"/>
        </w:numPr>
      </w:pPr>
      <w:r/>
      <w:r>
        <w:t>Download: Yes</w:t>
      </w:r>
    </w:p>
    <w:p>
      <w:pPr>
        <w:numPr>
          <w:ilvl w:val="1"/>
          <w:numId w:val="7"/>
        </w:numPr>
      </w:pPr>
      <w:r/>
      <w:r>
        <w:t>Output format: XML</w:t>
      </w:r>
    </w:p>
    <w:p>
      <w:pPr>
        <w:numPr>
          <w:ilvl w:val="0"/>
          <w:numId w:val="7"/>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SystemRequirements"/>
      <w:bookmarkEnd w:id="11"/>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9"/>
        </w:numPr>
      </w:pPr>
      <w:r/>
      <w:r>
        <w:t xml:space="preserve">Windows </w:t>
      </w:r>
      <w:r>
        <w:rPr>
          <w:i/>
        </w:rPr>
        <w:t xml:space="preserve">or </w:t>
      </w:r>
      <w:r>
        <w:t>Linux</w:t>
      </w:r>
    </w:p>
    <w:p>
      <w:pPr>
        <w:numPr>
          <w:ilvl w:val="0"/>
          <w:numId w:val="9"/>
        </w:numPr>
      </w:pPr>
      <w:r/>
      <w:r>
        <w:t>FHIR Server (STU3 or R4)</w:t>
      </w:r>
    </w:p>
    <w:p>
      <w:pPr>
        <w:numPr>
          <w:ilvl w:val="1"/>
          <w:numId w:val="9"/>
        </w:numPr>
      </w:pPr>
      <w:r/>
      <w:r>
        <w:t>Must support creating resources via a PUT with an ID</w:t>
      </w:r>
    </w:p>
    <w:p>
      <w:pPr>
        <w:numPr>
          <w:ilvl w:val="1"/>
          <w:numId w:val="9"/>
        </w:numPr>
      </w:pPr>
      <w:r/>
      <w:r>
        <w:t>Must support the $validate operation</w:t>
      </w:r>
    </w:p>
    <w:p>
      <w:pPr>
        <w:numPr>
          <w:ilvl w:val="1"/>
          <w:numId w:val="9"/>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Help"/>
      <w:bookmarkEnd w:id="12"/>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10"/>
        </w:numPr>
      </w:pPr>
      <w:r/>
      <w:r>
        <w:t>CHM</w:t>
      </w:r>
    </w:p>
    <w:p>
      <w:pPr>
        <w:numPr>
          <w:ilvl w:val="0"/>
          <w:numId w:val="10"/>
        </w:numPr>
      </w:pPr>
      <w:r/>
      <w:r>
        <w:t>DOCX</w:t>
      </w:r>
    </w:p>
    <w:p>
      <w:pPr>
        <w:numPr>
          <w:ilvl w:val="0"/>
          <w:numId w:val="10"/>
        </w:numPr>
      </w:pPr>
      <w:r/>
      <w:r>
        <w:t>PDF</w:t>
      </w:r>
    </w:p>
    <w:p>
      <w:pPr>
        <w:numPr>
          <w:ilvl w:val="0"/>
          <w:numId w:val="10"/>
        </w:numPr>
      </w:pPr>
      <w:r/>
      <w:r>
        <w:t>EPub</w:t>
      </w:r>
    </w:p>
    <w:p>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1"/>
        </w:numPr>
      </w:pPr>
      <w:r/>
      <w:r>
        <w:t xml:space="preserve">Bundle exports produce a single download (pretty quickly) as a single XML file. This XML file is a FHIR </w:t>
      </w:r>
      <w:hyperlink r:id="hrId11" target="_blank">
        <w:r>
          <w:rPr>
            <w:rStyle w:val="c13"/>
          </w:rPr>
          <w:t>Bundle</w:t>
        </w:r>
      </w:hyperlink>
      <w:r>
        <w:t xml:space="preserve"> that can be used to import the resources for the implementation guide in another FHIR environment.</w:t>
      </w:r>
    </w:p>
    <w:p>
      <w:pPr>
        <w:numPr>
          <w:ilvl w:val="0"/>
          <w:numId w:val="11"/>
        </w:numPr>
      </w:pPr>
      <w:r/>
      <w:r>
        <w:t xml:space="preserve">HTML exports produce a package (ZIP file) for use with the FHIR </w:t>
      </w:r>
      <w:hyperlink r:id="hrId12"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1"/>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1"/>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2"/>
        </w:numPr>
      </w:pPr>
      <w:r/>
      <w:r>
        <w:t>Import resources from a GitHub repository into the selected FHIR server</w:t>
      </w:r>
    </w:p>
    <w:p>
      <w:pPr>
        <w:numPr>
          <w:ilvl w:val="0"/>
          <w:numId w:val="12"/>
        </w:numPr>
      </w:pPr>
      <w:r/>
      <w:r>
        <w:t>Edit the resources using ToF</w:t>
      </w:r>
    </w:p>
    <w:p>
      <w:pPr>
        <w:numPr>
          <w:ilvl w:val="0"/>
          <w:numId w:val="12"/>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3"/>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3"/>
        </w:numPr>
      </w:pPr>
      <w:r/>
      <w:r>
        <w:t>Trifolia only allows importing FHIR resources. Trifolia-on-FHIR allows the user to select any JSON or XML file from GitHub. If the user selects an XML or JSON file that is not a FHIR resource, the import will fail.</w:t>
      </w:r>
    </w:p>
    <w:p>
      <w:pPr>
        <w:numPr>
          <w:ilvl w:val="0"/>
          <w:numId w:val="13"/>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Glossary"/>
      <w:bookmarkEnd w:id="17"/>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r>
        <w:tc>
          <w:tcPr>
            <w:tcBorders>
              <w:left w:val="single" w:sz="6" w:color="auto"/>
              <w:top w:val="single" w:sz="6" w:color="auto"/>
              <w:right w:val="single" w:sz="6" w:color="auto"/>
              <w:bottom w:val="single" w:sz="6" w:color="auto"/>
            </w:tcBorders>
          </w:tcPr>
          <w:p>
            <w:r>
              <w:t>IG</w:t>
            </w:r>
          </w:p>
        </w:tc>
        <w:tc>
          <w:tcPr>
            <w:tcBorders>
              <w:left w:val="single" w:sz="6" w:color="auto"/>
              <w:top w:val="single" w:sz="6" w:color="auto"/>
              <w:right w:val="single" w:sz="6" w:color="auto"/>
              <w:bottom w:val="single" w:sz="6" w:color="auto"/>
            </w:tcBorders>
          </w:tcPr>
          <w:p>
            <w:r>
              <w:t>Implementation Guide</w:t>
            </w:r>
          </w:p>
        </w:tc>
      </w:tr>
      <w:tr>
        <w:tc>
          <w:tcPr>
            <w:tcBorders>
              <w:left w:val="single" w:sz="6" w:color="auto"/>
              <w:top w:val="single" w:sz="6" w:color="auto"/>
              <w:right w:val="single" w:sz="6" w:color="auto"/>
              <w:bottom w:val="single" w:sz="6" w:color="auto"/>
            </w:tcBorders>
          </w:tcPr>
          <w:p>
            <w:r>
              <w:t>VS</w:t>
            </w:r>
          </w:p>
        </w:tc>
        <w:tc>
          <w:tcPr>
            <w:tcBorders>
              <w:left w:val="single" w:sz="6" w:color="auto"/>
              <w:top w:val="single" w:sz="6" w:color="auto"/>
              <w:right w:val="single" w:sz="6" w:color="auto"/>
              <w:bottom w:val="single" w:sz="6" w:color="auto"/>
            </w:tcBorders>
          </w:tcPr>
          <w:p>
            <w:r>
              <w:t>Value Set</w:t>
            </w:r>
          </w:p>
        </w:tc>
      </w:tr>
      <w:tr>
        <w:tc>
          <w:tcPr>
            <w:tcBorders>
              <w:left w:val="single" w:sz="6" w:color="auto"/>
              <w:top w:val="single" w:sz="6" w:color="auto"/>
              <w:right w:val="single" w:sz="6" w:color="auto"/>
              <w:bottom w:val="single" w:sz="6" w:color="auto"/>
            </w:tcBorders>
          </w:tcPr>
          <w:p>
            <w:r>
              <w:t>CS</w:t>
            </w:r>
          </w:p>
        </w:tc>
        <w:tc>
          <w:tcPr>
            <w:tcBorders>
              <w:left w:val="single" w:sz="6" w:color="auto"/>
              <w:top w:val="single" w:sz="6" w:color="auto"/>
              <w:right w:val="single" w:sz="6" w:color="auto"/>
              <w:bottom w:val="single" w:sz="6" w:color="auto"/>
            </w:tcBorders>
          </w:tcPr>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FAQ"/>
      <w:bookmarkEnd w:id="18"/>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API"/>
      <w:bookmarkEnd w:id="19"/>
      <w:r>
        <w:rPr>
          <w:rFonts w:ascii="Tahoma" w:hAnsi="Tahoma" w:cs="Tahoma" w:eastAsia="Tahoma"/>
          <w:b/>
          <w:sz w:val="28"/>
          <w:color w:val="365F91"/>
        </w:rPr>
        <w:t>API</w:t>
      </w:r>
      <w:r/>
    </w:p>
    <w:p>
      <w:r>
        <w:t xml:space="preserve">Trifolia-on-FHIR's REST API is documented using Swagger. The publicly available installation of Trifolia-on-FHIR exposes the API documentation here: </w:t>
      </w:r>
      <w:hyperlink r:id="hrId13" target="_blank">
        <w:r>
          <w:rPr>
            <w:rStyle w:val="c13"/>
          </w:rPr>
          <w:t>https://trifolia-fhir.lantanagroup.com/api-docs/</w:t>
        </w:r>
      </w:hyperlink>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131" TargetMode="External"/><Relationship Id="hrId5" Type="http://schemas.openxmlformats.org/officeDocument/2006/relationships/hyperlink" Target="https://trifolia.atlassian.net/browse/TRIFFHIR-132" TargetMode="External"/><Relationship Id="hrId6" Type="http://schemas.openxmlformats.org/officeDocument/2006/relationships/hyperlink" Target="https://trifolia.atlassian.net/browse/TRIFFHIR-139" TargetMode="External"/><Relationship Id="hrId7" Type="http://schemas.openxmlformats.org/officeDocument/2006/relationships/hyperlink" Target="https://trifolia.atlassian.net/browse/TRIFFHIR-152" TargetMode="External"/><Relationship Id="hrId8" Type="http://schemas.openxmlformats.org/officeDocument/2006/relationships/hyperlink" Target="https://trifolia.atlassian.net/browse/TRIFFHIR-151" TargetMode="External"/><Relationship Id="hrId9" Type="http://schemas.openxmlformats.org/officeDocument/2006/relationships/hyperlink" Target="https://trifolia.atlassian.net/browse/TRIFFHIR-150" TargetMode="External"/><Relationship Id="hrId10" Type="http://schemas.openxmlformats.org/officeDocument/2006/relationships/hyperlink" Target="https://trifolia.atlassian.net/browse/TRIFFHIR-149" TargetMode="External"/><Relationship Id="hrId11" Type="http://schemas.openxmlformats.org/officeDocument/2006/relationships/hyperlink" Target="http://hl7.org/fhir/bundle.html" TargetMode="External"/><Relationship Id="hrId12" Type="http://schemas.openxmlformats.org/officeDocument/2006/relationships/hyperlink" Target="http://wiki.hl7.org/index.php?title=IG_Publisher_Documentation" TargetMode="External"/><Relationship Id="hrId13"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