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BỆNH ÁN THI LÂM SÀNG</w:t>
      </w:r>
    </w:p>
    <w:p>
      <w:pPr>
        <w:jc w:val="center"/>
      </w:pPr>
      <w:r>
        <w:rPr>
          <w:b/>
          <w:sz w:val="24"/>
        </w:rPr>
        <w:t>Viêm túi mật hoại tử – Giãn phế quản bội nhiễm – Theo dõi COPD – Suy tim EF 36%</w:t>
      </w:r>
    </w:p>
    <w:p>
      <w:pPr>
        <w:spacing w:after="80" w:line="259" w:lineRule="auto"/>
      </w:pPr>
      <w:r>
        <w:rPr>
          <w:i w:val="0"/>
        </w:rPr>
        <w:t>Lưu ý về nguồn: Bản bệnh án học tập này được biên soạn từ hồ sơ PDF người dùng cung cấp. Các dữ kiện không thấy trong phần hồ sơ đọc được được ghi “chưa ghi nhận/không thấy trong hồ sơ”; không tự bổ sung như thể đó là dữ kiện thực tế. Cần đối chiếu lại bản hồ sơ gốc và hướng dẫn của cơ sở đào tạo trước khi sử dụng trong thi lâm sàng.</w:t>
      </w:r>
    </w:p>
    <w:p>
      <w:pPr>
        <w:pStyle w:val="Heading1"/>
      </w:pPr>
      <w:r>
        <w:t>I. HÀNH CHÍNH</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eastAsia="Times New Roman"/>
                <w:b/>
                <w:sz w:val="21"/>
              </w:rPr>
              <w:t>Mục</w:t>
            </w:r>
          </w:p>
        </w:tc>
        <w:tc>
          <w:tcPr>
            <w:tcW w:type="dxa" w:w="4968"/>
            <w:vAlign w:val="center"/>
            <w:shd w:fill="D9EAF7"/>
          </w:tcPr>
          <w:p>
            <w:pPr>
              <w:spacing w:after="0"/>
            </w:pPr>
            <w:r/>
            <w:r>
              <w:rPr>
                <w:rFonts w:ascii="Times New Roman" w:hAnsi="Times New Roman" w:eastAsia="Times New Roman"/>
                <w:b/>
                <w:sz w:val="21"/>
              </w:rPr>
              <w:t>Thông tin</w:t>
            </w:r>
          </w:p>
        </w:tc>
      </w:tr>
      <w:tr>
        <w:tc>
          <w:tcPr>
            <w:tcW w:type="dxa" w:w="4968"/>
            <w:vAlign w:val="center"/>
          </w:tcPr>
          <w:p>
            <w:pPr>
              <w:spacing w:after="0"/>
            </w:pPr>
            <w:r/>
            <w:r>
              <w:rPr>
                <w:rFonts w:ascii="Times New Roman" w:hAnsi="Times New Roman" w:eastAsia="Times New Roman"/>
                <w:b w:val="0"/>
                <w:sz w:val="21"/>
              </w:rPr>
              <w:t>Tuổi, giới</w:t>
            </w:r>
          </w:p>
        </w:tc>
        <w:tc>
          <w:tcPr>
            <w:tcW w:type="dxa" w:w="4968"/>
            <w:vAlign w:val="center"/>
          </w:tcPr>
          <w:p>
            <w:pPr>
              <w:spacing w:after="0"/>
            </w:pPr>
            <w:r/>
            <w:r>
              <w:rPr>
                <w:rFonts w:ascii="Times New Roman" w:hAnsi="Times New Roman" w:eastAsia="Times New Roman"/>
                <w:b w:val="0"/>
                <w:sz w:val="21"/>
              </w:rPr>
              <w:t>Nam, 70 tuổi</w:t>
            </w:r>
          </w:p>
        </w:tc>
      </w:tr>
      <w:tr>
        <w:tc>
          <w:tcPr>
            <w:tcW w:type="dxa" w:w="4968"/>
            <w:vAlign w:val="center"/>
          </w:tcPr>
          <w:p>
            <w:pPr>
              <w:spacing w:after="0"/>
            </w:pPr>
            <w:r/>
            <w:r>
              <w:rPr>
                <w:rFonts w:ascii="Times New Roman" w:hAnsi="Times New Roman" w:eastAsia="Times New Roman"/>
                <w:b w:val="0"/>
                <w:sz w:val="21"/>
              </w:rPr>
              <w:t>Ngày vào viện</w:t>
            </w:r>
          </w:p>
        </w:tc>
        <w:tc>
          <w:tcPr>
            <w:tcW w:type="dxa" w:w="4968"/>
            <w:vAlign w:val="center"/>
          </w:tcPr>
          <w:p>
            <w:pPr>
              <w:spacing w:after="0"/>
            </w:pPr>
            <w:r/>
            <w:r>
              <w:rPr>
                <w:rFonts w:ascii="Times New Roman" w:hAnsi="Times New Roman" w:eastAsia="Times New Roman"/>
                <w:b w:val="0"/>
                <w:sz w:val="21"/>
              </w:rPr>
              <w:t>16/10/2026</w:t>
            </w:r>
          </w:p>
        </w:tc>
      </w:tr>
      <w:tr>
        <w:tc>
          <w:tcPr>
            <w:tcW w:type="dxa" w:w="4968"/>
            <w:vAlign w:val="center"/>
          </w:tcPr>
          <w:p>
            <w:pPr>
              <w:spacing w:after="0"/>
            </w:pPr>
            <w:r/>
            <w:r>
              <w:rPr>
                <w:rFonts w:ascii="Times New Roman" w:hAnsi="Times New Roman" w:eastAsia="Times New Roman"/>
                <w:b w:val="0"/>
                <w:sz w:val="21"/>
              </w:rPr>
              <w:t>Ngày ra viện</w:t>
            </w:r>
          </w:p>
        </w:tc>
        <w:tc>
          <w:tcPr>
            <w:tcW w:type="dxa" w:w="4968"/>
            <w:vAlign w:val="center"/>
          </w:tcPr>
          <w:p>
            <w:pPr>
              <w:spacing w:after="0"/>
            </w:pPr>
            <w:r/>
            <w:r>
              <w:rPr>
                <w:rFonts w:ascii="Times New Roman" w:hAnsi="Times New Roman" w:eastAsia="Times New Roman"/>
                <w:b w:val="0"/>
                <w:sz w:val="21"/>
              </w:rPr>
              <w:t>21/10/2026</w:t>
            </w:r>
          </w:p>
        </w:tc>
      </w:tr>
      <w:tr>
        <w:tc>
          <w:tcPr>
            <w:tcW w:type="dxa" w:w="4968"/>
            <w:vAlign w:val="center"/>
          </w:tcPr>
          <w:p>
            <w:pPr>
              <w:spacing w:after="0"/>
            </w:pPr>
            <w:r/>
            <w:r>
              <w:rPr>
                <w:rFonts w:ascii="Times New Roman" w:hAnsi="Times New Roman" w:eastAsia="Times New Roman"/>
                <w:b w:val="0"/>
                <w:sz w:val="21"/>
              </w:rPr>
              <w:t>Khoa điều trị</w:t>
            </w:r>
          </w:p>
        </w:tc>
        <w:tc>
          <w:tcPr>
            <w:tcW w:type="dxa" w:w="4968"/>
            <w:vAlign w:val="center"/>
          </w:tcPr>
          <w:p>
            <w:pPr>
              <w:spacing w:after="0"/>
            </w:pPr>
            <w:r/>
            <w:r>
              <w:rPr>
                <w:rFonts w:ascii="Times New Roman" w:hAnsi="Times New Roman" w:eastAsia="Times New Roman"/>
                <w:b w:val="0"/>
                <w:sz w:val="21"/>
              </w:rPr>
              <w:t>Ngoại tổng hợp; có hội chẩn Hô hấp và Tim mạch</w:t>
            </w:r>
          </w:p>
        </w:tc>
      </w:tr>
      <w:tr>
        <w:tc>
          <w:tcPr>
            <w:tcW w:type="dxa" w:w="4968"/>
            <w:vAlign w:val="center"/>
          </w:tcPr>
          <w:p>
            <w:pPr>
              <w:spacing w:after="0"/>
            </w:pPr>
            <w:r/>
            <w:r>
              <w:rPr>
                <w:rFonts w:ascii="Times New Roman" w:hAnsi="Times New Roman" w:eastAsia="Times New Roman"/>
                <w:b w:val="0"/>
                <w:sz w:val="21"/>
              </w:rPr>
              <w:t>Lý do vào viện theo hồ sơ</w:t>
            </w:r>
          </w:p>
        </w:tc>
        <w:tc>
          <w:tcPr>
            <w:tcW w:type="dxa" w:w="4968"/>
            <w:vAlign w:val="center"/>
          </w:tcPr>
          <w:p>
            <w:pPr>
              <w:spacing w:after="0"/>
            </w:pPr>
            <w:r/>
            <w:r>
              <w:rPr>
                <w:rFonts w:ascii="Times New Roman" w:hAnsi="Times New Roman" w:eastAsia="Times New Roman"/>
                <w:b w:val="0"/>
                <w:sz w:val="21"/>
              </w:rPr>
              <w:t>Đau bụng vùng mạn sườn trái</w:t>
            </w:r>
          </w:p>
        </w:tc>
      </w:tr>
      <w:tr>
        <w:tc>
          <w:tcPr>
            <w:tcW w:type="dxa" w:w="4968"/>
            <w:vAlign w:val="center"/>
          </w:tcPr>
          <w:p>
            <w:pPr>
              <w:spacing w:after="0"/>
            </w:pPr>
            <w:r/>
            <w:r>
              <w:rPr>
                <w:rFonts w:ascii="Times New Roman" w:hAnsi="Times New Roman" w:eastAsia="Times New Roman"/>
                <w:b w:val="0"/>
                <w:sz w:val="21"/>
              </w:rPr>
              <w:t>Chẩn đoán ghi trong hồ sơ</w:t>
            </w:r>
          </w:p>
        </w:tc>
        <w:tc>
          <w:tcPr>
            <w:tcW w:type="dxa" w:w="4968"/>
            <w:vAlign w:val="center"/>
          </w:tcPr>
          <w:p>
            <w:pPr>
              <w:spacing w:after="0"/>
            </w:pPr>
            <w:r/>
            <w:r>
              <w:rPr>
                <w:rFonts w:ascii="Times New Roman" w:hAnsi="Times New Roman" w:eastAsia="Times New Roman"/>
                <w:b w:val="0"/>
                <w:sz w:val="21"/>
              </w:rPr>
              <w:t>Viêm túi mật hoại tử / giãn phế quản bội nhiễm – theo dõi bệnh phổi tắc nghẽn mạn tính (COPD) – suy tim EF 36%</w:t>
            </w:r>
          </w:p>
        </w:tc>
      </w:tr>
      <w:tr>
        <w:tc>
          <w:tcPr>
            <w:tcW w:type="dxa" w:w="4968"/>
            <w:vAlign w:val="center"/>
          </w:tcPr>
          <w:p>
            <w:pPr>
              <w:spacing w:after="0"/>
            </w:pPr>
            <w:r/>
            <w:r>
              <w:rPr>
                <w:rFonts w:ascii="Times New Roman" w:hAnsi="Times New Roman" w:eastAsia="Times New Roman"/>
                <w:b w:val="0"/>
                <w:sz w:val="21"/>
              </w:rPr>
              <w:t>Tiền sử đáng chú ý</w:t>
            </w:r>
          </w:p>
        </w:tc>
        <w:tc>
          <w:tcPr>
            <w:tcW w:type="dxa" w:w="4968"/>
            <w:vAlign w:val="center"/>
          </w:tcPr>
          <w:p>
            <w:pPr>
              <w:spacing w:after="0"/>
            </w:pPr>
            <w:r/>
            <w:r>
              <w:rPr>
                <w:rFonts w:ascii="Times New Roman" w:hAnsi="Times New Roman" w:eastAsia="Times New Roman"/>
                <w:b w:val="0"/>
                <w:sz w:val="21"/>
              </w:rPr>
              <w:t>Viêm phế quản mạn tính, sỏi túi mật</w:t>
            </w:r>
          </w:p>
        </w:tc>
      </w:tr>
      <w:tr>
        <w:tc>
          <w:tcPr>
            <w:tcW w:type="dxa" w:w="4968"/>
            <w:vAlign w:val="center"/>
          </w:tcPr>
          <w:p>
            <w:pPr>
              <w:spacing w:after="0"/>
            </w:pPr>
            <w:r/>
            <w:r>
              <w:rPr>
                <w:rFonts w:ascii="Times New Roman" w:hAnsi="Times New Roman" w:eastAsia="Times New Roman"/>
                <w:b w:val="0"/>
                <w:sz w:val="21"/>
              </w:rPr>
              <w:t>Dị ứng</w:t>
            </w:r>
          </w:p>
        </w:tc>
        <w:tc>
          <w:tcPr>
            <w:tcW w:type="dxa" w:w="4968"/>
            <w:vAlign w:val="center"/>
          </w:tcPr>
          <w:p>
            <w:pPr>
              <w:spacing w:after="0"/>
            </w:pPr>
            <w:r/>
            <w:r>
              <w:rPr>
                <w:rFonts w:ascii="Times New Roman" w:hAnsi="Times New Roman" w:eastAsia="Times New Roman"/>
                <w:b w:val="0"/>
                <w:sz w:val="21"/>
              </w:rPr>
              <w:t>Hồ sơ ghi chưa phát hiện dị ứng</w:t>
            </w:r>
          </w:p>
        </w:tc>
      </w:tr>
    </w:tbl>
    <w:p/>
    <w:p>
      <w:pPr>
        <w:pStyle w:val="Heading1"/>
      </w:pPr>
      <w:r>
        <w:t>II. BỆNH SỬ</w:t>
      </w:r>
    </w:p>
    <w:p>
      <w:pPr>
        <w:spacing w:after="80" w:line="259" w:lineRule="auto"/>
      </w:pPr>
      <w:r>
        <w:rPr>
          <w:i w:val="0"/>
        </w:rPr>
        <w:t>Theo hồ sơ điều dưỡng, khoảng 19 giờ ngày 15/10/2026, người bệnh xuất hiện đau bụng vùng mạn sườn trái, đau lan lên ngực phía sau xương ức. Đến ngày 16/10/2026, đau tăng nên đến Bệnh viện Đại học Y Hà Nội và nhập viện.</w:t>
      </w:r>
    </w:p>
    <w:p>
      <w:pPr>
        <w:spacing w:after="80" w:line="259" w:lineRule="auto"/>
      </w:pPr>
      <w:r>
        <w:rPr>
          <w:i w:val="0"/>
        </w:rPr>
        <w:t>Hồ sơ chuyên khoa ghi nhận bệnh nhân có tiền sử nhiều năm hay ho khạc đờm, đôi khi khó thở khò khè; chưa ghi nhận đợt cấp phải nhập viện trước đó và không hút thuốc theo lời khai trong hội chẩn Hô hấp. Trong đợt nằm viện, bệnh nhân ho khạc đờm xanh, có thời điểm sốt nhẹ 37,8°C; hình ảnh CT ngực hướng tới giãn phế quản bội nhiễm hai bên/viêm phổi.</w:t>
      </w:r>
    </w:p>
    <w:p>
      <w:pPr>
        <w:spacing w:after="80" w:line="259" w:lineRule="auto"/>
      </w:pPr>
      <w:r>
        <w:rPr>
          <w:i w:val="0"/>
        </w:rPr>
        <w:t>Lưu ý: vị trí đau lúc vào viện được ghi là mạn sườn trái và lan sau xương ức; không tự đổi thành đau hạ sườn phải. Chẩn đoán viêm túi mật được củng cố bằng hình ảnh học và xác nhận trong mổ.</w:t>
      </w:r>
    </w:p>
    <w:p>
      <w:pPr>
        <w:pStyle w:val="Heading1"/>
      </w:pPr>
      <w:r>
        <w:t>III. TIỀN SỬ</w:t>
      </w:r>
    </w:p>
    <w:p>
      <w:pPr>
        <w:pStyle w:val="Heading2"/>
      </w:pPr>
      <w:r>
        <w:t>1. Bản thân</w:t>
      </w:r>
    </w:p>
    <w:p>
      <w:pPr>
        <w:pStyle w:val="ListBullet"/>
        <w:spacing w:after="40"/>
      </w:pPr>
      <w:r>
        <w:t>Tiền sử viêm phế quản mạn tính.</w:t>
      </w:r>
    </w:p>
    <w:p>
      <w:pPr>
        <w:pStyle w:val="ListBullet"/>
        <w:spacing w:after="40"/>
      </w:pPr>
      <w:r>
        <w:t>Tiền sử sỏi túi mật.</w:t>
      </w:r>
    </w:p>
    <w:p>
      <w:pPr>
        <w:pStyle w:val="ListBullet"/>
        <w:spacing w:after="40"/>
      </w:pPr>
      <w:r>
        <w:t>Hồ sơ có chẩn đoán suy tim với phân suất tống máu thất trái (EF) 36% trong đợt điều trị.</w:t>
      </w:r>
    </w:p>
    <w:p>
      <w:pPr>
        <w:pStyle w:val="ListBullet"/>
        <w:spacing w:after="40"/>
      </w:pPr>
      <w:r>
        <w:t>Hội chẩn Hô hấp ghi nhận không hút thuốc; thường ho khạc đờm và đôi khi khó thở khò khè nhiều năm.</w:t>
      </w:r>
    </w:p>
    <w:p>
      <w:pPr>
        <w:pStyle w:val="ListBullet"/>
        <w:spacing w:after="40"/>
      </w:pPr>
      <w:r>
        <w:t>Các bệnh nền khác như đái tháo đường, tăng huyết áp, hen phế quản: biểu mẫu có các mục khai thác nhưng hồ sơ trích xuất không xác nhận rõ mắc bệnh; không kết luận có/không nếu chưa đối chiếu bản gốc.</w:t>
      </w:r>
    </w:p>
    <w:p>
      <w:pPr>
        <w:pStyle w:val="Heading2"/>
      </w:pPr>
      <w:r>
        <w:t>2. Gia đình và dị ứng</w:t>
      </w:r>
    </w:p>
    <w:p>
      <w:pPr>
        <w:spacing w:after="80" w:line="259" w:lineRule="auto"/>
      </w:pPr>
      <w:r>
        <w:rPr>
          <w:i w:val="0"/>
        </w:rPr>
        <w:t>Hồ sơ ghi chưa phát hiện bất thường về gia đình; dị ứng chưa phát hiện.</w:t>
      </w:r>
    </w:p>
    <w:p>
      <w:pPr>
        <w:pStyle w:val="Heading1"/>
      </w:pPr>
      <w:r>
        <w:t>IV. KHÁM LÂM SÀNG</w:t>
      </w:r>
    </w:p>
    <w:p>
      <w:pPr>
        <w:pStyle w:val="Heading2"/>
      </w:pPr>
      <w:r>
        <w:t>1. Khám lúc vào viện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Times New Roman" w:hAnsi="Times New Roman" w:eastAsia="Times New Roman"/>
                <w:b/>
                <w:sz w:val="21"/>
              </w:rPr>
              <w:t>Thông số</w:t>
            </w:r>
          </w:p>
        </w:tc>
        <w:tc>
          <w:tcPr>
            <w:tcW w:type="dxa" w:w="4968"/>
            <w:vAlign w:val="center"/>
            <w:shd w:fill="D9EAF7"/>
          </w:tcPr>
          <w:p>
            <w:pPr>
              <w:spacing w:after="0"/>
            </w:pPr>
            <w:r/>
            <w:r>
              <w:rPr>
                <w:rFonts w:ascii="Times New Roman" w:hAnsi="Times New Roman" w:eastAsia="Times New Roman"/>
                <w:b/>
                <w:sz w:val="21"/>
              </w:rPr>
              <w:t>Giá trị ghi trong hồ sơ</w:t>
            </w:r>
          </w:p>
        </w:tc>
      </w:tr>
      <w:tr>
        <w:tc>
          <w:tcPr>
            <w:tcW w:type="dxa" w:w="4968"/>
            <w:vAlign w:val="center"/>
          </w:tcPr>
          <w:p>
            <w:pPr>
              <w:spacing w:after="0"/>
            </w:pPr>
            <w:r/>
            <w:r>
              <w:rPr>
                <w:rFonts w:ascii="Times New Roman" w:hAnsi="Times New Roman" w:eastAsia="Times New Roman"/>
                <w:b w:val="0"/>
                <w:sz w:val="21"/>
              </w:rPr>
              <w:t>Ý thức</w:t>
            </w:r>
          </w:p>
        </w:tc>
        <w:tc>
          <w:tcPr>
            <w:tcW w:type="dxa" w:w="4968"/>
            <w:vAlign w:val="center"/>
          </w:tcPr>
          <w:p>
            <w:pPr>
              <w:spacing w:after="0"/>
            </w:pPr>
            <w:r/>
            <w:r>
              <w:rPr>
                <w:rFonts w:ascii="Times New Roman" w:hAnsi="Times New Roman" w:eastAsia="Times New Roman"/>
                <w:b w:val="0"/>
                <w:sz w:val="21"/>
              </w:rPr>
              <w:t>Tỉnh; Glasgow 15 điểm</w:t>
            </w:r>
          </w:p>
        </w:tc>
      </w:tr>
      <w:tr>
        <w:tc>
          <w:tcPr>
            <w:tcW w:type="dxa" w:w="4968"/>
            <w:vAlign w:val="center"/>
          </w:tcPr>
          <w:p>
            <w:pPr>
              <w:spacing w:after="0"/>
            </w:pPr>
            <w:r/>
            <w:r>
              <w:rPr>
                <w:rFonts w:ascii="Times New Roman" w:hAnsi="Times New Roman" w:eastAsia="Times New Roman"/>
                <w:b w:val="0"/>
                <w:sz w:val="21"/>
              </w:rPr>
              <w:t>Mạch</w:t>
            </w:r>
          </w:p>
        </w:tc>
        <w:tc>
          <w:tcPr>
            <w:tcW w:type="dxa" w:w="4968"/>
            <w:vAlign w:val="center"/>
          </w:tcPr>
          <w:p>
            <w:pPr>
              <w:spacing w:after="0"/>
            </w:pPr>
            <w:r/>
            <w:r>
              <w:rPr>
                <w:rFonts w:ascii="Times New Roman" w:hAnsi="Times New Roman" w:eastAsia="Times New Roman"/>
                <w:b w:val="0"/>
                <w:sz w:val="21"/>
              </w:rPr>
              <w:t>98 lần/phút</w:t>
            </w:r>
          </w:p>
        </w:tc>
      </w:tr>
      <w:tr>
        <w:tc>
          <w:tcPr>
            <w:tcW w:type="dxa" w:w="4968"/>
            <w:vAlign w:val="center"/>
          </w:tcPr>
          <w:p>
            <w:pPr>
              <w:spacing w:after="0"/>
            </w:pPr>
            <w:r/>
            <w:r>
              <w:rPr>
                <w:rFonts w:ascii="Times New Roman" w:hAnsi="Times New Roman" w:eastAsia="Times New Roman"/>
                <w:b w:val="0"/>
                <w:sz w:val="21"/>
              </w:rPr>
              <w:t>Huyết áp</w:t>
            </w:r>
          </w:p>
        </w:tc>
        <w:tc>
          <w:tcPr>
            <w:tcW w:type="dxa" w:w="4968"/>
            <w:vAlign w:val="center"/>
          </w:tcPr>
          <w:p>
            <w:pPr>
              <w:spacing w:after="0"/>
            </w:pPr>
            <w:r/>
            <w:r>
              <w:rPr>
                <w:rFonts w:ascii="Times New Roman" w:hAnsi="Times New Roman" w:eastAsia="Times New Roman"/>
                <w:b w:val="0"/>
                <w:sz w:val="21"/>
              </w:rPr>
              <w:t>152/86 mmHg</w:t>
            </w:r>
          </w:p>
        </w:tc>
      </w:tr>
      <w:tr>
        <w:tc>
          <w:tcPr>
            <w:tcW w:type="dxa" w:w="4968"/>
            <w:vAlign w:val="center"/>
          </w:tcPr>
          <w:p>
            <w:pPr>
              <w:spacing w:after="0"/>
            </w:pPr>
            <w:r/>
            <w:r>
              <w:rPr>
                <w:rFonts w:ascii="Times New Roman" w:hAnsi="Times New Roman" w:eastAsia="Times New Roman"/>
                <w:b w:val="0"/>
                <w:sz w:val="21"/>
              </w:rPr>
              <w:t>Nhiệt độ</w:t>
            </w:r>
          </w:p>
        </w:tc>
        <w:tc>
          <w:tcPr>
            <w:tcW w:type="dxa" w:w="4968"/>
            <w:vAlign w:val="center"/>
          </w:tcPr>
          <w:p>
            <w:pPr>
              <w:spacing w:after="0"/>
            </w:pPr>
            <w:r/>
            <w:r>
              <w:rPr>
                <w:rFonts w:ascii="Times New Roman" w:hAnsi="Times New Roman" w:eastAsia="Times New Roman"/>
                <w:b w:val="0"/>
                <w:sz w:val="21"/>
              </w:rPr>
              <w:t>36,9°C</w:t>
            </w:r>
          </w:p>
        </w:tc>
      </w:tr>
      <w:tr>
        <w:tc>
          <w:tcPr>
            <w:tcW w:type="dxa" w:w="4968"/>
            <w:vAlign w:val="center"/>
          </w:tcPr>
          <w:p>
            <w:pPr>
              <w:spacing w:after="0"/>
            </w:pPr>
            <w:r/>
            <w:r>
              <w:rPr>
                <w:rFonts w:ascii="Times New Roman" w:hAnsi="Times New Roman" w:eastAsia="Times New Roman"/>
                <w:b w:val="0"/>
                <w:sz w:val="21"/>
              </w:rPr>
              <w:t>Nhịp thở</w:t>
            </w:r>
          </w:p>
        </w:tc>
        <w:tc>
          <w:tcPr>
            <w:tcW w:type="dxa" w:w="4968"/>
            <w:vAlign w:val="center"/>
          </w:tcPr>
          <w:p>
            <w:pPr>
              <w:spacing w:after="0"/>
            </w:pPr>
            <w:r/>
            <w:r>
              <w:rPr>
                <w:rFonts w:ascii="Times New Roman" w:hAnsi="Times New Roman" w:eastAsia="Times New Roman"/>
                <w:b w:val="0"/>
                <w:sz w:val="21"/>
              </w:rPr>
              <w:t>16 lần/phút</w:t>
            </w:r>
          </w:p>
        </w:tc>
      </w:tr>
      <w:tr>
        <w:tc>
          <w:tcPr>
            <w:tcW w:type="dxa" w:w="4968"/>
            <w:vAlign w:val="center"/>
          </w:tcPr>
          <w:p>
            <w:pPr>
              <w:spacing w:after="0"/>
            </w:pPr>
            <w:r/>
            <w:r>
              <w:rPr>
                <w:rFonts w:ascii="Times New Roman" w:hAnsi="Times New Roman" w:eastAsia="Times New Roman"/>
                <w:b w:val="0"/>
                <w:sz w:val="21"/>
              </w:rPr>
              <w:t>Cân nặng</w:t>
            </w:r>
          </w:p>
        </w:tc>
        <w:tc>
          <w:tcPr>
            <w:tcW w:type="dxa" w:w="4968"/>
            <w:vAlign w:val="center"/>
          </w:tcPr>
          <w:p>
            <w:pPr>
              <w:spacing w:after="0"/>
            </w:pPr>
            <w:r/>
            <w:r>
              <w:rPr>
                <w:rFonts w:ascii="Times New Roman" w:hAnsi="Times New Roman" w:eastAsia="Times New Roman"/>
                <w:b w:val="0"/>
                <w:sz w:val="21"/>
              </w:rPr>
              <w:t>66 kg</w:t>
            </w:r>
          </w:p>
        </w:tc>
      </w:tr>
      <w:tr>
        <w:tc>
          <w:tcPr>
            <w:tcW w:type="dxa" w:w="4968"/>
            <w:vAlign w:val="center"/>
          </w:tcPr>
          <w:p>
            <w:pPr>
              <w:spacing w:after="0"/>
            </w:pPr>
            <w:r/>
            <w:r>
              <w:rPr>
                <w:rFonts w:ascii="Times New Roman" w:hAnsi="Times New Roman" w:eastAsia="Times New Roman"/>
                <w:b w:val="0"/>
                <w:sz w:val="21"/>
              </w:rPr>
              <w:t>SpO₂</w:t>
            </w:r>
          </w:p>
        </w:tc>
        <w:tc>
          <w:tcPr>
            <w:tcW w:type="dxa" w:w="4968"/>
            <w:vAlign w:val="center"/>
          </w:tcPr>
          <w:p>
            <w:pPr>
              <w:spacing w:after="0"/>
            </w:pPr>
            <w:r/>
            <w:r>
              <w:rPr>
                <w:rFonts w:ascii="Times New Roman" w:hAnsi="Times New Roman" w:eastAsia="Times New Roman"/>
                <w:b w:val="0"/>
                <w:sz w:val="21"/>
              </w:rPr>
              <w:t>95% khi tự thở khí phòng</w:t>
            </w:r>
          </w:p>
        </w:tc>
      </w:tr>
      <w:tr>
        <w:tc>
          <w:tcPr>
            <w:tcW w:type="dxa" w:w="4968"/>
            <w:vAlign w:val="center"/>
          </w:tcPr>
          <w:p>
            <w:pPr>
              <w:spacing w:after="0"/>
            </w:pPr>
            <w:r/>
            <w:r>
              <w:rPr>
                <w:rFonts w:ascii="Times New Roman" w:hAnsi="Times New Roman" w:eastAsia="Times New Roman"/>
                <w:b w:val="0"/>
                <w:sz w:val="21"/>
              </w:rPr>
              <w:t>Da, niêm mạc</w:t>
            </w:r>
          </w:p>
        </w:tc>
        <w:tc>
          <w:tcPr>
            <w:tcW w:type="dxa" w:w="4968"/>
            <w:vAlign w:val="center"/>
          </w:tcPr>
          <w:p>
            <w:pPr>
              <w:spacing w:after="0"/>
            </w:pPr>
            <w:r/>
            <w:r>
              <w:rPr>
                <w:rFonts w:ascii="Times New Roman" w:hAnsi="Times New Roman" w:eastAsia="Times New Roman"/>
                <w:b w:val="0"/>
                <w:sz w:val="21"/>
              </w:rPr>
              <w:t>Niêm mạc hồng</w:t>
            </w:r>
          </w:p>
        </w:tc>
      </w:tr>
      <w:tr>
        <w:tc>
          <w:tcPr>
            <w:tcW w:type="dxa" w:w="4968"/>
            <w:vAlign w:val="center"/>
          </w:tcPr>
          <w:p>
            <w:pPr>
              <w:spacing w:after="0"/>
            </w:pPr>
            <w:r/>
            <w:r>
              <w:rPr>
                <w:rFonts w:ascii="Times New Roman" w:hAnsi="Times New Roman" w:eastAsia="Times New Roman"/>
                <w:b w:val="0"/>
                <w:sz w:val="21"/>
              </w:rPr>
              <w:t>Tim mạch</w:t>
            </w:r>
          </w:p>
        </w:tc>
        <w:tc>
          <w:tcPr>
            <w:tcW w:type="dxa" w:w="4968"/>
            <w:vAlign w:val="center"/>
          </w:tcPr>
          <w:p>
            <w:pPr>
              <w:spacing w:after="0"/>
            </w:pPr>
            <w:r/>
            <w:r>
              <w:rPr>
                <w:rFonts w:ascii="Times New Roman" w:hAnsi="Times New Roman" w:eastAsia="Times New Roman"/>
                <w:b w:val="0"/>
                <w:sz w:val="21"/>
              </w:rPr>
              <w:t>Tim đều, T1 T2 rõ</w:t>
            </w:r>
          </w:p>
        </w:tc>
      </w:tr>
      <w:tr>
        <w:tc>
          <w:tcPr>
            <w:tcW w:type="dxa" w:w="4968"/>
            <w:vAlign w:val="center"/>
          </w:tcPr>
          <w:p>
            <w:pPr>
              <w:spacing w:after="0"/>
            </w:pPr>
            <w:r/>
            <w:r>
              <w:rPr>
                <w:rFonts w:ascii="Times New Roman" w:hAnsi="Times New Roman" w:eastAsia="Times New Roman"/>
                <w:b w:val="0"/>
                <w:sz w:val="21"/>
              </w:rPr>
              <w:t>Hô hấp</w:t>
            </w:r>
          </w:p>
        </w:tc>
        <w:tc>
          <w:tcPr>
            <w:tcW w:type="dxa" w:w="4968"/>
            <w:vAlign w:val="center"/>
          </w:tcPr>
          <w:p>
            <w:pPr>
              <w:spacing w:after="0"/>
            </w:pPr>
            <w:r/>
            <w:r>
              <w:rPr>
                <w:rFonts w:ascii="Times New Roman" w:hAnsi="Times New Roman" w:eastAsia="Times New Roman"/>
                <w:b w:val="0"/>
                <w:sz w:val="21"/>
              </w:rPr>
              <w:t>Rì rào phế nang giảm vùng đáy hai phổi</w:t>
            </w:r>
          </w:p>
        </w:tc>
      </w:tr>
      <w:tr>
        <w:tc>
          <w:tcPr>
            <w:tcW w:type="dxa" w:w="4968"/>
            <w:vAlign w:val="center"/>
          </w:tcPr>
          <w:p>
            <w:pPr>
              <w:spacing w:after="0"/>
            </w:pPr>
            <w:r/>
            <w:r>
              <w:rPr>
                <w:rFonts w:ascii="Times New Roman" w:hAnsi="Times New Roman" w:eastAsia="Times New Roman"/>
                <w:b w:val="0"/>
                <w:sz w:val="21"/>
              </w:rPr>
              <w:t>Bụng</w:t>
            </w:r>
          </w:p>
        </w:tc>
        <w:tc>
          <w:tcPr>
            <w:tcW w:type="dxa" w:w="4968"/>
            <w:vAlign w:val="center"/>
          </w:tcPr>
          <w:p>
            <w:pPr>
              <w:spacing w:after="0"/>
            </w:pPr>
            <w:r/>
            <w:r>
              <w:rPr>
                <w:rFonts w:ascii="Times New Roman" w:hAnsi="Times New Roman" w:eastAsia="Times New Roman"/>
                <w:b w:val="0"/>
                <w:sz w:val="21"/>
              </w:rPr>
              <w:t>Bụng mềm, chướng hơi nhẹ; hồ sơ ghi điểm McBurney (+), PUTB (+), CUPM (-)</w:t>
            </w:r>
          </w:p>
        </w:tc>
      </w:tr>
      <w:tr>
        <w:tc>
          <w:tcPr>
            <w:tcW w:type="dxa" w:w="4968"/>
            <w:vAlign w:val="center"/>
          </w:tcPr>
          <w:p>
            <w:pPr>
              <w:spacing w:after="0"/>
            </w:pPr>
            <w:r/>
            <w:r>
              <w:rPr>
                <w:rFonts w:ascii="Times New Roman" w:hAnsi="Times New Roman" w:eastAsia="Times New Roman"/>
                <w:b w:val="0"/>
                <w:sz w:val="21"/>
              </w:rPr>
              <w:t>Thần kinh</w:t>
            </w:r>
          </w:p>
        </w:tc>
        <w:tc>
          <w:tcPr>
            <w:tcW w:type="dxa" w:w="4968"/>
            <w:vAlign w:val="center"/>
          </w:tcPr>
          <w:p>
            <w:pPr>
              <w:spacing w:after="0"/>
            </w:pPr>
            <w:r/>
            <w:r>
              <w:rPr>
                <w:rFonts w:ascii="Times New Roman" w:hAnsi="Times New Roman" w:eastAsia="Times New Roman"/>
                <w:b w:val="0"/>
                <w:sz w:val="21"/>
              </w:rPr>
              <w:t>Không dấu thần kinh khu trú; gáy mềm; dấu màng não âm tính</w:t>
            </w:r>
          </w:p>
        </w:tc>
      </w:tr>
    </w:tbl>
    <w:p/>
    <w:p>
      <w:pPr>
        <w:spacing w:after="80" w:line="259" w:lineRule="auto"/>
      </w:pPr>
      <w:r>
        <w:rPr>
          <w:i w:val="0"/>
        </w:rPr>
        <w:t>Các dấu hiệu bụng trong phiếu khám ban đầu không hoàn toàn điển hình cho viêm túi mật và cần được đối chiếu với bệnh án gốc. Không diễn giải các ký hiệu viết tắt chưa được giải thích trong hồ sơ.</w:t>
      </w:r>
    </w:p>
    <w:p>
      <w:pPr>
        <w:pStyle w:val="Heading2"/>
      </w:pPr>
      <w:r>
        <w:t>2. Diễn biến khám hô hấp trong viện</w:t>
      </w:r>
    </w:p>
    <w:p>
      <w:pPr>
        <w:pStyle w:val="ListBullet"/>
        <w:spacing w:after="40"/>
      </w:pPr>
      <w:r>
        <w:t>Hội chẩn Hô hấp lần đầu: tỉnh, tự thở khí phòng, nói được câu dài, ho khạc đờm xanh, sốt nhẹ 37,8°C, ran ẩm/ran nổ vùng đáy phổi.</w:t>
      </w:r>
    </w:p>
    <w:p>
      <w:pPr>
        <w:pStyle w:val="ListBullet"/>
        <w:spacing w:after="40"/>
      </w:pPr>
      <w:r>
        <w:t>Hội chẩn lần sau: tỉnh, ho đờm xanh, không sốt, không đau ngực, không co kéo cơ hô hấp phụ; phổi thông khí đều, còn ran nổ.</w:t>
      </w:r>
    </w:p>
    <w:p>
      <w:pPr>
        <w:pStyle w:val="ListBullet"/>
        <w:spacing w:after="40"/>
      </w:pPr>
      <w:r>
        <w:t>Hồ sơ có đề cập theo dõi giãn phế quản bội nhiễm, viêm phổi và theo dõi COPD; chưa thấy bằng chứng hô hấp ký trong tài liệu trích xuất để khẳng định COPD bằng tiêu chuẩn chức năng hô hấp.</w:t>
      </w:r>
    </w:p>
    <w:p>
      <w:pPr>
        <w:pStyle w:val="Heading1"/>
      </w:pPr>
      <w:r>
        <w:t>V. CẬN LÂM SÀNG</w:t>
      </w:r>
    </w:p>
    <w:p>
      <w:pPr>
        <w:pStyle w:val="Heading2"/>
      </w:pPr>
      <w:r>
        <w:t>1. Hình ảnh học ổ bụng</w:t>
      </w:r>
    </w:p>
    <w:p>
      <w:pPr>
        <w:pStyle w:val="ListBullet"/>
        <w:spacing w:after="40"/>
      </w:pPr>
      <w:r>
        <w:t>Siêu âm ổ bụng: túi mật hơi căng, kích thước khoảng 94 × 38 mm; thành dày khoảng 5 mm; có bùn/sỏi, viên lớn tới khoảng 19 mm và sỏi nhỏ vùng cổ túi mật tới khoảng 4 mm; thâm nhiễm nhẹ mỡ quanh túi mật.</w:t>
      </w:r>
    </w:p>
    <w:p>
      <w:pPr>
        <w:pStyle w:val="ListBullet"/>
        <w:spacing w:after="40"/>
      </w:pPr>
      <w:r>
        <w:t>CLVT ổ bụng: hình ảnh theo dõi sỏi/bùn túi mật và ống cổ túi mật, hướng tới viêm túi mật cấp. Kèm dày thành đại tràng lên và đại tràng ngang đoạn góc gan (theo dõi viêm phản ứng), dày nhẹ thành tá tràng đoạn ngang ngang mức đầu tụy, ít dịch dọc rãnh đại tràng lên và vùng tiểu khung.</w:t>
      </w:r>
    </w:p>
    <w:p>
      <w:pPr>
        <w:pStyle w:val="Heading2"/>
      </w:pPr>
      <w:r>
        <w:t>2. Hình ảnh học ngực</w:t>
      </w:r>
    </w:p>
    <w:p>
      <w:pPr>
        <w:pStyle w:val="ListBullet"/>
        <w:spacing w:after="40"/>
      </w:pPr>
      <w:r>
        <w:t>CLVT ngực ngày 16/10: hình ảnh theo dõi giãn phế quản bội nhiễm phổi hai bên; một số đám đông đặc/xẹp phổi, các nốt đặc và kính mờ rải rác hai phổi (theo dõi viêm).</w:t>
      </w:r>
    </w:p>
    <w:p>
      <w:pPr>
        <w:pStyle w:val="ListBullet"/>
        <w:spacing w:after="40"/>
      </w:pPr>
      <w:r>
        <w:t>Các mô tả khác: nốt vôi hóa thùy trên phổi trái; dải xơ-xẹp rải rác, giảm nhẹ thể tích phổi trái; dịch khoang màng phổi trái, dày kèm vôi hóa màng phổi trái; vôi hóa rải rác LAD và động mạch chủ ngực; một vài hạch trung thất.</w:t>
      </w:r>
    </w:p>
    <w:p>
      <w:pPr>
        <w:pStyle w:val="Heading2"/>
      </w:pPr>
      <w:r>
        <w:t>3. Xét nghiệm và thăm dò tim phổi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eastAsia="Times New Roman"/>
                <w:b/>
                <w:sz w:val="21"/>
              </w:rPr>
              <w:t>Thời điểm/Thăm dò</w:t>
            </w:r>
          </w:p>
        </w:tc>
        <w:tc>
          <w:tcPr>
            <w:tcW w:type="dxa" w:w="3312"/>
            <w:vAlign w:val="center"/>
            <w:shd w:fill="D9EAF7"/>
          </w:tcPr>
          <w:p>
            <w:pPr>
              <w:spacing w:after="0"/>
            </w:pPr>
            <w:r/>
            <w:r>
              <w:rPr>
                <w:rFonts w:ascii="Times New Roman" w:hAnsi="Times New Roman" w:eastAsia="Times New Roman"/>
                <w:b/>
                <w:sz w:val="21"/>
              </w:rPr>
              <w:t>Kết quả ghi trong hồ sơ</w:t>
            </w:r>
          </w:p>
        </w:tc>
        <w:tc>
          <w:tcPr>
            <w:tcW w:type="dxa" w:w="3312"/>
            <w:vAlign w:val="center"/>
            <w:shd w:fill="D9EAF7"/>
          </w:tcPr>
          <w:p>
            <w:pPr>
              <w:spacing w:after="0"/>
            </w:pPr>
            <w:r/>
            <w:r>
              <w:rPr>
                <w:rFonts w:ascii="Times New Roman" w:hAnsi="Times New Roman" w:eastAsia="Times New Roman"/>
                <w:b/>
                <w:sz w:val="21"/>
              </w:rPr>
              <w:t>Ý nghĩa trong bối cảnh ca bệnh</w:t>
            </w:r>
          </w:p>
        </w:tc>
      </w:tr>
      <w:tr>
        <w:tc>
          <w:tcPr>
            <w:tcW w:type="dxa" w:w="3312"/>
            <w:vAlign w:val="center"/>
          </w:tcPr>
          <w:p>
            <w:pPr>
              <w:spacing w:after="0"/>
            </w:pPr>
            <w:r/>
            <w:r>
              <w:rPr>
                <w:rFonts w:ascii="Times New Roman" w:hAnsi="Times New Roman" w:eastAsia="Times New Roman"/>
                <w:b w:val="0"/>
                <w:sz w:val="21"/>
              </w:rPr>
              <w:t>Hội chẩn Hô hấp ban đầu</w:t>
            </w:r>
          </w:p>
        </w:tc>
        <w:tc>
          <w:tcPr>
            <w:tcW w:type="dxa" w:w="3312"/>
            <w:vAlign w:val="center"/>
          </w:tcPr>
          <w:p>
            <w:pPr>
              <w:spacing w:after="0"/>
            </w:pPr>
            <w:r/>
            <w:r>
              <w:rPr>
                <w:rFonts w:ascii="Times New Roman" w:hAnsi="Times New Roman" w:eastAsia="Times New Roman"/>
                <w:b w:val="0"/>
                <w:sz w:val="21"/>
              </w:rPr>
              <w:t>Bạch cầu 16,56 → 17,25 G/L; CRP hs 9,48 (đơn vị theo phiếu xét nghiệm cần đối chiếu)</w:t>
            </w:r>
          </w:p>
        </w:tc>
        <w:tc>
          <w:tcPr>
            <w:tcW w:type="dxa" w:w="3312"/>
            <w:vAlign w:val="center"/>
          </w:tcPr>
          <w:p>
            <w:pPr>
              <w:spacing w:after="0"/>
            </w:pPr>
            <w:r/>
            <w:r>
              <w:rPr>
                <w:rFonts w:ascii="Times New Roman" w:hAnsi="Times New Roman" w:eastAsia="Times New Roman"/>
                <w:b w:val="0"/>
                <w:sz w:val="21"/>
              </w:rPr>
              <w:t>Gợi ý phản ứng viêm/nhiễm trùng; cần diễn giải theo đơn vị và khoảng tham chiếu của labo.</w:t>
            </w:r>
          </w:p>
        </w:tc>
      </w:tr>
      <w:tr>
        <w:tc>
          <w:tcPr>
            <w:tcW w:type="dxa" w:w="3312"/>
            <w:vAlign w:val="center"/>
          </w:tcPr>
          <w:p>
            <w:pPr>
              <w:spacing w:after="0"/>
            </w:pPr>
            <w:r/>
            <w:r>
              <w:rPr>
                <w:rFonts w:ascii="Times New Roman" w:hAnsi="Times New Roman" w:eastAsia="Times New Roman"/>
                <w:b w:val="0"/>
                <w:sz w:val="21"/>
              </w:rPr>
              <w:t>Khí máu động mạch ban đầu</w:t>
            </w:r>
          </w:p>
        </w:tc>
        <w:tc>
          <w:tcPr>
            <w:tcW w:type="dxa" w:w="3312"/>
            <w:vAlign w:val="center"/>
          </w:tcPr>
          <w:p>
            <w:pPr>
              <w:spacing w:after="0"/>
            </w:pPr>
            <w:r/>
            <w:r>
              <w:rPr>
                <w:rFonts w:ascii="Times New Roman" w:hAnsi="Times New Roman" w:eastAsia="Times New Roman"/>
                <w:b w:val="0"/>
                <w:sz w:val="21"/>
              </w:rPr>
              <w:t>pH 7,319; pCO₂ 47,8 mmHg; pO₂ 104,2 mmHg; HCO₃⁻ 22,2</w:t>
            </w:r>
          </w:p>
        </w:tc>
        <w:tc>
          <w:tcPr>
            <w:tcW w:type="dxa" w:w="3312"/>
            <w:vAlign w:val="center"/>
          </w:tcPr>
          <w:p>
            <w:pPr>
              <w:spacing w:after="0"/>
            </w:pPr>
            <w:r/>
            <w:r>
              <w:rPr>
                <w:rFonts w:ascii="Times New Roman" w:hAnsi="Times New Roman" w:eastAsia="Times New Roman"/>
                <w:b w:val="0"/>
                <w:sz w:val="21"/>
              </w:rPr>
              <w:t>Có toan máu nhẹ với CO₂ tăng nhẹ theo số liệu ghi; cần xét cùng tình trạng oxy hỗ trợ và thời điểm lấy mẫu.</w:t>
            </w:r>
          </w:p>
        </w:tc>
      </w:tr>
      <w:tr>
        <w:tc>
          <w:tcPr>
            <w:tcW w:type="dxa" w:w="3312"/>
            <w:vAlign w:val="center"/>
          </w:tcPr>
          <w:p>
            <w:pPr>
              <w:spacing w:after="0"/>
            </w:pPr>
            <w:r/>
            <w:r>
              <w:rPr>
                <w:rFonts w:ascii="Times New Roman" w:hAnsi="Times New Roman" w:eastAsia="Times New Roman"/>
                <w:b w:val="0"/>
                <w:sz w:val="21"/>
              </w:rPr>
              <w:t>Xét nghiệm ngày 19/10</w:t>
            </w:r>
          </w:p>
        </w:tc>
        <w:tc>
          <w:tcPr>
            <w:tcW w:type="dxa" w:w="3312"/>
            <w:vAlign w:val="center"/>
          </w:tcPr>
          <w:p>
            <w:pPr>
              <w:spacing w:after="0"/>
            </w:pPr>
            <w:r/>
            <w:r>
              <w:rPr>
                <w:rFonts w:ascii="Times New Roman" w:hAnsi="Times New Roman" w:eastAsia="Times New Roman"/>
                <w:b w:val="0"/>
                <w:sz w:val="21"/>
              </w:rPr>
              <w:t>Bạch cầu 9,8 G/L; CRP hs 9,4 → 10,8; Na/K 136/3,6; glucose 6,6; creatinine 62; troponin T 12,1 (trước đó 11,4); ProBNP 1783 (trước đó 1004)</w:t>
            </w:r>
          </w:p>
        </w:tc>
        <w:tc>
          <w:tcPr>
            <w:tcW w:type="dxa" w:w="3312"/>
            <w:vAlign w:val="center"/>
          </w:tcPr>
          <w:p>
            <w:pPr>
              <w:spacing w:after="0"/>
            </w:pPr>
            <w:r/>
            <w:r>
              <w:rPr>
                <w:rFonts w:ascii="Times New Roman" w:hAnsi="Times New Roman" w:eastAsia="Times New Roman"/>
                <w:b w:val="0"/>
                <w:sz w:val="21"/>
              </w:rPr>
              <w:t>Bạch cầu giảm; dấu ấn viêm còn tăng nhẹ theo hồ sơ. ProBNP tăng trong bối cảnh suy tim; cần đối chiếu đơn vị, ngưỡng labo và lâm sàng.</w:t>
            </w:r>
          </w:p>
        </w:tc>
      </w:tr>
      <w:tr>
        <w:tc>
          <w:tcPr>
            <w:tcW w:type="dxa" w:w="3312"/>
            <w:vAlign w:val="center"/>
          </w:tcPr>
          <w:p>
            <w:pPr>
              <w:spacing w:after="0"/>
            </w:pPr>
            <w:r/>
            <w:r>
              <w:rPr>
                <w:rFonts w:ascii="Times New Roman" w:hAnsi="Times New Roman" w:eastAsia="Times New Roman"/>
                <w:b w:val="0"/>
                <w:sz w:val="21"/>
              </w:rPr>
              <w:t>Khí máu ngày 19/10</w:t>
            </w:r>
          </w:p>
        </w:tc>
        <w:tc>
          <w:tcPr>
            <w:tcW w:type="dxa" w:w="3312"/>
            <w:vAlign w:val="center"/>
          </w:tcPr>
          <w:p>
            <w:pPr>
              <w:spacing w:after="0"/>
            </w:pPr>
            <w:r/>
            <w:r>
              <w:rPr>
                <w:rFonts w:ascii="Times New Roman" w:hAnsi="Times New Roman" w:eastAsia="Times New Roman"/>
                <w:b w:val="0"/>
                <w:sz w:val="21"/>
              </w:rPr>
              <w:t>pH 7,45; pCO₂ 45,6 mmHg; pO₂ 73,3 mmHg; HCO₃⁻ 29,2; lactate 0,5; P/F được ghi 348</w:t>
            </w:r>
          </w:p>
        </w:tc>
        <w:tc>
          <w:tcPr>
            <w:tcW w:type="dxa" w:w="3312"/>
            <w:vAlign w:val="center"/>
          </w:tcPr>
          <w:p>
            <w:pPr>
              <w:spacing w:after="0"/>
            </w:pPr>
            <w:r/>
            <w:r>
              <w:rPr>
                <w:rFonts w:ascii="Times New Roman" w:hAnsi="Times New Roman" w:eastAsia="Times New Roman"/>
                <w:b w:val="0"/>
                <w:sz w:val="21"/>
              </w:rPr>
              <w:t>Tình trạng khí máu cải thiện theo số liệu ghi; cần đối chiếu điều kiện lấy mẫu/oxy hỗ trợ.</w:t>
            </w:r>
          </w:p>
        </w:tc>
      </w:tr>
      <w:tr>
        <w:tc>
          <w:tcPr>
            <w:tcW w:type="dxa" w:w="3312"/>
            <w:vAlign w:val="center"/>
          </w:tcPr>
          <w:p>
            <w:pPr>
              <w:spacing w:after="0"/>
            </w:pPr>
            <w:r/>
            <w:r>
              <w:rPr>
                <w:rFonts w:ascii="Times New Roman" w:hAnsi="Times New Roman" w:eastAsia="Times New Roman"/>
                <w:b w:val="0"/>
                <w:sz w:val="21"/>
              </w:rPr>
              <w:t>Siêu âm tim ngày 17/10</w:t>
            </w:r>
          </w:p>
        </w:tc>
        <w:tc>
          <w:tcPr>
            <w:tcW w:type="dxa" w:w="3312"/>
            <w:vAlign w:val="center"/>
          </w:tcPr>
          <w:p>
            <w:pPr>
              <w:spacing w:after="0"/>
            </w:pPr>
            <w:r/>
            <w:r>
              <w:rPr>
                <w:rFonts w:ascii="Times New Roman" w:hAnsi="Times New Roman" w:eastAsia="Times New Roman"/>
                <w:b w:val="0"/>
                <w:sz w:val="21"/>
              </w:rPr>
              <w:t>Thất trái giãn, EF 36%</w:t>
            </w:r>
          </w:p>
        </w:tc>
        <w:tc>
          <w:tcPr>
            <w:tcW w:type="dxa" w:w="3312"/>
            <w:vAlign w:val="center"/>
          </w:tcPr>
          <w:p>
            <w:pPr>
              <w:spacing w:after="0"/>
            </w:pPr>
            <w:r/>
            <w:r>
              <w:rPr>
                <w:rFonts w:ascii="Times New Roman" w:hAnsi="Times New Roman" w:eastAsia="Times New Roman"/>
                <w:b w:val="0"/>
                <w:sz w:val="21"/>
              </w:rPr>
              <w:t>Rối loạn chức năng tâm thu thất trái, phù hợp chẩn đoán suy tim EF giảm.</w:t>
            </w:r>
          </w:p>
        </w:tc>
      </w:tr>
    </w:tbl>
    <w:p/>
    <w:p>
      <w:pPr>
        <w:spacing w:after="80" w:line="259" w:lineRule="auto"/>
      </w:pPr>
      <w:r>
        <w:rPr>
          <w:i w:val="0"/>
        </w:rPr>
        <w:t>Lưu ý: các đơn vị, khoảng tham chiếu và bối cảnh lấy mẫu không được thể hiện đầy đủ trong các đoạn trích xuất; cần kiểm tra phiếu xét nghiệm gốc trước khi dùng để phân tích chuyên sâu.</w:t>
      </w:r>
    </w:p>
    <w:p>
      <w:pPr>
        <w:pStyle w:val="Heading1"/>
      </w:pPr>
      <w:r>
        <w:t>VI. TÓM TẮT BỆNH ÁN</w:t>
      </w:r>
    </w:p>
    <w:p>
      <w:pPr>
        <w:spacing w:after="80" w:line="259" w:lineRule="auto"/>
      </w:pPr>
      <w:r>
        <w:rPr>
          <w:i w:val="0"/>
        </w:rPr>
        <w:t>Người bệnh nam 70 tuổi, có tiền sử viêm phế quản mạn và sỏi túi mật, nhập viện ngày 16/10/2026 vì đau bụng vùng mạn sườn trái lan lên ngực phía sau xương ức, xuất hiện từ tối 15/10 và tăng dần. Khám ban đầu: tỉnh, mạch 98 lần/phút, huyết áp 152/86 mmHg, nhiệt độ 36,9°C, nhịp thở 16 lần/phút, SpO₂ 95% khí phòng; rì rào phế nang giảm vùng đáy hai phổi; bụng mềm, chướng hơi nhẹ. Siêu âm và CLVT ổ bụng ghi nhận sỏi/bùn túi mật, dày thành túi mật và dấu hiệu viêm quanh túi mật.</w:t>
      </w:r>
    </w:p>
    <w:p>
      <w:pPr>
        <w:spacing w:after="80" w:line="259" w:lineRule="auto"/>
      </w:pPr>
      <w:r>
        <w:rPr>
          <w:i w:val="0"/>
        </w:rPr>
        <w:t>Người bệnh được phẫu thuật nội soi cắt túi mật, hút rửa và dẫn lưu ổ bụng đêm 16/10/2026. Trong mổ ghi nhận nhiều dịch đục và giả mạc dưới gan, dọc rãnh đại tràng phải; túi mật thành dày, có điểm hoại tử đen và sỏi kẹt cổ túi mật; cuống gan và đầu tụy phù nề viêm; có ít dịch đục túi cùng Douglas. Chẩn đoán sau mổ là viêm túi mật hoại tử.</w:t>
      </w:r>
    </w:p>
    <w:p>
      <w:pPr>
        <w:spacing w:after="80" w:line="259" w:lineRule="auto"/>
      </w:pPr>
      <w:r>
        <w:rPr>
          <w:i w:val="0"/>
        </w:rPr>
        <w:t>Trong quá trình điều trị, bệnh nhân ho khạc đờm xanh, có sốt nhẹ, bạch cầu tăng lúc đầu; CT ngực hướng tới giãn phế quản bội nhiễm/viêm phổi hai bên. Hội chẩn ghi nhận theo dõi COPD. Siêu âm tim ngày 17/10 cho thấy thất trái giãn, EF 36%; ProBNP tăng theo hồ sơ. Người bệnh được điều trị kháng sinh (có meropenem), thuốc hỗ trợ hô hấp, lợi tiểu và theo dõi tim phổi. Đến ngày 21/10/2026, hồ sơ ghi tình trạng ra viện ổn định.</w:t>
      </w:r>
    </w:p>
    <w:p>
      <w:pPr>
        <w:pStyle w:val="Heading1"/>
      </w:pPr>
      <w:r>
        <w:t>VII. CHẨN ĐOÁN</w:t>
      </w:r>
    </w:p>
    <w:p>
      <w:pPr>
        <w:pStyle w:val="Heading2"/>
      </w:pPr>
      <w:r>
        <w:t>1. Chẩn đoán xác định</w:t>
      </w:r>
    </w:p>
    <w:p>
      <w:pPr>
        <w:pStyle w:val="ListBullet"/>
        <w:spacing w:after="40"/>
      </w:pPr>
      <w:r>
        <w:t>Viêm túi mật hoại tử do sỏi, đã được phẫu thuật nội soi cắt túi mật, hút rửa và dẫn lưu ổ bụng ngày 16/10/2026.</w:t>
      </w:r>
    </w:p>
    <w:p>
      <w:pPr>
        <w:pStyle w:val="Heading2"/>
      </w:pPr>
      <w:r>
        <w:t>2. Bệnh kèm theo/đang theo dõi</w:t>
      </w:r>
    </w:p>
    <w:p>
      <w:pPr>
        <w:pStyle w:val="ListBullet"/>
        <w:spacing w:after="40"/>
      </w:pPr>
      <w:r>
        <w:t>Giãn phế quản bội nhiễm, hình ảnh CT ngực hướng tới tổn thương nhiễm trùng/viêm phổi hai bên.</w:t>
      </w:r>
    </w:p>
    <w:p>
      <w:pPr>
        <w:pStyle w:val="ListBullet"/>
        <w:spacing w:after="40"/>
      </w:pPr>
      <w:r>
        <w:t>Theo dõi bệnh phổi tắc nghẽn mạn tính (COPD); hồ sơ có mã chẩn đoán COPD đợt cấp, nhưng tài liệu trích xuất chưa thấy hô hấp ký để xác nhận chẩn đoán nền.</w:t>
      </w:r>
    </w:p>
    <w:p>
      <w:pPr>
        <w:pStyle w:val="ListBullet"/>
        <w:spacing w:after="40"/>
      </w:pPr>
      <w:r>
        <w:t>Suy tim với EF giảm: EF 36%, thất trái giãn; ProBNP tăng theo hồ sơ.</w:t>
      </w:r>
    </w:p>
    <w:p>
      <w:pPr>
        <w:pStyle w:val="ListBullet"/>
        <w:spacing w:after="40"/>
      </w:pPr>
      <w:r>
        <w:t>Các dấu hiệu kèm trên CLVT bụng: dày thành đại tràng vùng góc gan và tá tràng, được mô tả theo dõi viêm phản ứng; ít dịch ổ bụng.</w:t>
      </w:r>
    </w:p>
    <w:p>
      <w:pPr>
        <w:pStyle w:val="Heading2"/>
      </w:pPr>
      <w:r>
        <w:t>3. Chẩn đoán phân biệt/điểm cần lưu ý khi trình bày</w:t>
      </w:r>
    </w:p>
    <w:p>
      <w:pPr>
        <w:pStyle w:val="ListBullet"/>
        <w:spacing w:after="40"/>
      </w:pPr>
      <w:r>
        <w:t>Đau bụng không điển hình về vị trí: hồ sơ điều dưỡng ghi đau mạn sườn trái lan sau xương ức; không tự sửa dữ kiện này. Cần trình bày sự đối chiếu với hình ảnh túi mật và kết quả phẫu thuật.</w:t>
      </w:r>
    </w:p>
    <w:p>
      <w:pPr>
        <w:pStyle w:val="ListBullet"/>
        <w:spacing w:after="40"/>
      </w:pPr>
      <w:r>
        <w:t>Các nguyên nhân tim-phổi của đau ngực/đau vùng bụng trên cần được cân nhắc trên lâm sàng, nhất là ở bệnh nhân suy tim; tuy nhiên không tự kết luận hội chứng vành cấp khi hồ sơ không xác nhận.</w:t>
      </w:r>
    </w:p>
    <w:p>
      <w:pPr>
        <w:pStyle w:val="ListBullet"/>
        <w:spacing w:after="40"/>
      </w:pPr>
      <w:r>
        <w:t>COPD chỉ nên trình bày là chẩn đoán đang theo dõi nếu không có bằng chứng hô hấp ký trong hồ sơ được cung cấp.</w:t>
      </w:r>
    </w:p>
    <w:p>
      <w:pPr>
        <w:pStyle w:val="Heading1"/>
      </w:pPr>
      <w:r>
        <w:t>VIII. ĐIỀU TRỊ VÀ DIỄN BIẾN</w:t>
      </w:r>
    </w:p>
    <w:p>
      <w:pPr>
        <w:pStyle w:val="Heading2"/>
      </w:pPr>
      <w:r>
        <w:t>1. Điều trị ngoại khoa</w:t>
      </w:r>
    </w:p>
    <w:p>
      <w:pPr>
        <w:spacing w:after="80" w:line="259" w:lineRule="auto"/>
      </w:pPr>
      <w:r>
        <w:rPr>
          <w:i w:val="0"/>
        </w:rPr>
        <w:t>Ngày 16/10/2026, từ 21:30 đến 23:25, người bệnh được phẫu thuật nội soi cắt túi mật dưới gây mê nội khí quản, kết hợp hút rửa và dẫn lưu ổ bụng.</w:t>
      </w:r>
    </w:p>
    <w:p>
      <w:pPr>
        <w:spacing w:after="80" w:line="259" w:lineRule="auto"/>
      </w:pPr>
      <w:r>
        <w:rPr>
          <w:i w:val="0"/>
        </w:rPr>
        <w:t>Tường trình phẫu thuật ghi: ổ bụng có nhiều dịch đục và giả mạc dưới gan, dọc rãnh đại tràng phải; phúc mạc nhẵn; gan hai thùy màu hồng; túi mật thành dày, có điểm hoại tử đen, sỏi kẹt cổ túi mật; cuống gan và đầu tụy viêm phù nề; túi cùng Douglas có ít dịch đục. Tổ chức quanh vùng túi mật hoại tử dễ chảy máu. Phẫu thuật viên giải phóng túi mật khỏi giường túi mật, bộc lộ và kẹp ống cổ túi mật bằng Hem-o-lok, hút rửa ổ bụng, cầm máu, đặt một dẫn lưu dưới gan, lấy bệnh phẩm gửi giải phẫu bệnh và đóng các lỗ trocar.</w:t>
      </w:r>
    </w:p>
    <w:p>
      <w:pPr>
        <w:spacing w:after="80" w:line="259" w:lineRule="auto"/>
      </w:pPr>
      <w:r>
        <w:rPr>
          <w:i w:val="0"/>
        </w:rPr>
        <w:t>Kết quả giải phẫu bệnh: hồ sơ ghi sẽ lấy khi tái khám; không có kết quả mô bệnh học trong tài liệu được trích xuất.</w:t>
      </w:r>
    </w:p>
    <w:p>
      <w:pPr>
        <w:pStyle w:val="Heading2"/>
      </w:pPr>
      <w:r>
        <w:t>2. Điều trị nội khoa được ghi nhận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eastAsia="Times New Roman"/>
                <w:b/>
                <w:sz w:val="21"/>
              </w:rPr>
              <w:t>Nhóm</w:t>
            </w:r>
          </w:p>
        </w:tc>
        <w:tc>
          <w:tcPr>
            <w:tcW w:type="dxa" w:w="3312"/>
            <w:vAlign w:val="center"/>
            <w:shd w:fill="D9EAF7"/>
          </w:tcPr>
          <w:p>
            <w:pPr>
              <w:spacing w:after="0"/>
            </w:pPr>
            <w:r/>
            <w:r>
              <w:rPr>
                <w:rFonts w:ascii="Times New Roman" w:hAnsi="Times New Roman" w:eastAsia="Times New Roman"/>
                <w:b/>
                <w:sz w:val="21"/>
              </w:rPr>
              <w:t>Thuốc/biện pháp được ghi trong hồ sơ</w:t>
            </w:r>
          </w:p>
        </w:tc>
        <w:tc>
          <w:tcPr>
            <w:tcW w:type="dxa" w:w="3312"/>
            <w:vAlign w:val="center"/>
            <w:shd w:fill="D9EAF7"/>
          </w:tcPr>
          <w:p>
            <w:pPr>
              <w:spacing w:after="0"/>
            </w:pPr>
            <w:r/>
            <w:r>
              <w:rPr>
                <w:rFonts w:ascii="Times New Roman" w:hAnsi="Times New Roman" w:eastAsia="Times New Roman"/>
                <w:b/>
                <w:sz w:val="21"/>
              </w:rPr>
              <w:t>Ghi chú</w:t>
            </w:r>
          </w:p>
        </w:tc>
      </w:tr>
      <w:tr>
        <w:tc>
          <w:tcPr>
            <w:tcW w:type="dxa" w:w="3312"/>
            <w:vAlign w:val="center"/>
          </w:tcPr>
          <w:p>
            <w:pPr>
              <w:spacing w:after="0"/>
            </w:pPr>
            <w:r/>
            <w:r>
              <w:rPr>
                <w:rFonts w:ascii="Times New Roman" w:hAnsi="Times New Roman" w:eastAsia="Times New Roman"/>
                <w:b w:val="0"/>
                <w:sz w:val="21"/>
              </w:rPr>
              <w:t>Kháng sinh</w:t>
            </w:r>
          </w:p>
        </w:tc>
        <w:tc>
          <w:tcPr>
            <w:tcW w:type="dxa" w:w="3312"/>
            <w:vAlign w:val="center"/>
          </w:tcPr>
          <w:p>
            <w:pPr>
              <w:spacing w:after="0"/>
            </w:pPr>
            <w:r/>
            <w:r>
              <w:rPr>
                <w:rFonts w:ascii="Times New Roman" w:hAnsi="Times New Roman" w:eastAsia="Times New Roman"/>
                <w:b w:val="0"/>
                <w:sz w:val="21"/>
              </w:rPr>
              <w:t>Meropenem</w:t>
            </w:r>
          </w:p>
        </w:tc>
        <w:tc>
          <w:tcPr>
            <w:tcW w:type="dxa" w:w="3312"/>
            <w:vAlign w:val="center"/>
          </w:tcPr>
          <w:p>
            <w:pPr>
              <w:spacing w:after="0"/>
            </w:pPr>
            <w:r/>
            <w:r>
              <w:rPr>
                <w:rFonts w:ascii="Times New Roman" w:hAnsi="Times New Roman" w:eastAsia="Times New Roman"/>
                <w:b w:val="0"/>
                <w:sz w:val="21"/>
              </w:rPr>
              <w:t>Được dùng trong điều trị đợt nhiễm trùng hô hấp; liều và thời gian cần theo y lệnh gốc.</w:t>
            </w:r>
          </w:p>
        </w:tc>
      </w:tr>
      <w:tr>
        <w:tc>
          <w:tcPr>
            <w:tcW w:type="dxa" w:w="3312"/>
            <w:vAlign w:val="center"/>
          </w:tcPr>
          <w:p>
            <w:pPr>
              <w:spacing w:after="0"/>
            </w:pPr>
            <w:r/>
            <w:r>
              <w:rPr>
                <w:rFonts w:ascii="Times New Roman" w:hAnsi="Times New Roman" w:eastAsia="Times New Roman"/>
                <w:b w:val="0"/>
                <w:sz w:val="21"/>
              </w:rPr>
              <w:t>Lợi tiểu</w:t>
            </w:r>
          </w:p>
        </w:tc>
        <w:tc>
          <w:tcPr>
            <w:tcW w:type="dxa" w:w="3312"/>
            <w:vAlign w:val="center"/>
          </w:tcPr>
          <w:p>
            <w:pPr>
              <w:spacing w:after="0"/>
            </w:pPr>
            <w:r/>
            <w:r>
              <w:rPr>
                <w:rFonts w:ascii="Times New Roman" w:hAnsi="Times New Roman" w:eastAsia="Times New Roman"/>
                <w:b w:val="0"/>
                <w:sz w:val="21"/>
              </w:rPr>
              <w:t>Furosemide</w:t>
            </w:r>
          </w:p>
        </w:tc>
        <w:tc>
          <w:tcPr>
            <w:tcW w:type="dxa" w:w="3312"/>
            <w:vAlign w:val="center"/>
          </w:tcPr>
          <w:p>
            <w:pPr>
              <w:spacing w:after="0"/>
            </w:pPr>
            <w:r/>
            <w:r>
              <w:rPr>
                <w:rFonts w:ascii="Times New Roman" w:hAnsi="Times New Roman" w:eastAsia="Times New Roman"/>
                <w:b w:val="0"/>
                <w:sz w:val="21"/>
              </w:rPr>
              <w:t>Có y lệnh tiêm tĩnh mạch, theo dõi lượng nước tiểu và tình trạng tim phổi.</w:t>
            </w:r>
          </w:p>
        </w:tc>
      </w:tr>
      <w:tr>
        <w:tc>
          <w:tcPr>
            <w:tcW w:type="dxa" w:w="3312"/>
            <w:vAlign w:val="center"/>
          </w:tcPr>
          <w:p>
            <w:pPr>
              <w:spacing w:after="0"/>
            </w:pPr>
            <w:r/>
            <w:r>
              <w:rPr>
                <w:rFonts w:ascii="Times New Roman" w:hAnsi="Times New Roman" w:eastAsia="Times New Roman"/>
                <w:b w:val="0"/>
                <w:sz w:val="21"/>
              </w:rPr>
              <w:t>Giảm đau</w:t>
            </w:r>
          </w:p>
        </w:tc>
        <w:tc>
          <w:tcPr>
            <w:tcW w:type="dxa" w:w="3312"/>
            <w:vAlign w:val="center"/>
          </w:tcPr>
          <w:p>
            <w:pPr>
              <w:spacing w:after="0"/>
            </w:pPr>
            <w:r/>
            <w:r>
              <w:rPr>
                <w:rFonts w:ascii="Times New Roman" w:hAnsi="Times New Roman" w:eastAsia="Times New Roman"/>
                <w:b w:val="0"/>
                <w:sz w:val="21"/>
              </w:rPr>
              <w:t>Paracetamol</w:t>
            </w:r>
          </w:p>
        </w:tc>
        <w:tc>
          <w:tcPr>
            <w:tcW w:type="dxa" w:w="3312"/>
            <w:vAlign w:val="center"/>
          </w:tcPr>
          <w:p>
            <w:pPr>
              <w:spacing w:after="0"/>
            </w:pPr>
            <w:r/>
            <w:r>
              <w:rPr>
                <w:rFonts w:ascii="Times New Roman" w:hAnsi="Times New Roman" w:eastAsia="Times New Roman"/>
                <w:b w:val="0"/>
                <w:sz w:val="21"/>
              </w:rPr>
              <w:t>Dùng khi đau theo y lệnh.</w:t>
            </w:r>
          </w:p>
        </w:tc>
      </w:tr>
      <w:tr>
        <w:tc>
          <w:tcPr>
            <w:tcW w:type="dxa" w:w="3312"/>
            <w:vAlign w:val="center"/>
          </w:tcPr>
          <w:p>
            <w:pPr>
              <w:spacing w:after="0"/>
            </w:pPr>
            <w:r/>
            <w:r>
              <w:rPr>
                <w:rFonts w:ascii="Times New Roman" w:hAnsi="Times New Roman" w:eastAsia="Times New Roman"/>
                <w:b w:val="0"/>
                <w:sz w:val="21"/>
              </w:rPr>
              <w:t>Bảo vệ dạ dày</w:t>
            </w:r>
          </w:p>
        </w:tc>
        <w:tc>
          <w:tcPr>
            <w:tcW w:type="dxa" w:w="3312"/>
            <w:vAlign w:val="center"/>
          </w:tcPr>
          <w:p>
            <w:pPr>
              <w:spacing w:after="0"/>
            </w:pPr>
            <w:r/>
            <w:r>
              <w:rPr>
                <w:rFonts w:ascii="Times New Roman" w:hAnsi="Times New Roman" w:eastAsia="Times New Roman"/>
                <w:b w:val="0"/>
                <w:sz w:val="21"/>
              </w:rPr>
              <w:t>Pantoprazole</w:t>
            </w:r>
          </w:p>
        </w:tc>
        <w:tc>
          <w:tcPr>
            <w:tcW w:type="dxa" w:w="3312"/>
            <w:vAlign w:val="center"/>
          </w:tcPr>
          <w:p>
            <w:pPr>
              <w:spacing w:after="0"/>
            </w:pPr>
            <w:r/>
            <w:r>
              <w:rPr>
                <w:rFonts w:ascii="Times New Roman" w:hAnsi="Times New Roman" w:eastAsia="Times New Roman"/>
                <w:b w:val="0"/>
                <w:sz w:val="21"/>
              </w:rPr>
              <w:t>Có trong y lệnh.</w:t>
            </w:r>
          </w:p>
        </w:tc>
      </w:tr>
      <w:tr>
        <w:tc>
          <w:tcPr>
            <w:tcW w:type="dxa" w:w="3312"/>
            <w:vAlign w:val="center"/>
          </w:tcPr>
          <w:p>
            <w:pPr>
              <w:spacing w:after="0"/>
            </w:pPr>
            <w:r/>
            <w:r>
              <w:rPr>
                <w:rFonts w:ascii="Times New Roman" w:hAnsi="Times New Roman" w:eastAsia="Times New Roman"/>
                <w:b w:val="0"/>
                <w:sz w:val="21"/>
              </w:rPr>
              <w:t>Giãn phế quản/khí dung</w:t>
            </w:r>
          </w:p>
        </w:tc>
        <w:tc>
          <w:tcPr>
            <w:tcW w:type="dxa" w:w="3312"/>
            <w:vAlign w:val="center"/>
          </w:tcPr>
          <w:p>
            <w:pPr>
              <w:spacing w:after="0"/>
            </w:pPr>
            <w:r/>
            <w:r>
              <w:rPr>
                <w:rFonts w:ascii="Times New Roman" w:hAnsi="Times New Roman" w:eastAsia="Times New Roman"/>
                <w:b w:val="0"/>
                <w:sz w:val="21"/>
              </w:rPr>
              <w:t>Salbutamol khí dung; hồ sơ cũng nhắc thuốc hít duy trì trong tư vấn chuyên khoa</w:t>
            </w:r>
          </w:p>
        </w:tc>
        <w:tc>
          <w:tcPr>
            <w:tcW w:type="dxa" w:w="3312"/>
            <w:vAlign w:val="center"/>
          </w:tcPr>
          <w:p>
            <w:pPr>
              <w:spacing w:after="0"/>
            </w:pPr>
            <w:r/>
            <w:r>
              <w:rPr>
                <w:rFonts w:ascii="Times New Roman" w:hAnsi="Times New Roman" w:eastAsia="Times New Roman"/>
                <w:b w:val="0"/>
                <w:sz w:val="21"/>
              </w:rPr>
              <w:t>Cần đối chiếu đơn ra viện để xác định thuốc và liều dùng cuối cùng.</w:t>
            </w:r>
          </w:p>
        </w:tc>
      </w:tr>
      <w:tr>
        <w:tc>
          <w:tcPr>
            <w:tcW w:type="dxa" w:w="3312"/>
            <w:vAlign w:val="center"/>
          </w:tcPr>
          <w:p>
            <w:pPr>
              <w:spacing w:after="0"/>
            </w:pPr>
            <w:r/>
            <w:r>
              <w:rPr>
                <w:rFonts w:ascii="Times New Roman" w:hAnsi="Times New Roman" w:eastAsia="Times New Roman"/>
                <w:b w:val="0"/>
                <w:sz w:val="21"/>
              </w:rPr>
              <w:t>Hỗ trợ hô hấp</w:t>
            </w:r>
          </w:p>
        </w:tc>
        <w:tc>
          <w:tcPr>
            <w:tcW w:type="dxa" w:w="3312"/>
            <w:vAlign w:val="center"/>
          </w:tcPr>
          <w:p>
            <w:pPr>
              <w:spacing w:after="0"/>
            </w:pPr>
            <w:r/>
            <w:r>
              <w:rPr>
                <w:rFonts w:ascii="Times New Roman" w:hAnsi="Times New Roman" w:eastAsia="Times New Roman"/>
                <w:b w:val="0"/>
                <w:sz w:val="21"/>
              </w:rPr>
              <w:t>Tập ho khạc, phục hồi chức năng hô hấp; có y lệnh NIV xen kẽ trong giai đoạn theo dõi</w:t>
            </w:r>
          </w:p>
        </w:tc>
        <w:tc>
          <w:tcPr>
            <w:tcW w:type="dxa" w:w="3312"/>
            <w:vAlign w:val="center"/>
          </w:tcPr>
          <w:p>
            <w:pPr>
              <w:spacing w:after="0"/>
            </w:pPr>
            <w:r/>
            <w:r>
              <w:rPr>
                <w:rFonts w:ascii="Times New Roman" w:hAnsi="Times New Roman" w:eastAsia="Times New Roman"/>
                <w:b w:val="0"/>
                <w:sz w:val="21"/>
              </w:rPr>
              <w:t>Theo diễn biến và chỉ định chuyên khoa.</w:t>
            </w:r>
          </w:p>
        </w:tc>
      </w:tr>
      <w:tr>
        <w:tc>
          <w:tcPr>
            <w:tcW w:type="dxa" w:w="3312"/>
            <w:vAlign w:val="center"/>
          </w:tcPr>
          <w:p>
            <w:pPr>
              <w:spacing w:after="0"/>
            </w:pPr>
            <w:r/>
            <w:r>
              <w:rPr>
                <w:rFonts w:ascii="Times New Roman" w:hAnsi="Times New Roman" w:eastAsia="Times New Roman"/>
                <w:b w:val="0"/>
                <w:sz w:val="21"/>
              </w:rPr>
              <w:t>Tim mạch</w:t>
            </w:r>
          </w:p>
        </w:tc>
        <w:tc>
          <w:tcPr>
            <w:tcW w:type="dxa" w:w="3312"/>
            <w:vAlign w:val="center"/>
          </w:tcPr>
          <w:p>
            <w:pPr>
              <w:spacing w:after="0"/>
            </w:pPr>
            <w:r/>
            <w:r>
              <w:rPr>
                <w:rFonts w:ascii="Times New Roman" w:hAnsi="Times New Roman" w:eastAsia="Times New Roman"/>
                <w:b w:val="0"/>
                <w:sz w:val="21"/>
              </w:rPr>
              <w:t>Hồ sơ có đề cập điều trị suy tim EF giảm và theo dõi tim mạch</w:t>
            </w:r>
          </w:p>
        </w:tc>
        <w:tc>
          <w:tcPr>
            <w:tcW w:type="dxa" w:w="3312"/>
            <w:vAlign w:val="center"/>
          </w:tcPr>
          <w:p>
            <w:pPr>
              <w:spacing w:after="0"/>
            </w:pPr>
            <w:r/>
            <w:r>
              <w:rPr>
                <w:rFonts w:ascii="Times New Roman" w:hAnsi="Times New Roman" w:eastAsia="Times New Roman"/>
                <w:b w:val="0"/>
                <w:sz w:val="21"/>
              </w:rPr>
              <w:t>Không tự xem danh sách thuốc được nhắc trong hội chẩn là đơn ra viện; cần kiểm tra đơn thuốc chính thức.</w:t>
            </w:r>
          </w:p>
        </w:tc>
      </w:tr>
    </w:tbl>
    <w:p/>
    <w:p>
      <w:pPr>
        <w:spacing w:after="80" w:line="259" w:lineRule="auto"/>
      </w:pPr>
      <w:r>
        <w:rPr>
          <w:i w:val="0"/>
        </w:rPr>
        <w:t>Danh sách trên chỉ tổng hợp các thuốc/biện pháp nhìn thấy trong hồ sơ; không thay thế đơn thuốc ra viện hoặc hướng dẫn điều trị của bác sĩ.</w:t>
      </w:r>
    </w:p>
    <w:p>
      <w:pPr>
        <w:pStyle w:val="Heading2"/>
      </w:pPr>
      <w:r>
        <w:t>3. Theo dõi và kết quả</w:t>
      </w:r>
    </w:p>
    <w:p>
      <w:pPr>
        <w:pStyle w:val="ListBullet"/>
        <w:spacing w:after="40"/>
      </w:pPr>
      <w:r>
        <w:t>Theo dõi mạch, huyết áp, SpO₂, nhiệt độ, nước tiểu và dẫn lưu.</w:t>
      </w:r>
    </w:p>
    <w:p>
      <w:pPr>
        <w:pStyle w:val="ListBullet"/>
        <w:spacing w:after="40"/>
      </w:pPr>
      <w:r>
        <w:t>Theo dõi nhiễm trùng hô hấp, đờm, công thức máu, CRP và khí máu theo y lệnh.</w:t>
      </w:r>
    </w:p>
    <w:p>
      <w:pPr>
        <w:pStyle w:val="ListBullet"/>
        <w:spacing w:after="40"/>
      </w:pPr>
      <w:r>
        <w:t>Theo dõi suy tim EF giảm, tình trạng dịch và đáp ứng với lợi tiểu.</w:t>
      </w:r>
    </w:p>
    <w:p>
      <w:pPr>
        <w:pStyle w:val="ListBullet"/>
        <w:spacing w:after="40"/>
      </w:pPr>
      <w:r>
        <w:t>Hồ sơ phẫu thuật ghi hậu phẫu ổn định; giấy ra viện ngày 21/10/2026 ghi tình trạng ra viện ổn định.</w:t>
      </w:r>
    </w:p>
    <w:p>
      <w:pPr>
        <w:pStyle w:val="Heading1"/>
      </w:pPr>
      <w:r>
        <w:t>IX. HƯỚNG DẪN SAU RA VIỆN THEO HỒ SƠ</w:t>
      </w:r>
    </w:p>
    <w:p>
      <w:pPr>
        <w:pStyle w:val="ListBullet"/>
        <w:spacing w:after="40"/>
      </w:pPr>
      <w:r>
        <w:t>Dùng thuốc theo đơn ra viện được cấp; tài liệu trích xuất không đủ để tái lập an toàn toàn bộ đơn thuốc và liều.</w:t>
      </w:r>
    </w:p>
    <w:p>
      <w:pPr>
        <w:pStyle w:val="ListBullet"/>
        <w:spacing w:after="40"/>
      </w:pPr>
      <w:r>
        <w:t>Thay băng cách ngày.</w:t>
      </w:r>
    </w:p>
    <w:p>
      <w:pPr>
        <w:pStyle w:val="ListBullet"/>
        <w:spacing w:after="40"/>
      </w:pPr>
      <w:r>
        <w:t>Cắt chỉ sau 7 ngày tại cơ sở y tế địa phương theo hướng dẫn ghi trong hồ sơ.</w:t>
      </w:r>
    </w:p>
    <w:p>
      <w:pPr>
        <w:pStyle w:val="ListBullet"/>
        <w:spacing w:after="40"/>
      </w:pPr>
      <w:r>
        <w:t>Tái khám sau 2 tuần hoặc sớm hơn khi có bất thường.</w:t>
      </w:r>
    </w:p>
    <w:p>
      <w:pPr>
        <w:pStyle w:val="ListBullet"/>
        <w:spacing w:after="40"/>
      </w:pPr>
      <w:r>
        <w:t>Nhận/đọc kết quả giải phẫu bệnh khi tái khám.</w:t>
      </w:r>
    </w:p>
    <w:p>
      <w:pPr>
        <w:pStyle w:val="ListBullet"/>
        <w:spacing w:after="40"/>
      </w:pPr>
      <w:r>
        <w:t>Cần tuân thủ lịch theo dõi chuyên khoa Hô hấp và Tim mạch theo giấy hẹn/đơn thực tế nếu có.</w:t>
      </w:r>
    </w:p>
    <w:p>
      <w:pPr>
        <w:pStyle w:val="Heading1"/>
      </w:pPr>
      <w:r>
        <w:t>X. BIỆN LUẬN CHẨN ĐOÁN</w:t>
      </w:r>
    </w:p>
    <w:p>
      <w:pPr>
        <w:pStyle w:val="Heading2"/>
      </w:pPr>
      <w:r>
        <w:t>1. Viêm túi mật hoại tử do sỏi</w:t>
      </w:r>
    </w:p>
    <w:p>
      <w:pPr>
        <w:spacing w:after="80" w:line="259" w:lineRule="auto"/>
      </w:pPr>
      <w:r>
        <w:rPr>
          <w:i w:val="0"/>
        </w:rPr>
        <w:t>Chẩn đoán được hỗ trợ bởi tiền sử sỏi túi mật; siêu âm cho thấy túi mật căng, thành dày khoảng 5 mm, có bùn/sỏi và thâm nhiễm mỡ quanh túi mật; CLVT hướng tới sỏi/bùn túi mật và viêm túi mật cấp. Bằng chứng mạnh nhất là tường trình mổ: thành túi mật dày, có các điểm hoại tử đen, sỏi kẹt cổ túi mật, dịch đục và giả mạc trong ổ bụng; chẩn đoán sau mổ ghi rõ viêm túi mật hoại tử.</w:t>
      </w:r>
    </w:p>
    <w:p>
      <w:pPr>
        <w:spacing w:after="80" w:line="259" w:lineRule="auto"/>
      </w:pPr>
      <w:r>
        <w:rPr>
          <w:i w:val="0"/>
        </w:rPr>
        <w:t>Viêm túi mật hoại tử là thể nặng của viêm túi mật cấp, có nguy cơ thủng túi mật, viêm phúc mạc và nhiễm trùng toàn thân. Trong ca này, phẫu thuật cắt túi mật, hút rửa và đặt dẫn lưu là xử trí ngoại khoa đã được thực hiện. Hồ sơ hiện có không cung cấp kết quả mô bệnh học cuối cùng.</w:t>
      </w:r>
    </w:p>
    <w:p>
      <w:pPr>
        <w:pStyle w:val="Heading2"/>
      </w:pPr>
      <w:r>
        <w:t>2. Giãn phế quản bội nhiễm/viêm phổi</w:t>
      </w:r>
    </w:p>
    <w:p>
      <w:pPr>
        <w:spacing w:after="80" w:line="259" w:lineRule="auto"/>
      </w:pPr>
      <w:r>
        <w:rPr>
          <w:i w:val="0"/>
        </w:rPr>
        <w:t>Tiền sử ho khạc đờm kéo dài và đôi khi khó thở khò khè, đờm xanh trong đợt nằm viện, sốt nhẹ, bạch cầu tăng ban đầu cùng các tổn thương giãn phế quản, đông đặc/xẹp phổi và kính mờ trên CT ngực ủng hộ chẩn đoán giãn phế quản bội nhiễm kèm tổn thương viêm phổi. Diễn biến sau đó ghi nhận hết sốt và bạch cầu giảm, dù còn ho đờm và ran nổ.</w:t>
      </w:r>
    </w:p>
    <w:p>
      <w:pPr>
        <w:spacing w:after="80" w:line="259" w:lineRule="auto"/>
      </w:pPr>
      <w:r>
        <w:rPr>
          <w:i w:val="0"/>
        </w:rPr>
        <w:t>Cấy đờm/AFB/Xpert được đề cập trong kế hoạch chuyên khoa, nhưng không thấy kết quả vi sinh trong các đoạn hồ sơ đã trích xuất. Vì vậy không gán tác nhân vi khuẩn cụ thể.</w:t>
      </w:r>
    </w:p>
    <w:p>
      <w:pPr>
        <w:pStyle w:val="Heading2"/>
      </w:pPr>
      <w:r>
        <w:t>3. Theo dõi COPD</w:t>
      </w:r>
    </w:p>
    <w:p>
      <w:pPr>
        <w:spacing w:after="80" w:line="259" w:lineRule="auto"/>
      </w:pPr>
      <w:r>
        <w:rPr>
          <w:i w:val="0"/>
        </w:rPr>
        <w:t>Triệu chứng ho khạc đờm mạn tính, khò khè từng lúc và chẩn đoán theo dõi COPD xuất hiện trong hồ sơ. Tuy nhiên, không hút thuốc được ghi nhận trong hội chẩn Hô hấp và chưa thấy kết quả hô hấp ký. Khi trình bày thi, nên nói “theo dõi COPD/được ghi nhận trong chẩn đoán kèm theo”, không khẳng định COPD đã được xác nhận bằng hô hấp ký nếu không có dữ liệu bổ sung.</w:t>
      </w:r>
    </w:p>
    <w:p>
      <w:pPr>
        <w:pStyle w:val="Heading2"/>
      </w:pPr>
      <w:r>
        <w:t>4. Suy tim EF giảm</w:t>
      </w:r>
    </w:p>
    <w:p>
      <w:pPr>
        <w:spacing w:after="80" w:line="259" w:lineRule="auto"/>
      </w:pPr>
      <w:r>
        <w:rPr>
          <w:i w:val="0"/>
        </w:rPr>
        <w:t>Siêu âm tim ngày 17/10/2026 ghi thất trái giãn, EF 36%; ProBNP tăng theo xét nghiệm. Đây là bằng chứng phù hợp suy tim với phân suất tống máu giảm. Bệnh đồng mắc này làm tăng nguy cơ quanh phẫu thuật và ảnh hưởng lựa chọn dịch truyền, lợi tiểu, theo dõi hô hấp-tuần hoàn. Hồ sơ cần được đối chiếu thêm về phân độ NYHA, nguyên nhân suy tim, ECG và phác đồ thuốc tim mạch ra viện.</w:t>
      </w:r>
    </w:p>
    <w:p>
      <w:pPr>
        <w:pStyle w:val="Heading1"/>
      </w:pPr>
      <w:r>
        <w:t>XI. VẤN ĐỀ CẦN ƯU TIÊN KHI THẢO LUẬN CA BỆNH</w:t>
      </w:r>
    </w:p>
    <w:p>
      <w:pPr>
        <w:pStyle w:val="ListBullet"/>
        <w:spacing w:after="40"/>
      </w:pPr>
      <w:r>
        <w:t>Kiểm soát ổ nhiễm trùng ổ bụng: phẫu thuật đã xử lý túi mật hoại tử; theo dõi sốt, đau bụng, dịch dẫn lưu, dấu hiệu viêm phúc mạc và kết quả giải phẫu bệnh.</w:t>
      </w:r>
    </w:p>
    <w:p>
      <w:pPr>
        <w:pStyle w:val="ListBullet"/>
        <w:spacing w:after="40"/>
      </w:pPr>
      <w:r>
        <w:t>Điều trị nhiễm trùng hô hấp trên nền giãn phế quản: đánh giá đờm, nhu cầu oxy, đáp ứng kháng sinh, kết quả cấy đờm nếu có và chỉ định thuốc hít.</w:t>
      </w:r>
    </w:p>
    <w:p>
      <w:pPr>
        <w:pStyle w:val="ListBullet"/>
        <w:spacing w:after="40"/>
      </w:pPr>
      <w:r>
        <w:t>Tối ưu hóa suy tim EF 36%: đánh giá thể tích tuần hoàn, lượng nước tiểu, chức năng thận-điện giải, dấu hiệu sung huyết và điều trị theo chuyên khoa.</w:t>
      </w:r>
    </w:p>
    <w:p>
      <w:pPr>
        <w:pStyle w:val="ListBullet"/>
        <w:spacing w:after="40"/>
      </w:pPr>
      <w:r>
        <w:t>Đánh giá nguy cơ hô hấp và tim mạch sau phẫu thuật; vận động và phục hồi chức năng phù hợp, phòng biến chứng nằm lâu.</w:t>
      </w:r>
    </w:p>
    <w:p>
      <w:pPr>
        <w:pStyle w:val="ListBullet"/>
        <w:spacing w:after="40"/>
      </w:pPr>
      <w:r>
        <w:t>Không bỏ sót tính không điển hình của đau bụng lúc nhập viện; đối chiếu bệnh sử, khám lặp lại và hình ảnh học thay vì chỉnh sửa hồi cứu dữ kiện.</w:t>
      </w:r>
    </w:p>
    <w:p>
      <w:pPr>
        <w:pStyle w:val="Heading1"/>
      </w:pPr>
      <w:r>
        <w:t>XII. TIÊN LƯỢNG VÀ THEO DÕI</w:t>
      </w:r>
    </w:p>
    <w:p>
      <w:pPr>
        <w:spacing w:after="80" w:line="259" w:lineRule="auto"/>
      </w:pPr>
      <w:r>
        <w:rPr>
          <w:i w:val="0"/>
        </w:rPr>
        <w:t>Tại thời điểm ra viện, hồ sơ ghi người bệnh ổn định sau phẫu thuật. Tuy nhiên, bệnh nhân có bệnh phối hợp đáng lưu ý gồm giãn phế quản bội nhiễm/theo dõi COPD và suy tim EF 36%, nên cần theo dõi sát sau ra viện. Các dấu hiệu cần được đánh giá y tế sớm gồm sốt trở lại, đau bụng tăng, nôn kéo dài, vàng da, vết mổ đỏ/chảy dịch, khó thở tăng, tím tái, đau ngực, phù tăng hoặc tiểu ít.</w:t>
      </w:r>
    </w:p>
    <w:p>
      <w:pPr>
        <w:spacing w:after="80" w:line="259" w:lineRule="auto"/>
      </w:pPr>
      <w:r>
        <w:rPr>
          <w:i w:val="0"/>
        </w:rPr>
        <w:t>Tiên lượng dài hạn phụ thuộc kiểm soát nhiễm trùng hô hấp, tối ưu điều trị suy tim, phục hồi sau mổ và kết quả giải phẫu bệnh.</w:t>
      </w:r>
    </w:p>
    <w:p>
      <w:pPr>
        <w:pStyle w:val="Heading1"/>
      </w:pPr>
      <w:r>
        <w:t>XIII. NHỮNG ĐIỂM CẦN ĐỐI CHIẾU BẢN GỐC TRƯỚC KHI NỘP/THI</w:t>
      </w:r>
    </w:p>
    <w:p>
      <w:pPr>
        <w:pStyle w:val="ListBullet"/>
        <w:spacing w:after="40"/>
      </w:pPr>
      <w:r>
        <w:t>Kết quả mô bệnh học túi mật (hồ sơ ghi nhận trả kết quả khi khám lại).</w:t>
      </w:r>
    </w:p>
    <w:p>
      <w:pPr>
        <w:pStyle w:val="ListBullet"/>
        <w:spacing w:after="40"/>
      </w:pPr>
      <w:r>
        <w:t>Đơn thuốc ra viện chính thức và liều dùng cụ thể; không suy ra từ các phiếu y lệnh nội trú.</w:t>
      </w:r>
    </w:p>
    <w:p>
      <w:pPr>
        <w:pStyle w:val="ListBullet"/>
        <w:spacing w:after="40"/>
      </w:pPr>
      <w:r>
        <w:t>Kết quả vi sinh đờm và việc có thực hiện AFB/Xpert/cấy đờm hay không.</w:t>
      </w:r>
    </w:p>
    <w:p>
      <w:pPr>
        <w:pStyle w:val="ListBullet"/>
        <w:spacing w:after="40"/>
      </w:pPr>
      <w:r>
        <w:t>Đơn vị/khoảng tham chiếu của CRP hs, ProBNP, troponin và các xét nghiệm liên quan.</w:t>
      </w:r>
    </w:p>
    <w:p>
      <w:pPr>
        <w:pStyle w:val="ListBullet"/>
        <w:spacing w:after="40"/>
      </w:pPr>
      <w:r>
        <w:t>Bằng chứng xác nhận COPD, đặc biệt kết quả hô hấp ký nếu có.</w:t>
      </w:r>
    </w:p>
    <w:p>
      <w:pPr>
        <w:pStyle w:val="ListBullet"/>
        <w:spacing w:after="40"/>
      </w:pPr>
      <w:r>
        <w:t>Bệnh sử và khám bụng chi tiết hơn; các ký hiệu viết tắt trong phiếu khám ban đầu.</w:t>
      </w:r>
    </w:p>
    <w:p>
      <w:pPr>
        <w:pStyle w:val="ListBullet"/>
        <w:spacing w:after="40"/>
      </w:pPr>
      <w:r>
        <w:t>Kết quả siêu âm bụng kiểm tra sau mổ (có chỉ định siêu âm ngày 20/10 trong hồ sơ, nhưng cần kiểm tra phiếu kết quả thực tế).</w:t>
      </w:r>
    </w:p>
    <w:p>
      <w:pPr>
        <w:pStyle w:val="Heading1"/>
      </w:pPr>
      <w:r>
        <w:t>XIV. KẾT LUẬN</w:t>
      </w:r>
    </w:p>
    <w:p>
      <w:pPr>
        <w:spacing w:after="80" w:line="259" w:lineRule="auto"/>
      </w:pPr>
      <w:r>
        <w:rPr>
          <w:i w:val="0"/>
        </w:rPr>
        <w:t>Đây là trường hợp nam 70 tuổi bị viêm túi mật hoại tử do sỏi, được phẫu thuật nội soi cắt túi mật, hút rửa và dẫn lưu ổ bụng ngày 16/10/2026. Bệnh cảnh phức tạp do đồng mắc giãn phế quản bội nhiễm/viêm phổi, theo dõi COPD và suy tim EF 36%. Người bệnh được điều trị phối hợp ngoại khoa, kháng sinh và hỗ trợ tim-phổi; hồ sơ ghi tình trạng ra viện ổn định ngày 21/10/2026. Khi trình bày ca bệnh cần nhấn mạnh bằng chứng trong mổ xác nhận hoại tử túi mật, các nguy cơ do bệnh tim-phổi đồng mắc và những dữ liệu còn cần đối chiếu, đặc biệt mô bệnh học, vi sinh hô hấp và đơn thuốc ra viện.</w:t>
      </w:r>
    </w:p>
    <w:p>
      <w:pPr>
        <w:pStyle w:val="Heading1"/>
      </w:pPr>
      <w:r>
        <w:t>TÀI LIỆU NGUỒN</w:t>
      </w:r>
    </w:p>
    <w:p>
      <w:pPr>
        <w:spacing w:after="80" w:line="259" w:lineRule="auto"/>
      </w:pPr>
      <w:r>
        <w:rPr>
          <w:i w:val="0"/>
        </w:rPr>
        <w:t>Hồ sơ bệnh án PDF do người dùng cung cấp: file_21_10_2026(1).pdf (167 trang). Nội dung bệnh sử, khám, hình ảnh học, tường trình phẫu thuật, hội chẩn và ra viện được tổng hợp từ hồ sơ này. Không sử dụng báo cáo cũ có chẩn đoán u đại tràng/phẫu thuật Hartmann.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Bệnh án thi lâm sàng – bản tổng hợp từ hồ sơ gốc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