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AF93" w14:textId="0DAE0599" w:rsidR="000C3B66" w:rsidRDefault="00570D9E" w:rsidP="00570D9E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F6647A">
        <w:rPr>
          <w:color w:val="FF0000"/>
        </w:rPr>
        <w:t xml:space="preserve"> VÚ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AB4AC2" w14:paraId="27479355" w14:textId="77777777" w:rsidTr="00D571C4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7FEBE07E" w14:textId="77777777" w:rsidR="00AB4AC2" w:rsidRDefault="00AB4AC2" w:rsidP="00D571C4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AB4AC2" w14:paraId="13FCBF62" w14:textId="77777777" w:rsidTr="00D571C4">
        <w:tc>
          <w:tcPr>
            <w:tcW w:w="643" w:type="dxa"/>
          </w:tcPr>
          <w:p w14:paraId="3EA80C9B" w14:textId="77777777" w:rsidR="00AB4AC2" w:rsidRDefault="006E76E0" w:rsidP="00D571C4">
            <w:r>
              <w:t>1</w:t>
            </w:r>
          </w:p>
          <w:p w14:paraId="0A4C23F6" w14:textId="77777777" w:rsidR="001A097D" w:rsidRDefault="001A097D" w:rsidP="001A097D"/>
          <w:p w14:paraId="657248FB" w14:textId="4FF87923" w:rsidR="001A097D" w:rsidRPr="001A097D" w:rsidRDefault="001A097D" w:rsidP="001A097D"/>
        </w:tc>
        <w:tc>
          <w:tcPr>
            <w:tcW w:w="2147" w:type="dxa"/>
          </w:tcPr>
          <w:p w14:paraId="3D0B6002" w14:textId="1182BE4C" w:rsidR="00AB4AC2" w:rsidRDefault="006E76E0" w:rsidP="00AB4AC2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vú</w:t>
            </w:r>
            <w:proofErr w:type="spellEnd"/>
          </w:p>
        </w:tc>
        <w:tc>
          <w:tcPr>
            <w:tcW w:w="4680" w:type="dxa"/>
          </w:tcPr>
          <w:p w14:paraId="786F0AE9" w14:textId="3CA03D11" w:rsidR="00AB4AC2" w:rsidRDefault="006E76E0" w:rsidP="00D571C4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 xml:space="preserve">, 2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buông</w:t>
            </w:r>
            <w:proofErr w:type="spellEnd"/>
            <w:r>
              <w:t xml:space="preserve"> </w:t>
            </w:r>
            <w:proofErr w:type="spellStart"/>
            <w:r>
              <w:t>thõng</w:t>
            </w:r>
            <w:proofErr w:type="spellEnd"/>
            <w:r>
              <w:t>.</w:t>
            </w:r>
            <w:r w:rsidR="005A7D74">
              <w:t xml:space="preserve"> </w:t>
            </w:r>
            <w:proofErr w:type="spellStart"/>
            <w:r w:rsidR="005A7D74">
              <w:t>Giơ</w:t>
            </w:r>
            <w:proofErr w:type="spellEnd"/>
            <w:r w:rsidR="005A7D74">
              <w:t xml:space="preserve"> </w:t>
            </w:r>
            <w:proofErr w:type="spellStart"/>
            <w:r w:rsidR="005A7D74">
              <w:t>tay</w:t>
            </w:r>
            <w:proofErr w:type="spellEnd"/>
            <w:r w:rsidR="005A7D74">
              <w:t xml:space="preserve"> </w:t>
            </w:r>
            <w:proofErr w:type="spellStart"/>
            <w:r w:rsidR="005A7D74">
              <w:t>hoặc</w:t>
            </w:r>
            <w:proofErr w:type="spellEnd"/>
            <w:r w:rsidR="005A7D74">
              <w:t xml:space="preserve"> </w:t>
            </w:r>
            <w:proofErr w:type="spellStart"/>
            <w:r w:rsidR="005A7D74">
              <w:t>chống</w:t>
            </w:r>
            <w:proofErr w:type="spellEnd"/>
            <w:r w:rsidR="005A7D74">
              <w:t xml:space="preserve"> </w:t>
            </w:r>
            <w:proofErr w:type="spellStart"/>
            <w:r w:rsidR="005A7D74">
              <w:t>tay</w:t>
            </w:r>
            <w:proofErr w:type="spellEnd"/>
            <w:r w:rsidR="005A7D74">
              <w:t xml:space="preserve"> </w:t>
            </w:r>
            <w:proofErr w:type="spellStart"/>
            <w:r w:rsidR="005A7D74">
              <w:t>vào</w:t>
            </w:r>
            <w:proofErr w:type="spellEnd"/>
            <w:r w:rsidR="005A7D74">
              <w:t xml:space="preserve"> </w:t>
            </w:r>
            <w:proofErr w:type="spellStart"/>
            <w:r w:rsidR="005A7D74">
              <w:t>hông</w:t>
            </w:r>
            <w:proofErr w:type="spellEnd"/>
            <w:r w:rsidR="005A7D74">
              <w:t xml:space="preserve"> </w:t>
            </w:r>
            <w:proofErr w:type="spellStart"/>
            <w:r w:rsidR="005A7D74">
              <w:t>khi</w:t>
            </w:r>
            <w:proofErr w:type="spellEnd"/>
            <w:r w:rsidR="005A7D74">
              <w:t xml:space="preserve"> </w:t>
            </w:r>
            <w:proofErr w:type="spellStart"/>
            <w:r w:rsidR="005A7D74">
              <w:t>cần</w:t>
            </w:r>
            <w:proofErr w:type="spellEnd"/>
            <w:r w:rsidR="005A7D74">
              <w:t xml:space="preserve"> </w:t>
            </w:r>
            <w:proofErr w:type="spellStart"/>
            <w:r w:rsidR="005A7D74">
              <w:t>thiết</w:t>
            </w:r>
            <w:proofErr w:type="spellEnd"/>
            <w:r w:rsidR="005A7D74">
              <w:t>.</w:t>
            </w:r>
          </w:p>
        </w:tc>
        <w:tc>
          <w:tcPr>
            <w:tcW w:w="3510" w:type="dxa"/>
          </w:tcPr>
          <w:p w14:paraId="570272D8" w14:textId="18C515D0" w:rsidR="00AB4AC2" w:rsidRDefault="005A7D74" w:rsidP="00D571C4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xứng</w:t>
            </w:r>
            <w:proofErr w:type="spellEnd"/>
            <w:r>
              <w:t xml:space="preserve"> 2 </w:t>
            </w:r>
            <w:proofErr w:type="spellStart"/>
            <w:r>
              <w:t>núm</w:t>
            </w:r>
            <w:proofErr w:type="spellEnd"/>
            <w:r>
              <w:t xml:space="preserve"> </w:t>
            </w:r>
            <w:proofErr w:type="spellStart"/>
            <w:r>
              <w:t>vú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,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da, </w:t>
            </w:r>
            <w:proofErr w:type="spellStart"/>
            <w:r>
              <w:t>sự</w:t>
            </w:r>
            <w:proofErr w:type="spellEnd"/>
            <w:r>
              <w:t xml:space="preserve"> co </w:t>
            </w:r>
            <w:proofErr w:type="spellStart"/>
            <w:r>
              <w:t>rút</w:t>
            </w:r>
            <w:proofErr w:type="spellEnd"/>
            <w:r>
              <w:t xml:space="preserve"> da </w:t>
            </w:r>
            <w:proofErr w:type="spellStart"/>
            <w:r>
              <w:t>vú</w:t>
            </w:r>
            <w:proofErr w:type="spellEnd"/>
            <w:r>
              <w:t xml:space="preserve">,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quầng</w:t>
            </w:r>
            <w:proofErr w:type="spellEnd"/>
            <w:r>
              <w:t xml:space="preserve"> </w:t>
            </w:r>
            <w:proofErr w:type="spellStart"/>
            <w:r>
              <w:t>vú</w:t>
            </w:r>
            <w:proofErr w:type="spellEnd"/>
            <w:r>
              <w:t>.</w:t>
            </w:r>
          </w:p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AB4AC2" w14:paraId="0D57F3BB" w14:textId="77777777" w:rsidTr="00D571C4">
        <w:tc>
          <w:tcPr>
            <w:tcW w:w="643" w:type="dxa"/>
          </w:tcPr>
          <w:p w14:paraId="0607B4CC" w14:textId="63235A91" w:rsidR="00AB4AC2" w:rsidRDefault="00114B53" w:rsidP="00D571C4">
            <w:r>
              <w:t>1</w:t>
            </w:r>
          </w:p>
        </w:tc>
        <w:tc>
          <w:tcPr>
            <w:tcW w:w="2147" w:type="dxa"/>
          </w:tcPr>
          <w:p w14:paraId="70AFA8E8" w14:textId="313BAAEB" w:rsidR="00AB4AC2" w:rsidRDefault="00114B53" w:rsidP="00D571C4"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hạch</w:t>
            </w:r>
            <w:proofErr w:type="spellEnd"/>
          </w:p>
        </w:tc>
        <w:tc>
          <w:tcPr>
            <w:tcW w:w="4680" w:type="dxa"/>
          </w:tcPr>
          <w:p w14:paraId="1464B8B6" w14:textId="737D46DA" w:rsidR="00AB4AC2" w:rsidRDefault="00E5125F" w:rsidP="00AB4AC2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ngồi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>.</w:t>
            </w:r>
            <w:r w:rsidR="00252F52">
              <w:t xml:space="preserve"> Tay </w:t>
            </w:r>
            <w:proofErr w:type="spellStart"/>
            <w:r w:rsidR="00252F52">
              <w:t>người</w:t>
            </w:r>
            <w:proofErr w:type="spellEnd"/>
            <w:r w:rsidR="00252F52">
              <w:t xml:space="preserve"> </w:t>
            </w:r>
            <w:proofErr w:type="spellStart"/>
            <w:r w:rsidR="00252F52">
              <w:t>khám</w:t>
            </w:r>
            <w:proofErr w:type="spellEnd"/>
            <w:r w:rsidR="00252F52">
              <w:t xml:space="preserve"> </w:t>
            </w:r>
            <w:proofErr w:type="spellStart"/>
            <w:r w:rsidR="00252F52">
              <w:t>đỡ</w:t>
            </w:r>
            <w:proofErr w:type="spellEnd"/>
            <w:r w:rsidR="00252F52">
              <w:t xml:space="preserve"> </w:t>
            </w:r>
            <w:proofErr w:type="spellStart"/>
            <w:r w:rsidR="00252F52">
              <w:t>tay</w:t>
            </w:r>
            <w:proofErr w:type="spellEnd"/>
            <w:r w:rsidR="00252F52">
              <w:t xml:space="preserve"> </w:t>
            </w:r>
            <w:proofErr w:type="spellStart"/>
            <w:r w:rsidR="00252F52">
              <w:t>bệnh</w:t>
            </w:r>
            <w:proofErr w:type="spellEnd"/>
            <w:r w:rsidR="00252F52">
              <w:t xml:space="preserve"> </w:t>
            </w:r>
            <w:proofErr w:type="spellStart"/>
            <w:r w:rsidR="00252F52">
              <w:t>nhân</w:t>
            </w:r>
            <w:proofErr w:type="spellEnd"/>
            <w:r w:rsidR="00252F52">
              <w:t xml:space="preserve"> </w:t>
            </w:r>
            <w:proofErr w:type="spellStart"/>
            <w:r w:rsidR="00252F52">
              <w:t>dùng</w:t>
            </w:r>
            <w:proofErr w:type="spellEnd"/>
            <w:r w:rsidR="00252F52">
              <w:t xml:space="preserve"> </w:t>
            </w:r>
            <w:proofErr w:type="spellStart"/>
            <w:r w:rsidR="00252F52">
              <w:t>đầu</w:t>
            </w:r>
            <w:proofErr w:type="spellEnd"/>
            <w:r w:rsidR="00252F52">
              <w:t xml:space="preserve"> </w:t>
            </w:r>
            <w:proofErr w:type="spellStart"/>
            <w:r w:rsidR="00252F52">
              <w:t>ngón</w:t>
            </w:r>
            <w:proofErr w:type="spellEnd"/>
            <w:r w:rsidR="00252F52">
              <w:t xml:space="preserve"> </w:t>
            </w:r>
            <w:proofErr w:type="spellStart"/>
            <w:r w:rsidR="00252F52">
              <w:t>tay</w:t>
            </w:r>
            <w:proofErr w:type="spellEnd"/>
            <w:r w:rsidR="00252F52">
              <w:t xml:space="preserve"> </w:t>
            </w:r>
            <w:proofErr w:type="spellStart"/>
            <w:r w:rsidR="00252F52">
              <w:t>khám</w:t>
            </w:r>
            <w:proofErr w:type="spellEnd"/>
            <w:r w:rsidR="00252F52">
              <w:t xml:space="preserve"> </w:t>
            </w:r>
            <w:proofErr w:type="spellStart"/>
            <w:r w:rsidR="00252F52">
              <w:t>nhẹ</w:t>
            </w:r>
            <w:proofErr w:type="spellEnd"/>
            <w:r w:rsidR="00252F52">
              <w:t xml:space="preserve"> </w:t>
            </w:r>
            <w:proofErr w:type="spellStart"/>
            <w:r w:rsidR="00252F52">
              <w:t>nhàng</w:t>
            </w:r>
            <w:proofErr w:type="spellEnd"/>
            <w:r w:rsidR="00252F52">
              <w:t xml:space="preserve"> </w:t>
            </w:r>
            <w:proofErr w:type="spellStart"/>
            <w:r w:rsidR="00252F52">
              <w:t>thành</w:t>
            </w:r>
            <w:proofErr w:type="spellEnd"/>
            <w:r w:rsidR="00252F52">
              <w:t xml:space="preserve"> </w:t>
            </w:r>
            <w:proofErr w:type="spellStart"/>
            <w:r w:rsidR="00252F52">
              <w:t>ngực</w:t>
            </w:r>
            <w:proofErr w:type="spellEnd"/>
            <w:r w:rsidR="00252F52">
              <w:t xml:space="preserve"> </w:t>
            </w:r>
            <w:proofErr w:type="spellStart"/>
            <w:r w:rsidR="00252F52">
              <w:t>và</w:t>
            </w:r>
            <w:proofErr w:type="spellEnd"/>
            <w:r w:rsidR="00252F52">
              <w:t xml:space="preserve"> </w:t>
            </w:r>
            <w:proofErr w:type="spellStart"/>
            <w:r w:rsidR="00252F52">
              <w:t>hố</w:t>
            </w:r>
            <w:proofErr w:type="spellEnd"/>
            <w:r w:rsidR="00252F52">
              <w:t xml:space="preserve"> </w:t>
            </w:r>
            <w:proofErr w:type="spellStart"/>
            <w:r w:rsidR="00252F52">
              <w:t>nách</w:t>
            </w:r>
            <w:proofErr w:type="spellEnd"/>
            <w:r w:rsidR="00252F52">
              <w:t xml:space="preserve"> </w:t>
            </w:r>
            <w:proofErr w:type="spellStart"/>
            <w:r w:rsidR="00252F52">
              <w:t>để</w:t>
            </w:r>
            <w:proofErr w:type="spellEnd"/>
            <w:r w:rsidR="00252F52">
              <w:t xml:space="preserve"> </w:t>
            </w:r>
            <w:proofErr w:type="spellStart"/>
            <w:r w:rsidR="00252F52">
              <w:t>tìm</w:t>
            </w:r>
            <w:proofErr w:type="spellEnd"/>
            <w:r w:rsidR="00252F52">
              <w:t xml:space="preserve"> </w:t>
            </w:r>
            <w:proofErr w:type="spellStart"/>
            <w:r w:rsidR="00252F52">
              <w:t>hạch</w:t>
            </w:r>
            <w:proofErr w:type="spellEnd"/>
            <w:r w:rsidR="00252F52">
              <w:t>.</w:t>
            </w:r>
          </w:p>
        </w:tc>
        <w:tc>
          <w:tcPr>
            <w:tcW w:w="3510" w:type="dxa"/>
          </w:tcPr>
          <w:p w14:paraId="770EC993" w14:textId="30ADD4A3" w:rsidR="00AB4AC2" w:rsidRDefault="005B14A8" w:rsidP="00D571C4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, di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quanh</w:t>
            </w:r>
            <w:proofErr w:type="spellEnd"/>
            <w:r>
              <w:t>.</w:t>
            </w:r>
          </w:p>
        </w:tc>
      </w:tr>
      <w:tr w:rsidR="003468D5" w14:paraId="0E3E829C" w14:textId="77777777" w:rsidTr="00D571C4">
        <w:tc>
          <w:tcPr>
            <w:tcW w:w="643" w:type="dxa"/>
          </w:tcPr>
          <w:p w14:paraId="51CC0CB1" w14:textId="0F255FAF" w:rsidR="003468D5" w:rsidRDefault="003468D5" w:rsidP="00D571C4">
            <w:r>
              <w:t>2</w:t>
            </w:r>
          </w:p>
        </w:tc>
        <w:tc>
          <w:tcPr>
            <w:tcW w:w="2147" w:type="dxa"/>
          </w:tcPr>
          <w:p w14:paraId="1C0FB420" w14:textId="055EDE35" w:rsidR="003468D5" w:rsidRDefault="003468D5" w:rsidP="00D571C4"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vú</w:t>
            </w:r>
            <w:proofErr w:type="spellEnd"/>
          </w:p>
        </w:tc>
        <w:tc>
          <w:tcPr>
            <w:tcW w:w="4680" w:type="dxa"/>
          </w:tcPr>
          <w:p w14:paraId="217DF097" w14:textId="3789F6E4" w:rsidR="003468D5" w:rsidRDefault="000867C8" w:rsidP="00AB4AC2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, </w:t>
            </w:r>
            <w:proofErr w:type="spellStart"/>
            <w:r>
              <w:t>ngực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,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vú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  <w:r w:rsidR="00F10988">
              <w:t xml:space="preserve"> </w:t>
            </w:r>
            <w:proofErr w:type="spellStart"/>
            <w:r w:rsidR="00F10988">
              <w:t>Sờ</w:t>
            </w:r>
            <w:proofErr w:type="spellEnd"/>
            <w:r w:rsidR="00F10988">
              <w:t xml:space="preserve"> </w:t>
            </w:r>
            <w:proofErr w:type="spellStart"/>
            <w:r w:rsidR="00F10988">
              <w:t>nắn</w:t>
            </w:r>
            <w:proofErr w:type="spellEnd"/>
            <w:r w:rsidR="00F10988">
              <w:t xml:space="preserve"> </w:t>
            </w:r>
            <w:proofErr w:type="spellStart"/>
            <w:r w:rsidR="00F10988">
              <w:t>bằng</w:t>
            </w:r>
            <w:proofErr w:type="spellEnd"/>
            <w:r w:rsidR="00F10988">
              <w:t xml:space="preserve"> </w:t>
            </w:r>
            <w:proofErr w:type="spellStart"/>
            <w:r w:rsidR="00F10988">
              <w:t>đầu</w:t>
            </w:r>
            <w:proofErr w:type="spellEnd"/>
            <w:r w:rsidR="00F10988">
              <w:t xml:space="preserve"> </w:t>
            </w:r>
            <w:proofErr w:type="spellStart"/>
            <w:r w:rsidR="00F10988">
              <w:t>ngón</w:t>
            </w:r>
            <w:proofErr w:type="spellEnd"/>
            <w:r w:rsidR="00F10988">
              <w:t xml:space="preserve"> </w:t>
            </w:r>
            <w:proofErr w:type="spellStart"/>
            <w:r w:rsidR="00F10988">
              <w:t>tay</w:t>
            </w:r>
            <w:proofErr w:type="spellEnd"/>
            <w:r w:rsidR="00F10988">
              <w:t xml:space="preserve"> qua </w:t>
            </w:r>
            <w:proofErr w:type="spellStart"/>
            <w:r w:rsidR="00F10988">
              <w:t>các</w:t>
            </w:r>
            <w:proofErr w:type="spellEnd"/>
            <w:r w:rsidR="00F10988">
              <w:t xml:space="preserve"> </w:t>
            </w:r>
            <w:proofErr w:type="spellStart"/>
            <w:r w:rsidR="00F10988">
              <w:t>động</w:t>
            </w:r>
            <w:proofErr w:type="spellEnd"/>
            <w:r w:rsidR="00F10988">
              <w:t xml:space="preserve"> </w:t>
            </w:r>
            <w:proofErr w:type="spellStart"/>
            <w:r w:rsidR="00F10988">
              <w:t>tác</w:t>
            </w:r>
            <w:proofErr w:type="spellEnd"/>
            <w:r w:rsidR="00F10988">
              <w:t xml:space="preserve"> day </w:t>
            </w:r>
            <w:proofErr w:type="spellStart"/>
            <w:r w:rsidR="00F10988">
              <w:t>nhẹ</w:t>
            </w:r>
            <w:proofErr w:type="spellEnd"/>
            <w:r w:rsidR="00F10988">
              <w:t xml:space="preserve"> </w:t>
            </w:r>
            <w:proofErr w:type="spellStart"/>
            <w:r w:rsidR="00F10988">
              <w:t>nhàng</w:t>
            </w:r>
            <w:proofErr w:type="spellEnd"/>
            <w:r w:rsidR="00F10988">
              <w:t xml:space="preserve"> di </w:t>
            </w:r>
            <w:proofErr w:type="spellStart"/>
            <w:r w:rsidR="00F10988">
              <w:t>chuyển</w:t>
            </w:r>
            <w:proofErr w:type="spellEnd"/>
            <w:r w:rsidR="00F10988">
              <w:t xml:space="preserve"> </w:t>
            </w:r>
            <w:proofErr w:type="spellStart"/>
            <w:r w:rsidR="00F10988">
              <w:t>theo</w:t>
            </w:r>
            <w:proofErr w:type="spellEnd"/>
            <w:r w:rsidR="00F10988">
              <w:t xml:space="preserve"> </w:t>
            </w:r>
            <w:proofErr w:type="spellStart"/>
            <w:r w:rsidR="00F10988">
              <w:t>chiều</w:t>
            </w:r>
            <w:proofErr w:type="spellEnd"/>
            <w:r w:rsidR="00F10988">
              <w:t xml:space="preserve"> </w:t>
            </w:r>
            <w:proofErr w:type="spellStart"/>
            <w:r w:rsidR="00F10988">
              <w:t>kim</w:t>
            </w:r>
            <w:proofErr w:type="spellEnd"/>
            <w:r w:rsidR="00F10988">
              <w:t xml:space="preserve"> </w:t>
            </w:r>
            <w:proofErr w:type="spellStart"/>
            <w:r w:rsidR="00F10988">
              <w:t>đồng</w:t>
            </w:r>
            <w:proofErr w:type="spellEnd"/>
            <w:r w:rsidR="00F10988">
              <w:t xml:space="preserve"> </w:t>
            </w:r>
            <w:proofErr w:type="spellStart"/>
            <w:r w:rsidR="00F10988">
              <w:t>hồ</w:t>
            </w:r>
            <w:proofErr w:type="spellEnd"/>
            <w:r w:rsidR="00F10988">
              <w:t xml:space="preserve"> </w:t>
            </w:r>
            <w:proofErr w:type="spellStart"/>
            <w:r w:rsidR="00F10988">
              <w:t>từ</w:t>
            </w:r>
            <w:proofErr w:type="spellEnd"/>
            <w:r w:rsidR="00F10988">
              <w:t xml:space="preserve"> 1/4 </w:t>
            </w:r>
            <w:proofErr w:type="spellStart"/>
            <w:r w:rsidR="00F10988">
              <w:t>này</w:t>
            </w:r>
            <w:proofErr w:type="spellEnd"/>
            <w:r w:rsidR="00F10988">
              <w:t xml:space="preserve"> </w:t>
            </w:r>
            <w:proofErr w:type="spellStart"/>
            <w:r w:rsidR="00F10988">
              <w:t>đến</w:t>
            </w:r>
            <w:proofErr w:type="spellEnd"/>
            <w:r w:rsidR="00F10988">
              <w:t xml:space="preserve"> 1/4 </w:t>
            </w:r>
            <w:proofErr w:type="spellStart"/>
            <w:r w:rsidR="00F10988">
              <w:t>khác</w:t>
            </w:r>
            <w:proofErr w:type="spellEnd"/>
            <w:r w:rsidR="00F10988">
              <w:t xml:space="preserve"> </w:t>
            </w:r>
            <w:proofErr w:type="spellStart"/>
            <w:r w:rsidR="00F10988">
              <w:t>của</w:t>
            </w:r>
            <w:proofErr w:type="spellEnd"/>
            <w:r w:rsidR="00F10988">
              <w:t xml:space="preserve"> </w:t>
            </w:r>
            <w:proofErr w:type="spellStart"/>
            <w:r w:rsidR="00F10988">
              <w:t>vú</w:t>
            </w:r>
            <w:proofErr w:type="spellEnd"/>
            <w:r w:rsidR="00F10988">
              <w:t xml:space="preserve"> </w:t>
            </w:r>
            <w:proofErr w:type="spellStart"/>
            <w:r w:rsidR="00F10988">
              <w:t>và</w:t>
            </w:r>
            <w:proofErr w:type="spellEnd"/>
            <w:r w:rsidR="00F10988">
              <w:t xml:space="preserve"> </w:t>
            </w:r>
            <w:proofErr w:type="spellStart"/>
            <w:r w:rsidR="00F10988">
              <w:t>vùng</w:t>
            </w:r>
            <w:proofErr w:type="spellEnd"/>
            <w:r w:rsidR="00F10988">
              <w:t xml:space="preserve"> </w:t>
            </w:r>
            <w:proofErr w:type="spellStart"/>
            <w:r w:rsidR="00F10988">
              <w:t>trung</w:t>
            </w:r>
            <w:proofErr w:type="spellEnd"/>
            <w:r w:rsidR="00F10988">
              <w:t xml:space="preserve"> </w:t>
            </w:r>
            <w:proofErr w:type="spellStart"/>
            <w:r w:rsidR="00F10988">
              <w:t>tâm</w:t>
            </w:r>
            <w:proofErr w:type="spellEnd"/>
            <w:r w:rsidR="00F10988">
              <w:t>.</w:t>
            </w:r>
            <w:r w:rsidR="005159EC">
              <w:t xml:space="preserve"> </w:t>
            </w:r>
            <w:proofErr w:type="spellStart"/>
            <w:r w:rsidR="005159EC">
              <w:t>Khi</w:t>
            </w:r>
            <w:proofErr w:type="spellEnd"/>
            <w:r w:rsidR="005159EC">
              <w:t xml:space="preserve"> </w:t>
            </w:r>
            <w:proofErr w:type="spellStart"/>
            <w:r w:rsidR="005159EC">
              <w:t>khám</w:t>
            </w:r>
            <w:proofErr w:type="spellEnd"/>
            <w:r w:rsidR="005159EC">
              <w:t xml:space="preserve"> </w:t>
            </w:r>
            <w:proofErr w:type="spellStart"/>
            <w:r w:rsidR="005159EC">
              <w:t>đến</w:t>
            </w:r>
            <w:proofErr w:type="spellEnd"/>
            <w:r w:rsidR="005159EC">
              <w:t xml:space="preserve"> </w:t>
            </w:r>
            <w:proofErr w:type="spellStart"/>
            <w:r w:rsidR="005159EC">
              <w:t>nửa</w:t>
            </w:r>
            <w:proofErr w:type="spellEnd"/>
            <w:r w:rsidR="005159EC">
              <w:t xml:space="preserve"> </w:t>
            </w:r>
            <w:proofErr w:type="spellStart"/>
            <w:r w:rsidR="005159EC">
              <w:t>vú</w:t>
            </w:r>
            <w:proofErr w:type="spellEnd"/>
            <w:r w:rsidR="005159EC">
              <w:t xml:space="preserve"> </w:t>
            </w:r>
            <w:proofErr w:type="spellStart"/>
            <w:r w:rsidR="005159EC">
              <w:t>trong</w:t>
            </w:r>
            <w:proofErr w:type="spellEnd"/>
            <w:r w:rsidR="005159EC">
              <w:t xml:space="preserve"> </w:t>
            </w:r>
            <w:proofErr w:type="spellStart"/>
            <w:r w:rsidR="005159EC">
              <w:t>thì</w:t>
            </w:r>
            <w:proofErr w:type="spellEnd"/>
            <w:r w:rsidR="005159EC">
              <w:t xml:space="preserve"> </w:t>
            </w:r>
            <w:proofErr w:type="spellStart"/>
            <w:r w:rsidR="005159EC">
              <w:t>bệnh</w:t>
            </w:r>
            <w:proofErr w:type="spellEnd"/>
            <w:r w:rsidR="005159EC">
              <w:t xml:space="preserve"> </w:t>
            </w:r>
            <w:proofErr w:type="spellStart"/>
            <w:r w:rsidR="005159EC">
              <w:t>nhân</w:t>
            </w:r>
            <w:proofErr w:type="spellEnd"/>
            <w:r w:rsidR="005159EC">
              <w:t xml:space="preserve"> </w:t>
            </w:r>
            <w:proofErr w:type="spellStart"/>
            <w:r w:rsidR="005159EC">
              <w:t>nên</w:t>
            </w:r>
            <w:proofErr w:type="spellEnd"/>
            <w:r w:rsidR="005159EC">
              <w:t xml:space="preserve"> </w:t>
            </w:r>
            <w:proofErr w:type="spellStart"/>
            <w:r w:rsidR="005159EC">
              <w:t>giơ</w:t>
            </w:r>
            <w:proofErr w:type="spellEnd"/>
            <w:r w:rsidR="005159EC">
              <w:t xml:space="preserve"> </w:t>
            </w:r>
            <w:proofErr w:type="spellStart"/>
            <w:r w:rsidR="005159EC">
              <w:t>cánh</w:t>
            </w:r>
            <w:proofErr w:type="spellEnd"/>
            <w:r w:rsidR="005159EC">
              <w:t xml:space="preserve"> </w:t>
            </w:r>
            <w:proofErr w:type="spellStart"/>
            <w:r w:rsidR="005159EC">
              <w:t>tay</w:t>
            </w:r>
            <w:proofErr w:type="spellEnd"/>
            <w:r w:rsidR="005159EC">
              <w:t xml:space="preserve"> </w:t>
            </w:r>
            <w:proofErr w:type="spellStart"/>
            <w:r w:rsidR="005159EC">
              <w:t>bên</w:t>
            </w:r>
            <w:proofErr w:type="spellEnd"/>
            <w:r w:rsidR="005159EC">
              <w:t xml:space="preserve"> </w:t>
            </w:r>
            <w:proofErr w:type="spellStart"/>
            <w:r w:rsidR="005159EC">
              <w:t>đó</w:t>
            </w:r>
            <w:proofErr w:type="spellEnd"/>
            <w:r w:rsidR="005159EC">
              <w:t xml:space="preserve"> </w:t>
            </w:r>
            <w:proofErr w:type="spellStart"/>
            <w:r w:rsidR="005159EC">
              <w:t>quá</w:t>
            </w:r>
            <w:proofErr w:type="spellEnd"/>
            <w:r w:rsidR="005159EC">
              <w:t xml:space="preserve"> </w:t>
            </w:r>
            <w:proofErr w:type="spellStart"/>
            <w:r w:rsidR="005159EC">
              <w:t>đầu</w:t>
            </w:r>
            <w:proofErr w:type="spellEnd"/>
            <w:r w:rsidR="005159EC">
              <w:t xml:space="preserve"> </w:t>
            </w:r>
            <w:proofErr w:type="spellStart"/>
            <w:r w:rsidR="005159EC">
              <w:t>để</w:t>
            </w:r>
            <w:proofErr w:type="spellEnd"/>
            <w:r w:rsidR="005159EC">
              <w:t xml:space="preserve"> </w:t>
            </w:r>
            <w:proofErr w:type="spellStart"/>
            <w:r w:rsidR="005159EC">
              <w:t>căng</w:t>
            </w:r>
            <w:proofErr w:type="spellEnd"/>
            <w:r w:rsidR="005159EC">
              <w:t xml:space="preserve"> </w:t>
            </w:r>
            <w:proofErr w:type="spellStart"/>
            <w:r w:rsidR="005159EC">
              <w:t>cơ</w:t>
            </w:r>
            <w:proofErr w:type="spellEnd"/>
            <w:r w:rsidR="005159EC">
              <w:t xml:space="preserve"> </w:t>
            </w:r>
            <w:proofErr w:type="spellStart"/>
            <w:r w:rsidR="005159EC">
              <w:t>ngực</w:t>
            </w:r>
            <w:proofErr w:type="spellEnd"/>
            <w:r w:rsidR="005159EC">
              <w:t xml:space="preserve"> </w:t>
            </w:r>
            <w:proofErr w:type="spellStart"/>
            <w:r w:rsidR="005159EC">
              <w:t>tạo</w:t>
            </w:r>
            <w:proofErr w:type="spellEnd"/>
            <w:r w:rsidR="005159EC">
              <w:t xml:space="preserve"> </w:t>
            </w:r>
            <w:proofErr w:type="spellStart"/>
            <w:r w:rsidR="005159EC">
              <w:t>mặt</w:t>
            </w:r>
            <w:proofErr w:type="spellEnd"/>
            <w:r w:rsidR="005159EC">
              <w:t xml:space="preserve"> </w:t>
            </w:r>
            <w:proofErr w:type="spellStart"/>
            <w:r w:rsidR="005159EC">
              <w:t>phẳng</w:t>
            </w:r>
            <w:proofErr w:type="spellEnd"/>
            <w:r w:rsidR="005159EC">
              <w:t xml:space="preserve"> </w:t>
            </w:r>
            <w:proofErr w:type="spellStart"/>
            <w:r w:rsidR="005159EC">
              <w:t>dưới</w:t>
            </w:r>
            <w:proofErr w:type="spellEnd"/>
            <w:r w:rsidR="005159EC">
              <w:t xml:space="preserve"> </w:t>
            </w:r>
            <w:proofErr w:type="spellStart"/>
            <w:r w:rsidR="005159EC">
              <w:t>vú</w:t>
            </w:r>
            <w:proofErr w:type="spellEnd"/>
            <w:r w:rsidR="005159EC">
              <w:t xml:space="preserve"> </w:t>
            </w:r>
            <w:proofErr w:type="spellStart"/>
            <w:r w:rsidR="005159EC">
              <w:t>để</w:t>
            </w:r>
            <w:proofErr w:type="spellEnd"/>
            <w:r w:rsidR="005159EC">
              <w:t xml:space="preserve"> </w:t>
            </w:r>
            <w:proofErr w:type="spellStart"/>
            <w:r w:rsidR="005159EC">
              <w:t>dễ</w:t>
            </w:r>
            <w:proofErr w:type="spellEnd"/>
            <w:r w:rsidR="005159EC">
              <w:t xml:space="preserve"> </w:t>
            </w:r>
            <w:proofErr w:type="spellStart"/>
            <w:r w:rsidR="005159EC">
              <w:t>khám</w:t>
            </w:r>
            <w:proofErr w:type="spellEnd"/>
            <w:r w:rsidR="005159EC">
              <w:t>.</w:t>
            </w:r>
          </w:p>
        </w:tc>
        <w:tc>
          <w:tcPr>
            <w:tcW w:w="3510" w:type="dxa"/>
          </w:tcPr>
          <w:p w14:paraId="00D52FEA" w14:textId="77777777" w:rsidR="003468D5" w:rsidRDefault="00EC0D48" w:rsidP="00D571C4"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vú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  <w:r>
              <w:t xml:space="preserve">, </w:t>
            </w:r>
            <w:proofErr w:type="spellStart"/>
            <w:r>
              <w:t>ranh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rang, </w:t>
            </w:r>
            <w:proofErr w:type="spellStart"/>
            <w:r>
              <w:t>xu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lân</w:t>
            </w:r>
            <w:proofErr w:type="spellEnd"/>
            <w:r>
              <w:t xml:space="preserve">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kém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  <w:r>
              <w:t>.</w:t>
            </w:r>
          </w:p>
          <w:p w14:paraId="778396D6" w14:textId="2F58E851" w:rsidR="00971F69" w:rsidRPr="00971F69" w:rsidRDefault="00971F69" w:rsidP="00971F69"/>
        </w:tc>
      </w:tr>
      <w:tr w:rsidR="00BD3871" w14:paraId="1D2E519E" w14:textId="77777777" w:rsidTr="00D571C4">
        <w:tc>
          <w:tcPr>
            <w:tcW w:w="643" w:type="dxa"/>
          </w:tcPr>
          <w:p w14:paraId="4A8E0B70" w14:textId="14FDE960" w:rsidR="00BD3871" w:rsidRDefault="00BD3871" w:rsidP="00D571C4">
            <w:r>
              <w:t>3</w:t>
            </w:r>
          </w:p>
        </w:tc>
        <w:tc>
          <w:tcPr>
            <w:tcW w:w="2147" w:type="dxa"/>
          </w:tcPr>
          <w:p w14:paraId="4659A9C5" w14:textId="4FE49FDF" w:rsidR="00BD3871" w:rsidRDefault="00BD3871" w:rsidP="00D571C4"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4680" w:type="dxa"/>
          </w:tcPr>
          <w:p w14:paraId="78D2BB7C" w14:textId="77777777" w:rsidR="00BD3871" w:rsidRDefault="00BD3871" w:rsidP="00AB4AC2"/>
        </w:tc>
        <w:tc>
          <w:tcPr>
            <w:tcW w:w="3510" w:type="dxa"/>
          </w:tcPr>
          <w:p w14:paraId="476F8AD8" w14:textId="3CF42E21" w:rsidR="00BD3871" w:rsidRDefault="00B645F4" w:rsidP="00D571C4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 w:rsidR="00971F69">
              <w:t>một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hay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 w:rsidR="00971F69">
              <w:t>hai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đục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 xml:space="preserve"> hay </w:t>
            </w:r>
            <w:proofErr w:type="spellStart"/>
            <w:r>
              <w:t>đục</w:t>
            </w:r>
            <w:proofErr w:type="spellEnd"/>
            <w:r>
              <w:t xml:space="preserve"> </w:t>
            </w:r>
            <w:proofErr w:type="spellStart"/>
            <w:r>
              <w:t>vàng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mủ</w:t>
            </w:r>
            <w:proofErr w:type="spellEnd"/>
            <w:r>
              <w:t xml:space="preserve">, </w:t>
            </w:r>
            <w:proofErr w:type="spellStart"/>
            <w:r>
              <w:t>nâu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hay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  <w:r>
              <w:t>.</w:t>
            </w:r>
          </w:p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4FD1C0FE" w14:textId="77777777" w:rsidR="00AB4AC2" w:rsidRDefault="00AB4AC2" w:rsidP="00AB4AC2">
            <w:pPr>
              <w:jc w:val="center"/>
            </w:pPr>
            <w:r>
              <w:t>GÕ</w:t>
            </w:r>
          </w:p>
          <w:p w14:paraId="72EFFF3A" w14:textId="7A81A128" w:rsidR="00D44C52" w:rsidRDefault="00D44C52" w:rsidP="00D44C5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.</w:t>
            </w:r>
          </w:p>
        </w:tc>
      </w:tr>
      <w:tr w:rsidR="00AB4AC2" w14:paraId="25F60C3B" w14:textId="77777777" w:rsidTr="000507C9">
        <w:tc>
          <w:tcPr>
            <w:tcW w:w="10980" w:type="dxa"/>
            <w:gridSpan w:val="4"/>
            <w:shd w:val="clear" w:color="auto" w:fill="FFF2CC" w:themeFill="accent4" w:themeFillTint="33"/>
          </w:tcPr>
          <w:p w14:paraId="4702BAA0" w14:textId="77777777" w:rsidR="00AB4AC2" w:rsidRDefault="00AB4AC2" w:rsidP="00AB4AC2">
            <w:pPr>
              <w:jc w:val="center"/>
            </w:pPr>
            <w:r>
              <w:t>NGHE</w:t>
            </w:r>
          </w:p>
          <w:p w14:paraId="45388FEB" w14:textId="72135521" w:rsidR="00D44C52" w:rsidRDefault="00D44C52" w:rsidP="00D44C5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.</w:t>
            </w:r>
          </w:p>
        </w:tc>
      </w:tr>
    </w:tbl>
    <w:p w14:paraId="60E7BB64" w14:textId="22C9CA5C" w:rsidR="00570D9E" w:rsidRDefault="00570D9E" w:rsidP="00570D9E">
      <w:bookmarkStart w:id="0" w:name="_GoBack"/>
      <w:bookmarkEnd w:id="0"/>
    </w:p>
    <w:sectPr w:rsidR="00570D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09572" w14:textId="77777777" w:rsidR="00AF7026" w:rsidRDefault="00AF7026" w:rsidP="00570D9E">
      <w:r>
        <w:separator/>
      </w:r>
    </w:p>
  </w:endnote>
  <w:endnote w:type="continuationSeparator" w:id="0">
    <w:p w14:paraId="17D437DC" w14:textId="77777777" w:rsidR="00AF7026" w:rsidRDefault="00AF7026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570D9E" w:rsidRDefault="00570D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570D9E" w:rsidRDefault="00570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67144" w14:textId="77777777" w:rsidR="00AF7026" w:rsidRDefault="00AF7026" w:rsidP="00570D9E">
      <w:r>
        <w:separator/>
      </w:r>
    </w:p>
  </w:footnote>
  <w:footnote w:type="continuationSeparator" w:id="0">
    <w:p w14:paraId="1AFE4DD8" w14:textId="77777777" w:rsidR="00AF7026" w:rsidRDefault="00AF7026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7D83175D" w:rsidR="00570D9E" w:rsidRPr="00570D9E" w:rsidRDefault="00E341A4"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 wp14:anchorId="292440F3" wp14:editId="73481FC4">
          <wp:extent cx="45720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9" cy="457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507C9"/>
    <w:rsid w:val="000867C8"/>
    <w:rsid w:val="00086B1E"/>
    <w:rsid w:val="000C3B66"/>
    <w:rsid w:val="000E6FA7"/>
    <w:rsid w:val="00114B53"/>
    <w:rsid w:val="00121B68"/>
    <w:rsid w:val="001A097D"/>
    <w:rsid w:val="00252F52"/>
    <w:rsid w:val="00270CD2"/>
    <w:rsid w:val="003468D5"/>
    <w:rsid w:val="00352937"/>
    <w:rsid w:val="005159EC"/>
    <w:rsid w:val="00570D9E"/>
    <w:rsid w:val="005A7D74"/>
    <w:rsid w:val="005B14A8"/>
    <w:rsid w:val="00693AB6"/>
    <w:rsid w:val="006E76E0"/>
    <w:rsid w:val="00720D11"/>
    <w:rsid w:val="0089052A"/>
    <w:rsid w:val="009210FD"/>
    <w:rsid w:val="00937CA3"/>
    <w:rsid w:val="00971F69"/>
    <w:rsid w:val="00A16D59"/>
    <w:rsid w:val="00AB4AC2"/>
    <w:rsid w:val="00AF7026"/>
    <w:rsid w:val="00B645F4"/>
    <w:rsid w:val="00BA5F3B"/>
    <w:rsid w:val="00BD3871"/>
    <w:rsid w:val="00C33D41"/>
    <w:rsid w:val="00D44C52"/>
    <w:rsid w:val="00D54A42"/>
    <w:rsid w:val="00D912EC"/>
    <w:rsid w:val="00DA1F0E"/>
    <w:rsid w:val="00E341A4"/>
    <w:rsid w:val="00E5125F"/>
    <w:rsid w:val="00E929D1"/>
    <w:rsid w:val="00EC0D48"/>
    <w:rsid w:val="00ED764B"/>
    <w:rsid w:val="00F10988"/>
    <w:rsid w:val="00F6647A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30</cp:revision>
  <dcterms:created xsi:type="dcterms:W3CDTF">2019-05-16T01:35:00Z</dcterms:created>
  <dcterms:modified xsi:type="dcterms:W3CDTF">2019-06-09T15:09:00Z</dcterms:modified>
</cp:coreProperties>
</file>