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FB712B">
            <w:pPr>
              <w:pStyle w:val="Title"/>
            </w:pPr>
            <w:r>
              <w:t>BỘ GIÁO DỤC VÀ ĐÀO TẠO</w:t>
            </w:r>
          </w:p>
        </w:tc>
        <w:tc>
          <w:tcPr>
            <w:tcW w:w="4556" w:type="dxa"/>
          </w:tcPr>
          <w:p w14:paraId="4F91ACB0" w14:textId="453C7228" w:rsidR="00BA4A0C" w:rsidRDefault="00BA4A0C" w:rsidP="00FB712B">
            <w:pPr>
              <w:pStyle w:val="Title"/>
            </w:pPr>
            <w:r w:rsidRPr="00FB712B">
              <w:t>BỘ Y TẾ</w:t>
            </w:r>
          </w:p>
        </w:tc>
      </w:tr>
    </w:tbl>
    <w:p w14:paraId="473FE43D" w14:textId="64C73A67" w:rsidR="00993362" w:rsidRDefault="00BA4A0C" w:rsidP="00FB712B">
      <w:pPr>
        <w:pStyle w:val="Title"/>
      </w:pPr>
      <w:r>
        <w:t xml:space="preserve"> </w:t>
      </w:r>
    </w:p>
    <w:p w14:paraId="4A186D64" w14:textId="2629655A" w:rsidR="00C439CB" w:rsidRDefault="00C439CB" w:rsidP="00C439CB"/>
    <w:p w14:paraId="1D22073D" w14:textId="77777777" w:rsidR="00C439CB" w:rsidRPr="00C439CB" w:rsidRDefault="00C439CB" w:rsidP="00C439CB"/>
    <w:p w14:paraId="7923C076" w14:textId="3080C4CD" w:rsidR="00993362" w:rsidRDefault="00993362" w:rsidP="00FB712B">
      <w:pPr>
        <w:pStyle w:val="Title"/>
      </w:pPr>
      <w:r w:rsidRPr="00FB712B">
        <w:t>TRƯỜNG ĐẠI HỌC Y DƯỢC HẢI PHÒNG</w:t>
      </w:r>
    </w:p>
    <w:p w14:paraId="5CCE4E3A" w14:textId="77777777" w:rsidR="00BA4A0C" w:rsidRPr="00BA4A0C" w:rsidRDefault="00BA4A0C" w:rsidP="00BA4A0C"/>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Pr="00FB712B" w:rsidRDefault="00D80B9E" w:rsidP="00FB712B">
      <w:pPr>
        <w:pStyle w:val="Title"/>
      </w:pPr>
      <w:r>
        <w:t>NGUYỄN LONG NHẬT</w:t>
      </w:r>
    </w:p>
    <w:p w14:paraId="5088ECFF" w14:textId="26B7AE2B" w:rsidR="001670D8" w:rsidRDefault="00993362" w:rsidP="001670D8">
      <w:pPr>
        <w:pStyle w:val="Title"/>
      </w:pPr>
      <w:r w:rsidRPr="00FB712B">
        <w:t>T</w:t>
      </w:r>
      <w:r w:rsidR="00C34B8E">
        <w:t>HỰC</w:t>
      </w:r>
      <w:r w:rsidRPr="00FB712B">
        <w:t xml:space="preserve"> TRẠNG VÀ MỘT SỐ YẾU TỐ LIÊN QUAN</w:t>
      </w:r>
      <w:r w:rsidR="00025E29">
        <w:t xml:space="preserve"> </w:t>
      </w:r>
    </w:p>
    <w:p w14:paraId="784784CA" w14:textId="77777777" w:rsidR="001670D8" w:rsidRDefault="001D6F33" w:rsidP="001670D8">
      <w:pPr>
        <w:pStyle w:val="Title"/>
      </w:pPr>
      <w:r>
        <w:t xml:space="preserve">ĐẾN </w:t>
      </w:r>
      <w:r w:rsidRPr="00FB712B">
        <w:t>DINH DƯỠNG</w:t>
      </w:r>
      <w:r w:rsidR="00993362" w:rsidRPr="00FB712B">
        <w:t xml:space="preserve"> Ở BỆNH NHÂN LAO PHỔI MỚI </w:t>
      </w:r>
    </w:p>
    <w:p w14:paraId="210EC43A" w14:textId="2FF8D671" w:rsidR="00993362" w:rsidRPr="00FB712B" w:rsidRDefault="00993362" w:rsidP="001670D8">
      <w:pPr>
        <w:pStyle w:val="Title"/>
      </w:pPr>
      <w:r w:rsidRPr="00FB712B">
        <w:t>TẠI BỆNH VIỆN PHỔI HẢI PHÒNG NĂM 2021-2022</w:t>
      </w:r>
    </w:p>
    <w:p w14:paraId="4E8AA0CA" w14:textId="77777777" w:rsidR="00993362" w:rsidRPr="00FB712B" w:rsidRDefault="00993362" w:rsidP="00FB712B">
      <w:pPr>
        <w:pStyle w:val="Title"/>
      </w:pPr>
    </w:p>
    <w:p w14:paraId="3747364E" w14:textId="77777777" w:rsidR="00993362" w:rsidRPr="00FB712B" w:rsidRDefault="00993362" w:rsidP="00FB712B">
      <w:pPr>
        <w:pStyle w:val="Title"/>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26F43EE9" w14:textId="77777777" w:rsidR="00993362" w:rsidRPr="00FB712B" w:rsidRDefault="00993362" w:rsidP="00FB712B">
      <w:pPr>
        <w:pStyle w:val="Title"/>
      </w:pPr>
      <w:r w:rsidRPr="00FB712B">
        <w:t>HẢI PHÒNG - 2023</w:t>
      </w:r>
    </w:p>
    <w:p w14:paraId="5DD3CD55" w14:textId="77777777" w:rsidR="00993362" w:rsidRPr="00FB712B" w:rsidRDefault="00993362" w:rsidP="00FB712B">
      <w:pPr>
        <w:pStyle w:val="Title"/>
      </w:pPr>
    </w:p>
    <w:p w14:paraId="217915F0" w14:textId="77777777" w:rsidR="00993362" w:rsidRPr="00FB712B" w:rsidRDefault="00993362" w:rsidP="00FB712B">
      <w:pPr>
        <w:pStyle w:val="Title"/>
      </w:pPr>
    </w:p>
    <w:p w14:paraId="295198EE" w14:textId="77777777" w:rsidR="00015C87" w:rsidRDefault="00015C87" w:rsidP="00FB712B">
      <w:pPr>
        <w:pStyle w:val="Title"/>
      </w:pPr>
    </w:p>
    <w:p w14:paraId="3D4B6CC8" w14:textId="3A649BDB" w:rsidR="00993362" w:rsidRPr="00FB712B" w:rsidRDefault="00993362" w:rsidP="00FB712B">
      <w:pPr>
        <w:pStyle w:val="Title"/>
      </w:pPr>
      <w:r w:rsidRPr="00FB712B">
        <w:t>NGUYỄN LONG NHẬT</w:t>
      </w:r>
    </w:p>
    <w:p w14:paraId="11991145" w14:textId="77777777" w:rsidR="00993362" w:rsidRPr="000F7A41" w:rsidRDefault="00993362" w:rsidP="00C23165"/>
    <w:p w14:paraId="38384B06" w14:textId="77777777" w:rsidR="00993362" w:rsidRPr="005D14CF" w:rsidRDefault="00993362" w:rsidP="00C23165"/>
    <w:p w14:paraId="7DE236E5" w14:textId="1FE55EB6" w:rsidR="004B036F" w:rsidRDefault="004B036F" w:rsidP="004B036F">
      <w:pPr>
        <w:pStyle w:val="Title"/>
      </w:pPr>
      <w:r w:rsidRPr="00FB712B">
        <w:t>T</w:t>
      </w:r>
      <w:r w:rsidR="000623F8">
        <w:t>HỰC</w:t>
      </w:r>
      <w:r w:rsidRPr="00FB712B">
        <w:t xml:space="preserve"> TRẠNG VÀ MỘT SỐ YẾU TỐ LIÊN QUAN</w:t>
      </w:r>
      <w:r>
        <w:t xml:space="preserve"> </w:t>
      </w:r>
    </w:p>
    <w:p w14:paraId="6A60E773" w14:textId="77777777" w:rsidR="004B036F" w:rsidRDefault="004B036F" w:rsidP="004B036F">
      <w:pPr>
        <w:pStyle w:val="Title"/>
      </w:pPr>
      <w:r>
        <w:t xml:space="preserve">ĐẾN </w:t>
      </w:r>
      <w:r w:rsidRPr="00FB712B">
        <w:t xml:space="preserve">DINH DƯỠNG Ở BỆNH NHÂN LAO PHỔI MỚI </w:t>
      </w:r>
    </w:p>
    <w:p w14:paraId="229C1526" w14:textId="77777777" w:rsidR="004B036F" w:rsidRPr="00FB712B" w:rsidRDefault="004B036F" w:rsidP="004B036F">
      <w:pPr>
        <w:pStyle w:val="Title"/>
      </w:pPr>
      <w:r w:rsidRPr="00FB712B">
        <w:t>TẠI BỆNH VIỆN PHỔI HẢI PHÒNG NĂM 2021-2022</w:t>
      </w:r>
    </w:p>
    <w:p w14:paraId="22325396" w14:textId="77777777" w:rsidR="00993362" w:rsidRPr="000F7A41" w:rsidRDefault="00993362" w:rsidP="00FB712B">
      <w:pPr>
        <w:pStyle w:val="Title"/>
      </w:pPr>
    </w:p>
    <w:p w14:paraId="7FBD5E08" w14:textId="77777777"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45876870" w14:textId="77777777" w:rsidR="00993362" w:rsidRDefault="00993362" w:rsidP="00C23165"/>
    <w:p w14:paraId="76BE6CD9" w14:textId="3B204419" w:rsidR="00993362" w:rsidRPr="00FB712B" w:rsidRDefault="00993362" w:rsidP="00FB712B">
      <w:pPr>
        <w:pStyle w:val="Title"/>
      </w:pPr>
      <w:r>
        <w:tab/>
      </w:r>
      <w:r>
        <w:tab/>
      </w:r>
      <w:r>
        <w:tab/>
      </w:r>
      <w:r w:rsidRPr="00FB712B">
        <w:t>Người hướng dẫn: Ths.Bs</w:t>
      </w:r>
      <w:r w:rsidR="00643ED8">
        <w:t xml:space="preserve"> CKI</w:t>
      </w:r>
      <w:r w:rsidRPr="00FB712B">
        <w:t>. Nguyễn Thị Trang</w:t>
      </w:r>
    </w:p>
    <w:p w14:paraId="0262AAB6" w14:textId="77777777" w:rsidR="00993362" w:rsidRPr="000F7A41" w:rsidRDefault="00993362" w:rsidP="00C23165"/>
    <w:p w14:paraId="6D4BC908" w14:textId="77777777" w:rsidR="00993362" w:rsidRDefault="00993362" w:rsidP="00F3662E">
      <w:pPr>
        <w:ind w:firstLine="0"/>
      </w:pPr>
    </w:p>
    <w:p w14:paraId="42F6DB45" w14:textId="10989E6F" w:rsidR="00DF5CC3" w:rsidRPr="00D50266" w:rsidRDefault="00993362" w:rsidP="00DF5CC3">
      <w:pPr>
        <w:pStyle w:val="Title"/>
        <w:sectPr w:rsidR="00DF5CC3" w:rsidRPr="00D50266" w:rsidSect="000B188C">
          <w:footerReference w:type="first" r:id="rId10"/>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r w:rsidRPr="001235D2">
        <w:t>HẢI PHÒNG - 2023</w:t>
      </w:r>
    </w:p>
    <w:p w14:paraId="1346C36E" w14:textId="0A184DAA"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lastRenderedPageBreak/>
        <w:t>LỜI CẢM ƠN</w:t>
      </w:r>
      <w:bookmarkEnd w:id="0"/>
      <w:bookmarkEnd w:id="1"/>
      <w:bookmarkEnd w:id="2"/>
      <w:bookmarkEnd w:id="3"/>
    </w:p>
    <w:p w14:paraId="2914F2E5" w14:textId="5CFA434B" w:rsidR="00993362" w:rsidRPr="006B2671" w:rsidRDefault="00993362" w:rsidP="00C23165">
      <w:r w:rsidRPr="006B2671">
        <w:t>Để hoàn thành luận văn này, cho phép tôi được bày tỏ lòng biết ơn chân thành tới:</w:t>
      </w:r>
    </w:p>
    <w:p w14:paraId="23B6F4AA" w14:textId="3EFD32C7" w:rsidR="00993362" w:rsidRPr="006B2671" w:rsidRDefault="00993362" w:rsidP="00C23165">
      <w:r w:rsidRPr="006B2671">
        <w:t>Đảng ủy, Ban giám hiệu, phòng Đào tạo Đại học, Bộ môn Lao và Bệnh phổi Trường Đại học Y Dược Hải Phòng đã tạo mọi điều kiện thuận lợi cho tôi trong quá trình học tập, nghiên cứu và hoàn thành khóa luận.</w:t>
      </w:r>
    </w:p>
    <w:p w14:paraId="3CD4DD73" w14:textId="1291CCFE" w:rsidR="00993362" w:rsidRPr="006B2671" w:rsidRDefault="00993362" w:rsidP="00C23165">
      <w:r w:rsidRPr="006B2671">
        <w:t>Ban Giám đốc, Phòng Kế hoạch tổng hợp, phòng hồ sơ lưu trữ, Bệnh viện Phổi Hải Phòng đã tạo điều kiện giúp đỡ tôi trong thời gian học tập và thực hiện đề tài nghiên cứu của mình.</w:t>
      </w:r>
    </w:p>
    <w:p w14:paraId="6229A456" w14:textId="77777777" w:rsidR="004C3C72" w:rsidRDefault="00993362" w:rsidP="004C3C72">
      <w:r w:rsidRPr="006B2671">
        <w:t>Tôi xin cảm ơn các thầy cô giáo trong Bộ môn Lao và Bệnh phổi Trường đại học Y Dược Hải Phòng, những người thầy đã ân cần chỉ bảo tôi, cung cấp cho tôi nhiều kiến thức quý báu, giúp đỡ tôi hoàn thành khóa luận này.</w:t>
      </w:r>
    </w:p>
    <w:p w14:paraId="7A7346F5" w14:textId="55356D5F" w:rsidR="004C3C72" w:rsidRDefault="00993362" w:rsidP="00372C8E">
      <w:r w:rsidRPr="006B2671">
        <w:t>Tôi xin được bày tỏ lòng biết ơn sâu sắc đến Ths.Bs</w:t>
      </w:r>
      <w:r w:rsidR="00365A7E">
        <w:t xml:space="preserve"> CKI</w:t>
      </w:r>
      <w:r w:rsidRPr="006B2671">
        <w:t xml:space="preserve">. Nguyễn Thị Trang, giảng viên bộ môn Lao và Bệnh phổi Trường đại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27D742D3" w14:textId="3801185F" w:rsidR="00993362" w:rsidRPr="006B2671" w:rsidRDefault="00993362" w:rsidP="004C3C72">
      <w:r w:rsidRPr="006B2671">
        <w:t xml:space="preserve">Cuối cùng, xin gửi lời cảm ơn đến quý thầy cô, gia đình, bạn bè đã động viên </w:t>
      </w:r>
      <w:r w:rsidR="00553FDE">
        <w:t>và</w:t>
      </w:r>
      <w:r w:rsidRPr="006B2671">
        <w:t xml:space="preserve">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77777777" w:rsidR="00DB32E2" w:rsidRPr="00DB32E2" w:rsidRDefault="00DB32E2" w:rsidP="00DB32E2">
            <w:pPr>
              <w:jc w:val="center"/>
              <w:rPr>
                <w:szCs w:val="28"/>
              </w:rPr>
            </w:pPr>
            <w:r w:rsidRPr="00DB32E2">
              <w:rPr>
                <w:szCs w:val="28"/>
              </w:rPr>
              <w:t>Hải Phòng, ngày 31 tháng 05 năm 2023</w:t>
            </w:r>
          </w:p>
          <w:p w14:paraId="1DBF57F0" w14:textId="77777777" w:rsidR="00DB32E2" w:rsidRDefault="00DB32E2" w:rsidP="00DB32E2">
            <w:pPr>
              <w:jc w:val="center"/>
              <w:rPr>
                <w:szCs w:val="28"/>
              </w:rPr>
            </w:pPr>
            <w:r w:rsidRPr="00DB32E2">
              <w:rPr>
                <w:szCs w:val="28"/>
              </w:rPr>
              <w:t>Sinh viên</w:t>
            </w:r>
          </w:p>
          <w:p w14:paraId="2C1A34D1" w14:textId="77777777" w:rsidR="00AB3F0D" w:rsidRPr="00DB32E2" w:rsidRDefault="00AB3F0D" w:rsidP="00DB32E2">
            <w:pPr>
              <w:jc w:val="center"/>
              <w:rPr>
                <w:szCs w:val="28"/>
              </w:rPr>
            </w:pPr>
          </w:p>
          <w:p w14:paraId="09C46C92" w14:textId="5C2A139A" w:rsidR="00DB32E2" w:rsidRPr="007A08C5" w:rsidRDefault="00DB32E2" w:rsidP="007A08C5">
            <w:pPr>
              <w:jc w:val="center"/>
              <w:rPr>
                <w:szCs w:val="28"/>
              </w:rPr>
            </w:pPr>
            <w:r w:rsidRPr="00DB32E2">
              <w:rPr>
                <w:szCs w:val="28"/>
              </w:rPr>
              <w:t>Nguyễn Long Nhậ</w:t>
            </w:r>
            <w:r w:rsidR="007A08C5">
              <w:rPr>
                <w:szCs w:val="28"/>
              </w:rPr>
              <w:t>t</w:t>
            </w:r>
          </w:p>
        </w:tc>
      </w:tr>
    </w:tbl>
    <w:p w14:paraId="2BE04F31" w14:textId="77777777" w:rsidR="00AB3F0D" w:rsidRDefault="00AB3F0D" w:rsidP="00C35F08">
      <w:pPr>
        <w:jc w:val="center"/>
        <w:rPr>
          <w:b/>
          <w:bCs/>
          <w:lang w:val="pt-BR"/>
        </w:rPr>
      </w:pPr>
    </w:p>
    <w:p w14:paraId="67DABC72" w14:textId="2AD1B3B8" w:rsidR="00993362" w:rsidRPr="00C35F08" w:rsidRDefault="00AB3F0D" w:rsidP="00AB3F0D">
      <w:pPr>
        <w:jc w:val="center"/>
        <w:rPr>
          <w:b/>
          <w:bCs/>
          <w:lang w:val="pt-BR"/>
        </w:rPr>
      </w:pPr>
      <w:r>
        <w:rPr>
          <w:b/>
          <w:bCs/>
          <w:lang w:val="pt-BR"/>
        </w:rPr>
        <w:br w:type="page"/>
      </w:r>
      <w:r w:rsidR="00993362" w:rsidRPr="00C35F08">
        <w:rPr>
          <w:b/>
          <w:bCs/>
          <w:lang w:val="pt-BR"/>
        </w:rPr>
        <w:lastRenderedPageBreak/>
        <w:t>LỜI CAM ĐOAN</w:t>
      </w:r>
      <w:bookmarkEnd w:id="4"/>
      <w:bookmarkEnd w:id="5"/>
      <w:bookmarkEnd w:id="6"/>
      <w:bookmarkEnd w:id="7"/>
      <w:bookmarkEnd w:id="8"/>
      <w:bookmarkEnd w:id="9"/>
    </w:p>
    <w:p w14:paraId="4D7C4BBD" w14:textId="1E2D31EC" w:rsidR="00993362" w:rsidRPr="006B2671" w:rsidRDefault="00993362" w:rsidP="00C23165">
      <w:pPr>
        <w:rPr>
          <w:lang w:val="pt-BR"/>
        </w:rPr>
      </w:pPr>
      <w:r>
        <w:rPr>
          <w:lang w:val="pt-BR"/>
        </w:rPr>
        <w:t>Tôi là Nguyễn Long Nhật, sinh viên lớp</w:t>
      </w:r>
      <w:r w:rsidR="00222CA0">
        <w:rPr>
          <w:lang w:val="pt-BR"/>
        </w:rPr>
        <w:t xml:space="preserve"> y đa khoa</w:t>
      </w:r>
      <w:r>
        <w:rPr>
          <w:lang w:val="pt-BR"/>
        </w:rPr>
        <w:t xml:space="preserve"> K39C</w:t>
      </w:r>
      <w:r w:rsidRPr="006B2671">
        <w:rPr>
          <w:lang w:val="pt-BR"/>
        </w:rPr>
        <w:t>, Trường đại học Y Dược Hải Phòng, xin cam đoan:</w:t>
      </w:r>
    </w:p>
    <w:p w14:paraId="347261D6" w14:textId="3CF5F921" w:rsidR="00993362" w:rsidRPr="006B2671" w:rsidRDefault="00993362" w:rsidP="00C23165">
      <w:pPr>
        <w:rPr>
          <w:lang w:val="pt-BR"/>
        </w:rPr>
      </w:pPr>
      <w:r w:rsidRPr="006B2671">
        <w:rPr>
          <w:lang w:val="pt-BR"/>
        </w:rPr>
        <w:t>Đây là khoá luận do bản thân tôi trực tiếp thực hiện dưới sự hướng dẫn khoa học của Ths.Bs</w:t>
      </w:r>
      <w:r w:rsidR="006E76B3">
        <w:rPr>
          <w:lang w:val="pt-BR"/>
        </w:rPr>
        <w:t xml:space="preserve"> CKI</w:t>
      </w:r>
      <w:r w:rsidRPr="006B2671">
        <w:rPr>
          <w:lang w:val="pt-BR"/>
        </w:rPr>
        <w:t>.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rPr>
                <w:lang w:val="pt-BR"/>
              </w:rPr>
            </w:pPr>
          </w:p>
        </w:tc>
        <w:tc>
          <w:tcPr>
            <w:tcW w:w="5606" w:type="dxa"/>
          </w:tcPr>
          <w:p w14:paraId="406DC053" w14:textId="77777777" w:rsidR="00E81B92" w:rsidRDefault="00E81B92" w:rsidP="007650FD">
            <w:pPr>
              <w:jc w:val="center"/>
              <w:rPr>
                <w:szCs w:val="28"/>
              </w:rPr>
            </w:pPr>
          </w:p>
          <w:p w14:paraId="42CC10C5" w14:textId="7DFF2650" w:rsidR="00A67C9F" w:rsidRPr="00DB32E2" w:rsidRDefault="00A67C9F" w:rsidP="007650FD">
            <w:pPr>
              <w:jc w:val="center"/>
              <w:rPr>
                <w:szCs w:val="28"/>
              </w:rPr>
            </w:pPr>
            <w:r w:rsidRPr="00DB32E2">
              <w:rPr>
                <w:szCs w:val="28"/>
              </w:rPr>
              <w:t>Hải Phòng, ngày 31 tháng 05 năm 2023</w:t>
            </w:r>
          </w:p>
          <w:p w14:paraId="29AC3002" w14:textId="77777777" w:rsidR="00A67C9F" w:rsidRPr="00DB32E2" w:rsidRDefault="00A67C9F" w:rsidP="007650FD">
            <w:pPr>
              <w:jc w:val="center"/>
              <w:rPr>
                <w:szCs w:val="28"/>
              </w:rPr>
            </w:pPr>
            <w:r w:rsidRPr="00DB32E2">
              <w:rPr>
                <w:szCs w:val="28"/>
              </w:rPr>
              <w:t>Sinh viên</w:t>
            </w:r>
          </w:p>
          <w:p w14:paraId="4DBA796B" w14:textId="77777777" w:rsidR="00A67C9F" w:rsidRPr="00DB32E2" w:rsidRDefault="00A67C9F" w:rsidP="007650FD">
            <w:pPr>
              <w:jc w:val="center"/>
              <w:rPr>
                <w:szCs w:val="28"/>
              </w:rPr>
            </w:pPr>
          </w:p>
          <w:p w14:paraId="05D0DCA9" w14:textId="77777777" w:rsidR="00A67C9F" w:rsidRPr="00DB32E2" w:rsidRDefault="00A67C9F" w:rsidP="007650FD">
            <w:pPr>
              <w:jc w:val="center"/>
              <w:rPr>
                <w:szCs w:val="28"/>
              </w:rPr>
            </w:pPr>
            <w:r w:rsidRPr="00DB32E2">
              <w:rPr>
                <w:szCs w:val="28"/>
              </w:rPr>
              <w:t>Nguyễn Long Nhật</w:t>
            </w:r>
          </w:p>
          <w:p w14:paraId="38ADEA41" w14:textId="77777777" w:rsidR="00A67C9F" w:rsidRDefault="00A67C9F" w:rsidP="007650FD">
            <w:pPr>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59BDEBE8" w14:textId="3DB3D5C3" w:rsidR="00101135" w:rsidRPr="00543D6A" w:rsidRDefault="00000000" w:rsidP="00ED40D6">
      <w:pPr>
        <w:jc w:val="center"/>
        <w:rPr>
          <w:rFonts w:eastAsia="Calibri"/>
          <w:b/>
          <w:bCs/>
        </w:rPr>
      </w:pPr>
      <w:r w:rsidRPr="00543D6A">
        <w:rPr>
          <w:rFonts w:eastAsia="Calibri"/>
          <w:b/>
          <w:bCs/>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2EB47B46" w:rsidR="001E5937" w:rsidRDefault="001E5937" w:rsidP="00ED40D6">
          <w:pPr>
            <w:pStyle w:val="TOCHeading"/>
            <w:numPr>
              <w:ilvl w:val="0"/>
              <w:numId w:val="0"/>
            </w:numPr>
            <w:jc w:val="both"/>
          </w:pPr>
        </w:p>
        <w:p w14:paraId="5E77B270" w14:textId="0550E236" w:rsidR="000E7B03" w:rsidRDefault="00C17AD7">
          <w:pPr>
            <w:pStyle w:val="TOC1"/>
            <w:rPr>
              <w:rFonts w:asciiTheme="minorHAnsi" w:eastAsiaTheme="minorEastAsia" w:hAnsiTheme="minorHAnsi" w:cstheme="minorBidi"/>
              <w:color w:val="auto"/>
              <w:sz w:val="22"/>
              <w:szCs w:val="22"/>
              <w:lang w:val="vi-VN" w:eastAsia="vi-VN"/>
            </w:rPr>
          </w:pPr>
          <w:r>
            <w:fldChar w:fldCharType="begin"/>
          </w:r>
          <w:r>
            <w:instrText xml:space="preserve"> TOC \o "1-2" \h \z \u </w:instrText>
          </w:r>
          <w:r>
            <w:fldChar w:fldCharType="separate"/>
          </w:r>
          <w:hyperlink w:anchor="_Toc133590769" w:history="1">
            <w:r w:rsidR="000E7B03" w:rsidRPr="00B36620">
              <w:rPr>
                <w:rStyle w:val="Hyperlink"/>
              </w:rPr>
              <w:t>ĐẶT VẤN ĐỀ</w:t>
            </w:r>
            <w:r w:rsidR="000E7B03">
              <w:rPr>
                <w:webHidden/>
              </w:rPr>
              <w:tab/>
            </w:r>
            <w:r w:rsidR="000E7B03">
              <w:rPr>
                <w:webHidden/>
              </w:rPr>
              <w:fldChar w:fldCharType="begin"/>
            </w:r>
            <w:r w:rsidR="000E7B03">
              <w:rPr>
                <w:webHidden/>
              </w:rPr>
              <w:instrText xml:space="preserve"> PAGEREF _Toc133590769 \h </w:instrText>
            </w:r>
            <w:r w:rsidR="000E7B03">
              <w:rPr>
                <w:webHidden/>
              </w:rPr>
            </w:r>
            <w:r w:rsidR="000E7B03">
              <w:rPr>
                <w:webHidden/>
              </w:rPr>
              <w:fldChar w:fldCharType="separate"/>
            </w:r>
            <w:r w:rsidR="000E7B03">
              <w:rPr>
                <w:webHidden/>
              </w:rPr>
              <w:t>1</w:t>
            </w:r>
            <w:r w:rsidR="000E7B03">
              <w:rPr>
                <w:webHidden/>
              </w:rPr>
              <w:fldChar w:fldCharType="end"/>
            </w:r>
          </w:hyperlink>
        </w:p>
        <w:p w14:paraId="31056C13" w14:textId="5D4EA002" w:rsidR="000E7B03" w:rsidRDefault="000E7B03">
          <w:pPr>
            <w:pStyle w:val="TOC1"/>
            <w:rPr>
              <w:rFonts w:asciiTheme="minorHAnsi" w:eastAsiaTheme="minorEastAsia" w:hAnsiTheme="minorHAnsi" w:cstheme="minorBidi"/>
              <w:color w:val="auto"/>
              <w:sz w:val="22"/>
              <w:szCs w:val="22"/>
              <w:lang w:val="vi-VN" w:eastAsia="vi-VN"/>
            </w:rPr>
          </w:pPr>
          <w:hyperlink w:anchor="_Toc133590770" w:history="1">
            <w:r w:rsidRPr="00B36620">
              <w:rPr>
                <w:rStyle w:val="Hyperlink"/>
              </w:rPr>
              <w:t>Chương 1 – TỔNG QUAN</w:t>
            </w:r>
            <w:r>
              <w:rPr>
                <w:webHidden/>
              </w:rPr>
              <w:tab/>
            </w:r>
            <w:r>
              <w:rPr>
                <w:webHidden/>
              </w:rPr>
              <w:fldChar w:fldCharType="begin"/>
            </w:r>
            <w:r>
              <w:rPr>
                <w:webHidden/>
              </w:rPr>
              <w:instrText xml:space="preserve"> PAGEREF _Toc133590770 \h </w:instrText>
            </w:r>
            <w:r>
              <w:rPr>
                <w:webHidden/>
              </w:rPr>
            </w:r>
            <w:r>
              <w:rPr>
                <w:webHidden/>
              </w:rPr>
              <w:fldChar w:fldCharType="separate"/>
            </w:r>
            <w:r>
              <w:rPr>
                <w:webHidden/>
              </w:rPr>
              <w:t>3</w:t>
            </w:r>
            <w:r>
              <w:rPr>
                <w:webHidden/>
              </w:rPr>
              <w:fldChar w:fldCharType="end"/>
            </w:r>
          </w:hyperlink>
        </w:p>
        <w:p w14:paraId="380FD245" w14:textId="67DEBD14" w:rsidR="000E7B03" w:rsidRDefault="000E7B03">
          <w:pPr>
            <w:pStyle w:val="TOC2"/>
            <w:rPr>
              <w:rFonts w:asciiTheme="minorHAnsi" w:eastAsiaTheme="minorEastAsia" w:hAnsiTheme="minorHAnsi" w:cstheme="minorBidi"/>
              <w:color w:val="auto"/>
              <w:sz w:val="22"/>
              <w:szCs w:val="22"/>
              <w:lang w:val="vi-VN" w:eastAsia="vi-VN"/>
            </w:rPr>
          </w:pPr>
          <w:hyperlink w:anchor="_Toc133590771" w:history="1">
            <w:r w:rsidRPr="00B36620">
              <w:rPr>
                <w:rStyle w:val="Hyperlink"/>
              </w:rPr>
              <w:t>1.1. Tình hình mắc lao hiện nay</w:t>
            </w:r>
            <w:r>
              <w:rPr>
                <w:webHidden/>
              </w:rPr>
              <w:tab/>
            </w:r>
            <w:r>
              <w:rPr>
                <w:webHidden/>
              </w:rPr>
              <w:fldChar w:fldCharType="begin"/>
            </w:r>
            <w:r>
              <w:rPr>
                <w:webHidden/>
              </w:rPr>
              <w:instrText xml:space="preserve"> PAGEREF _Toc133590771 \h </w:instrText>
            </w:r>
            <w:r>
              <w:rPr>
                <w:webHidden/>
              </w:rPr>
            </w:r>
            <w:r>
              <w:rPr>
                <w:webHidden/>
              </w:rPr>
              <w:fldChar w:fldCharType="separate"/>
            </w:r>
            <w:r>
              <w:rPr>
                <w:webHidden/>
              </w:rPr>
              <w:t>3</w:t>
            </w:r>
            <w:r>
              <w:rPr>
                <w:webHidden/>
              </w:rPr>
              <w:fldChar w:fldCharType="end"/>
            </w:r>
          </w:hyperlink>
        </w:p>
        <w:p w14:paraId="520271D7" w14:textId="5B83F6D3" w:rsidR="000E7B03" w:rsidRDefault="000E7B03">
          <w:pPr>
            <w:pStyle w:val="TOC2"/>
            <w:rPr>
              <w:rFonts w:asciiTheme="minorHAnsi" w:eastAsiaTheme="minorEastAsia" w:hAnsiTheme="minorHAnsi" w:cstheme="minorBidi"/>
              <w:color w:val="auto"/>
              <w:sz w:val="22"/>
              <w:szCs w:val="22"/>
              <w:lang w:val="vi-VN" w:eastAsia="vi-VN"/>
            </w:rPr>
          </w:pPr>
          <w:hyperlink w:anchor="_Toc133590772" w:history="1">
            <w:r w:rsidRPr="00B36620">
              <w:rPr>
                <w:rStyle w:val="Hyperlink"/>
              </w:rPr>
              <w:t>1.2. Một số hiểu biết về bệnh lao phổi</w:t>
            </w:r>
            <w:r>
              <w:rPr>
                <w:webHidden/>
              </w:rPr>
              <w:tab/>
            </w:r>
            <w:r>
              <w:rPr>
                <w:webHidden/>
              </w:rPr>
              <w:fldChar w:fldCharType="begin"/>
            </w:r>
            <w:r>
              <w:rPr>
                <w:webHidden/>
              </w:rPr>
              <w:instrText xml:space="preserve"> PAGEREF _Toc133590772 \h </w:instrText>
            </w:r>
            <w:r>
              <w:rPr>
                <w:webHidden/>
              </w:rPr>
            </w:r>
            <w:r>
              <w:rPr>
                <w:webHidden/>
              </w:rPr>
              <w:fldChar w:fldCharType="separate"/>
            </w:r>
            <w:r>
              <w:rPr>
                <w:webHidden/>
              </w:rPr>
              <w:t>5</w:t>
            </w:r>
            <w:r>
              <w:rPr>
                <w:webHidden/>
              </w:rPr>
              <w:fldChar w:fldCharType="end"/>
            </w:r>
          </w:hyperlink>
        </w:p>
        <w:p w14:paraId="42D6179A" w14:textId="75DF8198" w:rsidR="000E7B03" w:rsidRDefault="000E7B03">
          <w:pPr>
            <w:pStyle w:val="TOC2"/>
            <w:rPr>
              <w:rFonts w:asciiTheme="minorHAnsi" w:eastAsiaTheme="minorEastAsia" w:hAnsiTheme="minorHAnsi" w:cstheme="minorBidi"/>
              <w:color w:val="auto"/>
              <w:sz w:val="22"/>
              <w:szCs w:val="22"/>
              <w:lang w:val="vi-VN" w:eastAsia="vi-VN"/>
            </w:rPr>
          </w:pPr>
          <w:hyperlink w:anchor="_Toc133590773" w:history="1">
            <w:r w:rsidRPr="00B36620">
              <w:rPr>
                <w:rStyle w:val="Hyperlink"/>
              </w:rPr>
              <w:t>1.3. Dinh dưỡng bệnh nhân lao phổi</w:t>
            </w:r>
            <w:r>
              <w:rPr>
                <w:webHidden/>
              </w:rPr>
              <w:tab/>
            </w:r>
            <w:r>
              <w:rPr>
                <w:webHidden/>
              </w:rPr>
              <w:fldChar w:fldCharType="begin"/>
            </w:r>
            <w:r>
              <w:rPr>
                <w:webHidden/>
              </w:rPr>
              <w:instrText xml:space="preserve"> PAGEREF _Toc133590773 \h </w:instrText>
            </w:r>
            <w:r>
              <w:rPr>
                <w:webHidden/>
              </w:rPr>
            </w:r>
            <w:r>
              <w:rPr>
                <w:webHidden/>
              </w:rPr>
              <w:fldChar w:fldCharType="separate"/>
            </w:r>
            <w:r>
              <w:rPr>
                <w:webHidden/>
              </w:rPr>
              <w:t>15</w:t>
            </w:r>
            <w:r>
              <w:rPr>
                <w:webHidden/>
              </w:rPr>
              <w:fldChar w:fldCharType="end"/>
            </w:r>
          </w:hyperlink>
        </w:p>
        <w:p w14:paraId="2A544843" w14:textId="1484F8B5" w:rsidR="000E7B03" w:rsidRDefault="000E7B03">
          <w:pPr>
            <w:pStyle w:val="TOC2"/>
            <w:rPr>
              <w:rFonts w:asciiTheme="minorHAnsi" w:eastAsiaTheme="minorEastAsia" w:hAnsiTheme="minorHAnsi" w:cstheme="minorBidi"/>
              <w:color w:val="auto"/>
              <w:sz w:val="22"/>
              <w:szCs w:val="22"/>
              <w:lang w:val="vi-VN" w:eastAsia="vi-VN"/>
            </w:rPr>
          </w:pPr>
          <w:hyperlink w:anchor="_Toc133590774" w:history="1">
            <w:r w:rsidRPr="00B36620">
              <w:rPr>
                <w:rStyle w:val="Hyperlink"/>
              </w:rPr>
              <w:t>1.4. Phương pháp đánh giá tình trạng dinh dưỡng của bệnh nhân</w:t>
            </w:r>
            <w:r>
              <w:rPr>
                <w:webHidden/>
              </w:rPr>
              <w:tab/>
            </w:r>
            <w:r>
              <w:rPr>
                <w:webHidden/>
              </w:rPr>
              <w:fldChar w:fldCharType="begin"/>
            </w:r>
            <w:r>
              <w:rPr>
                <w:webHidden/>
              </w:rPr>
              <w:instrText xml:space="preserve"> PAGEREF _Toc133590774 \h </w:instrText>
            </w:r>
            <w:r>
              <w:rPr>
                <w:webHidden/>
              </w:rPr>
            </w:r>
            <w:r>
              <w:rPr>
                <w:webHidden/>
              </w:rPr>
              <w:fldChar w:fldCharType="separate"/>
            </w:r>
            <w:r>
              <w:rPr>
                <w:webHidden/>
              </w:rPr>
              <w:t>16</w:t>
            </w:r>
            <w:r>
              <w:rPr>
                <w:webHidden/>
              </w:rPr>
              <w:fldChar w:fldCharType="end"/>
            </w:r>
          </w:hyperlink>
        </w:p>
        <w:p w14:paraId="7E64F998" w14:textId="5F47F4AE" w:rsidR="000E7B03" w:rsidRDefault="000E7B03">
          <w:pPr>
            <w:pStyle w:val="TOC1"/>
            <w:rPr>
              <w:rFonts w:asciiTheme="minorHAnsi" w:eastAsiaTheme="minorEastAsia" w:hAnsiTheme="minorHAnsi" w:cstheme="minorBidi"/>
              <w:color w:val="auto"/>
              <w:sz w:val="22"/>
              <w:szCs w:val="22"/>
              <w:lang w:val="vi-VN" w:eastAsia="vi-VN"/>
            </w:rPr>
          </w:pPr>
          <w:hyperlink w:anchor="_Toc133590775" w:history="1">
            <w:r w:rsidRPr="00B36620">
              <w:rPr>
                <w:rStyle w:val="Hyperlink"/>
              </w:rPr>
              <w:t>Chương 2 - ĐỐI TƯỢNG VÀ PHƯƠNG PHÁP NGHIÊN CỨU</w:t>
            </w:r>
            <w:r>
              <w:rPr>
                <w:webHidden/>
              </w:rPr>
              <w:tab/>
            </w:r>
            <w:r>
              <w:rPr>
                <w:webHidden/>
              </w:rPr>
              <w:fldChar w:fldCharType="begin"/>
            </w:r>
            <w:r>
              <w:rPr>
                <w:webHidden/>
              </w:rPr>
              <w:instrText xml:space="preserve"> PAGEREF _Toc133590775 \h </w:instrText>
            </w:r>
            <w:r>
              <w:rPr>
                <w:webHidden/>
              </w:rPr>
            </w:r>
            <w:r>
              <w:rPr>
                <w:webHidden/>
              </w:rPr>
              <w:fldChar w:fldCharType="separate"/>
            </w:r>
            <w:r>
              <w:rPr>
                <w:webHidden/>
              </w:rPr>
              <w:t>21</w:t>
            </w:r>
            <w:r>
              <w:rPr>
                <w:webHidden/>
              </w:rPr>
              <w:fldChar w:fldCharType="end"/>
            </w:r>
          </w:hyperlink>
        </w:p>
        <w:p w14:paraId="02C83276" w14:textId="255B5961" w:rsidR="000E7B03" w:rsidRDefault="000E7B03">
          <w:pPr>
            <w:pStyle w:val="TOC2"/>
            <w:rPr>
              <w:rFonts w:asciiTheme="minorHAnsi" w:eastAsiaTheme="minorEastAsia" w:hAnsiTheme="minorHAnsi" w:cstheme="minorBidi"/>
              <w:color w:val="auto"/>
              <w:sz w:val="22"/>
              <w:szCs w:val="22"/>
              <w:lang w:val="vi-VN" w:eastAsia="vi-VN"/>
            </w:rPr>
          </w:pPr>
          <w:hyperlink w:anchor="_Toc133590776" w:history="1">
            <w:r w:rsidRPr="00B36620">
              <w:rPr>
                <w:rStyle w:val="Hyperlink"/>
              </w:rPr>
              <w:t>2.1. Đối tượng, thời gian và địa điểm nghiên cứu</w:t>
            </w:r>
            <w:r>
              <w:rPr>
                <w:webHidden/>
              </w:rPr>
              <w:tab/>
            </w:r>
            <w:r>
              <w:rPr>
                <w:webHidden/>
              </w:rPr>
              <w:fldChar w:fldCharType="begin"/>
            </w:r>
            <w:r>
              <w:rPr>
                <w:webHidden/>
              </w:rPr>
              <w:instrText xml:space="preserve"> PAGEREF _Toc133590776 \h </w:instrText>
            </w:r>
            <w:r>
              <w:rPr>
                <w:webHidden/>
              </w:rPr>
            </w:r>
            <w:r>
              <w:rPr>
                <w:webHidden/>
              </w:rPr>
              <w:fldChar w:fldCharType="separate"/>
            </w:r>
            <w:r>
              <w:rPr>
                <w:webHidden/>
              </w:rPr>
              <w:t>21</w:t>
            </w:r>
            <w:r>
              <w:rPr>
                <w:webHidden/>
              </w:rPr>
              <w:fldChar w:fldCharType="end"/>
            </w:r>
          </w:hyperlink>
        </w:p>
        <w:p w14:paraId="55447E41" w14:textId="1A344D02" w:rsidR="000E7B03" w:rsidRDefault="000E7B03">
          <w:pPr>
            <w:pStyle w:val="TOC2"/>
            <w:rPr>
              <w:rFonts w:asciiTheme="minorHAnsi" w:eastAsiaTheme="minorEastAsia" w:hAnsiTheme="minorHAnsi" w:cstheme="minorBidi"/>
              <w:color w:val="auto"/>
              <w:sz w:val="22"/>
              <w:szCs w:val="22"/>
              <w:lang w:val="vi-VN" w:eastAsia="vi-VN"/>
            </w:rPr>
          </w:pPr>
          <w:hyperlink w:anchor="_Toc133590777" w:history="1">
            <w:r w:rsidRPr="00B36620">
              <w:rPr>
                <w:rStyle w:val="Hyperlink"/>
              </w:rPr>
              <w:t>2.2. Phương pháp nghiên cứu</w:t>
            </w:r>
            <w:r>
              <w:rPr>
                <w:webHidden/>
              </w:rPr>
              <w:tab/>
            </w:r>
            <w:r>
              <w:rPr>
                <w:webHidden/>
              </w:rPr>
              <w:fldChar w:fldCharType="begin"/>
            </w:r>
            <w:r>
              <w:rPr>
                <w:webHidden/>
              </w:rPr>
              <w:instrText xml:space="preserve"> PAGEREF _Toc133590777 \h </w:instrText>
            </w:r>
            <w:r>
              <w:rPr>
                <w:webHidden/>
              </w:rPr>
            </w:r>
            <w:r>
              <w:rPr>
                <w:webHidden/>
              </w:rPr>
              <w:fldChar w:fldCharType="separate"/>
            </w:r>
            <w:r>
              <w:rPr>
                <w:webHidden/>
              </w:rPr>
              <w:t>23</w:t>
            </w:r>
            <w:r>
              <w:rPr>
                <w:webHidden/>
              </w:rPr>
              <w:fldChar w:fldCharType="end"/>
            </w:r>
          </w:hyperlink>
        </w:p>
        <w:p w14:paraId="3FAC75F5" w14:textId="11711BD9" w:rsidR="000E7B03" w:rsidRDefault="000E7B03">
          <w:pPr>
            <w:pStyle w:val="TOC1"/>
            <w:rPr>
              <w:rFonts w:asciiTheme="minorHAnsi" w:eastAsiaTheme="minorEastAsia" w:hAnsiTheme="minorHAnsi" w:cstheme="minorBidi"/>
              <w:color w:val="auto"/>
              <w:sz w:val="22"/>
              <w:szCs w:val="22"/>
              <w:lang w:val="vi-VN" w:eastAsia="vi-VN"/>
            </w:rPr>
          </w:pPr>
          <w:hyperlink w:anchor="_Toc133590778" w:history="1">
            <w:r w:rsidRPr="00B36620">
              <w:rPr>
                <w:rStyle w:val="Hyperlink"/>
              </w:rPr>
              <w:t>Chương 3 – KẾT QUẢ</w:t>
            </w:r>
            <w:r>
              <w:rPr>
                <w:webHidden/>
              </w:rPr>
              <w:tab/>
            </w:r>
            <w:r>
              <w:rPr>
                <w:webHidden/>
              </w:rPr>
              <w:fldChar w:fldCharType="begin"/>
            </w:r>
            <w:r>
              <w:rPr>
                <w:webHidden/>
              </w:rPr>
              <w:instrText xml:space="preserve"> PAGEREF _Toc133590778 \h </w:instrText>
            </w:r>
            <w:r>
              <w:rPr>
                <w:webHidden/>
              </w:rPr>
            </w:r>
            <w:r>
              <w:rPr>
                <w:webHidden/>
              </w:rPr>
              <w:fldChar w:fldCharType="separate"/>
            </w:r>
            <w:r>
              <w:rPr>
                <w:webHidden/>
              </w:rPr>
              <w:t>29</w:t>
            </w:r>
            <w:r>
              <w:rPr>
                <w:webHidden/>
              </w:rPr>
              <w:fldChar w:fldCharType="end"/>
            </w:r>
          </w:hyperlink>
        </w:p>
        <w:p w14:paraId="56360986" w14:textId="44A341AE" w:rsidR="000E7B03" w:rsidRDefault="000E7B03">
          <w:pPr>
            <w:pStyle w:val="TOC2"/>
            <w:rPr>
              <w:rFonts w:asciiTheme="minorHAnsi" w:eastAsiaTheme="minorEastAsia" w:hAnsiTheme="minorHAnsi" w:cstheme="minorBidi"/>
              <w:color w:val="auto"/>
              <w:sz w:val="22"/>
              <w:szCs w:val="22"/>
              <w:lang w:val="vi-VN" w:eastAsia="vi-VN"/>
            </w:rPr>
          </w:pPr>
          <w:hyperlink w:anchor="_Toc133590779" w:history="1">
            <w:r w:rsidRPr="00B36620">
              <w:rPr>
                <w:rStyle w:val="Hyperlink"/>
              </w:rPr>
              <w:t>3.1. Đặc điểm chung của đối tượng nghiên cứu</w:t>
            </w:r>
            <w:r>
              <w:rPr>
                <w:webHidden/>
              </w:rPr>
              <w:tab/>
            </w:r>
            <w:r>
              <w:rPr>
                <w:webHidden/>
              </w:rPr>
              <w:fldChar w:fldCharType="begin"/>
            </w:r>
            <w:r>
              <w:rPr>
                <w:webHidden/>
              </w:rPr>
              <w:instrText xml:space="preserve"> PAGEREF _Toc133590779 \h </w:instrText>
            </w:r>
            <w:r>
              <w:rPr>
                <w:webHidden/>
              </w:rPr>
            </w:r>
            <w:r>
              <w:rPr>
                <w:webHidden/>
              </w:rPr>
              <w:fldChar w:fldCharType="separate"/>
            </w:r>
            <w:r>
              <w:rPr>
                <w:webHidden/>
              </w:rPr>
              <w:t>29</w:t>
            </w:r>
            <w:r>
              <w:rPr>
                <w:webHidden/>
              </w:rPr>
              <w:fldChar w:fldCharType="end"/>
            </w:r>
          </w:hyperlink>
        </w:p>
        <w:p w14:paraId="72184B7E" w14:textId="1CE90ECB" w:rsidR="000E7B03" w:rsidRDefault="000E7B03">
          <w:pPr>
            <w:pStyle w:val="TOC2"/>
            <w:rPr>
              <w:rFonts w:asciiTheme="minorHAnsi" w:eastAsiaTheme="minorEastAsia" w:hAnsiTheme="minorHAnsi" w:cstheme="minorBidi"/>
              <w:color w:val="auto"/>
              <w:sz w:val="22"/>
              <w:szCs w:val="22"/>
              <w:lang w:val="vi-VN" w:eastAsia="vi-VN"/>
            </w:rPr>
          </w:pPr>
          <w:hyperlink w:anchor="_Toc133590780" w:history="1">
            <w:r w:rsidRPr="00B36620">
              <w:rPr>
                <w:rStyle w:val="Hyperlink"/>
              </w:rPr>
              <w:t>3.2. Tình trạng dinh dưỡng của đối tượng nghiên cứu</w:t>
            </w:r>
            <w:r>
              <w:rPr>
                <w:webHidden/>
              </w:rPr>
              <w:tab/>
            </w:r>
            <w:r>
              <w:rPr>
                <w:webHidden/>
              </w:rPr>
              <w:fldChar w:fldCharType="begin"/>
            </w:r>
            <w:r>
              <w:rPr>
                <w:webHidden/>
              </w:rPr>
              <w:instrText xml:space="preserve"> PAGEREF _Toc133590780 \h </w:instrText>
            </w:r>
            <w:r>
              <w:rPr>
                <w:webHidden/>
              </w:rPr>
            </w:r>
            <w:r>
              <w:rPr>
                <w:webHidden/>
              </w:rPr>
              <w:fldChar w:fldCharType="separate"/>
            </w:r>
            <w:r>
              <w:rPr>
                <w:webHidden/>
              </w:rPr>
              <w:t>31</w:t>
            </w:r>
            <w:r>
              <w:rPr>
                <w:webHidden/>
              </w:rPr>
              <w:fldChar w:fldCharType="end"/>
            </w:r>
          </w:hyperlink>
        </w:p>
        <w:p w14:paraId="29151D9B" w14:textId="35CB3E2F" w:rsidR="000E7B03" w:rsidRDefault="000E7B03">
          <w:pPr>
            <w:pStyle w:val="TOC2"/>
            <w:rPr>
              <w:rFonts w:asciiTheme="minorHAnsi" w:eastAsiaTheme="minorEastAsia" w:hAnsiTheme="minorHAnsi" w:cstheme="minorBidi"/>
              <w:color w:val="auto"/>
              <w:sz w:val="22"/>
              <w:szCs w:val="22"/>
              <w:lang w:val="vi-VN" w:eastAsia="vi-VN"/>
            </w:rPr>
          </w:pPr>
          <w:hyperlink w:anchor="_Toc133590781" w:history="1">
            <w:r w:rsidRPr="00B36620">
              <w:rPr>
                <w:rStyle w:val="Hyperlink"/>
              </w:rPr>
              <w:t>3.3. Tình trạng dinh dưỡng và các yếu tố liên quan của đối tượng nghiên cứu</w:t>
            </w:r>
            <w:r>
              <w:rPr>
                <w:webHidden/>
              </w:rPr>
              <w:tab/>
            </w:r>
            <w:r>
              <w:rPr>
                <w:webHidden/>
              </w:rPr>
              <w:fldChar w:fldCharType="begin"/>
            </w:r>
            <w:r>
              <w:rPr>
                <w:webHidden/>
              </w:rPr>
              <w:instrText xml:space="preserve"> PAGEREF _Toc133590781 \h </w:instrText>
            </w:r>
            <w:r>
              <w:rPr>
                <w:webHidden/>
              </w:rPr>
            </w:r>
            <w:r>
              <w:rPr>
                <w:webHidden/>
              </w:rPr>
              <w:fldChar w:fldCharType="separate"/>
            </w:r>
            <w:r>
              <w:rPr>
                <w:webHidden/>
              </w:rPr>
              <w:t>32</w:t>
            </w:r>
            <w:r>
              <w:rPr>
                <w:webHidden/>
              </w:rPr>
              <w:fldChar w:fldCharType="end"/>
            </w:r>
          </w:hyperlink>
        </w:p>
        <w:p w14:paraId="2A1D8E77" w14:textId="5159B04A" w:rsidR="000E7B03" w:rsidRDefault="000E7B03">
          <w:pPr>
            <w:pStyle w:val="TOC1"/>
            <w:rPr>
              <w:rFonts w:asciiTheme="minorHAnsi" w:eastAsiaTheme="minorEastAsia" w:hAnsiTheme="minorHAnsi" w:cstheme="minorBidi"/>
              <w:color w:val="auto"/>
              <w:sz w:val="22"/>
              <w:szCs w:val="22"/>
              <w:lang w:val="vi-VN" w:eastAsia="vi-VN"/>
            </w:rPr>
          </w:pPr>
          <w:hyperlink w:anchor="_Toc133590782" w:history="1">
            <w:r w:rsidRPr="00B36620">
              <w:rPr>
                <w:rStyle w:val="Hyperlink"/>
              </w:rPr>
              <w:t>Chương 4 – BÀN LUẬN</w:t>
            </w:r>
            <w:r>
              <w:rPr>
                <w:webHidden/>
              </w:rPr>
              <w:tab/>
            </w:r>
            <w:r>
              <w:rPr>
                <w:webHidden/>
              </w:rPr>
              <w:fldChar w:fldCharType="begin"/>
            </w:r>
            <w:r>
              <w:rPr>
                <w:webHidden/>
              </w:rPr>
              <w:instrText xml:space="preserve"> PAGEREF _Toc133590782 \h </w:instrText>
            </w:r>
            <w:r>
              <w:rPr>
                <w:webHidden/>
              </w:rPr>
            </w:r>
            <w:r>
              <w:rPr>
                <w:webHidden/>
              </w:rPr>
              <w:fldChar w:fldCharType="separate"/>
            </w:r>
            <w:r>
              <w:rPr>
                <w:webHidden/>
              </w:rPr>
              <w:t>41</w:t>
            </w:r>
            <w:r>
              <w:rPr>
                <w:webHidden/>
              </w:rPr>
              <w:fldChar w:fldCharType="end"/>
            </w:r>
          </w:hyperlink>
        </w:p>
        <w:p w14:paraId="4AEF25D3" w14:textId="11CA0E6C" w:rsidR="000E7B03" w:rsidRDefault="000E7B03">
          <w:pPr>
            <w:pStyle w:val="TOC2"/>
            <w:rPr>
              <w:rFonts w:asciiTheme="minorHAnsi" w:eastAsiaTheme="minorEastAsia" w:hAnsiTheme="minorHAnsi" w:cstheme="minorBidi"/>
              <w:color w:val="auto"/>
              <w:sz w:val="22"/>
              <w:szCs w:val="22"/>
              <w:lang w:val="vi-VN" w:eastAsia="vi-VN"/>
            </w:rPr>
          </w:pPr>
          <w:hyperlink w:anchor="_Toc133590783" w:history="1">
            <w:r w:rsidRPr="00B36620">
              <w:rPr>
                <w:rStyle w:val="Hyperlink"/>
              </w:rPr>
              <w:t>4.1. Đặc điểm chung của đối tượng nghiên cứu</w:t>
            </w:r>
            <w:r>
              <w:rPr>
                <w:webHidden/>
              </w:rPr>
              <w:tab/>
            </w:r>
            <w:r>
              <w:rPr>
                <w:webHidden/>
              </w:rPr>
              <w:fldChar w:fldCharType="begin"/>
            </w:r>
            <w:r>
              <w:rPr>
                <w:webHidden/>
              </w:rPr>
              <w:instrText xml:space="preserve"> PAGEREF _Toc133590783 \h </w:instrText>
            </w:r>
            <w:r>
              <w:rPr>
                <w:webHidden/>
              </w:rPr>
            </w:r>
            <w:r>
              <w:rPr>
                <w:webHidden/>
              </w:rPr>
              <w:fldChar w:fldCharType="separate"/>
            </w:r>
            <w:r>
              <w:rPr>
                <w:webHidden/>
              </w:rPr>
              <w:t>41</w:t>
            </w:r>
            <w:r>
              <w:rPr>
                <w:webHidden/>
              </w:rPr>
              <w:fldChar w:fldCharType="end"/>
            </w:r>
          </w:hyperlink>
        </w:p>
        <w:p w14:paraId="538AEB24" w14:textId="4914ED21" w:rsidR="000E7B03" w:rsidRDefault="000E7B03">
          <w:pPr>
            <w:pStyle w:val="TOC2"/>
            <w:rPr>
              <w:rFonts w:asciiTheme="minorHAnsi" w:eastAsiaTheme="minorEastAsia" w:hAnsiTheme="minorHAnsi" w:cstheme="minorBidi"/>
              <w:color w:val="auto"/>
              <w:sz w:val="22"/>
              <w:szCs w:val="22"/>
              <w:lang w:val="vi-VN" w:eastAsia="vi-VN"/>
            </w:rPr>
          </w:pPr>
          <w:hyperlink w:anchor="_Toc133590784" w:history="1">
            <w:r w:rsidRPr="00B36620">
              <w:rPr>
                <w:rStyle w:val="Hyperlink"/>
              </w:rPr>
              <w:t>4.2. Đặc điểm về tình trạng dinh dưỡng của đối tượng nghiên cứu</w:t>
            </w:r>
            <w:r>
              <w:rPr>
                <w:webHidden/>
              </w:rPr>
              <w:tab/>
            </w:r>
            <w:r>
              <w:rPr>
                <w:webHidden/>
              </w:rPr>
              <w:fldChar w:fldCharType="begin"/>
            </w:r>
            <w:r>
              <w:rPr>
                <w:webHidden/>
              </w:rPr>
              <w:instrText xml:space="preserve"> PAGEREF _Toc133590784 \h </w:instrText>
            </w:r>
            <w:r>
              <w:rPr>
                <w:webHidden/>
              </w:rPr>
            </w:r>
            <w:r>
              <w:rPr>
                <w:webHidden/>
              </w:rPr>
              <w:fldChar w:fldCharType="separate"/>
            </w:r>
            <w:r>
              <w:rPr>
                <w:webHidden/>
              </w:rPr>
              <w:t>43</w:t>
            </w:r>
            <w:r>
              <w:rPr>
                <w:webHidden/>
              </w:rPr>
              <w:fldChar w:fldCharType="end"/>
            </w:r>
          </w:hyperlink>
        </w:p>
        <w:p w14:paraId="136B959A" w14:textId="4DD40F15" w:rsidR="000E7B03" w:rsidRDefault="000E7B03">
          <w:pPr>
            <w:pStyle w:val="TOC2"/>
            <w:rPr>
              <w:rFonts w:asciiTheme="minorHAnsi" w:eastAsiaTheme="minorEastAsia" w:hAnsiTheme="minorHAnsi" w:cstheme="minorBidi"/>
              <w:color w:val="auto"/>
              <w:sz w:val="22"/>
              <w:szCs w:val="22"/>
              <w:lang w:val="vi-VN" w:eastAsia="vi-VN"/>
            </w:rPr>
          </w:pPr>
          <w:hyperlink w:anchor="_Toc133590785" w:history="1">
            <w:r w:rsidRPr="00B36620">
              <w:rPr>
                <w:rStyle w:val="Hyperlink"/>
              </w:rPr>
              <w:t>4.3. Tình trạng dinh dưỡng và các yếu tố liên quan của đối tượng nghiên cứu</w:t>
            </w:r>
            <w:r>
              <w:rPr>
                <w:webHidden/>
              </w:rPr>
              <w:tab/>
            </w:r>
            <w:r>
              <w:rPr>
                <w:webHidden/>
              </w:rPr>
              <w:fldChar w:fldCharType="begin"/>
            </w:r>
            <w:r>
              <w:rPr>
                <w:webHidden/>
              </w:rPr>
              <w:instrText xml:space="preserve"> PAGEREF _Toc133590785 \h </w:instrText>
            </w:r>
            <w:r>
              <w:rPr>
                <w:webHidden/>
              </w:rPr>
            </w:r>
            <w:r>
              <w:rPr>
                <w:webHidden/>
              </w:rPr>
              <w:fldChar w:fldCharType="separate"/>
            </w:r>
            <w:r>
              <w:rPr>
                <w:webHidden/>
              </w:rPr>
              <w:t>44</w:t>
            </w:r>
            <w:r>
              <w:rPr>
                <w:webHidden/>
              </w:rPr>
              <w:fldChar w:fldCharType="end"/>
            </w:r>
          </w:hyperlink>
        </w:p>
        <w:p w14:paraId="21570066" w14:textId="4DF5C2CB" w:rsidR="000E7B03" w:rsidRDefault="000E7B03">
          <w:pPr>
            <w:pStyle w:val="TOC1"/>
            <w:rPr>
              <w:rFonts w:asciiTheme="minorHAnsi" w:eastAsiaTheme="minorEastAsia" w:hAnsiTheme="minorHAnsi" w:cstheme="minorBidi"/>
              <w:color w:val="auto"/>
              <w:sz w:val="22"/>
              <w:szCs w:val="22"/>
              <w:lang w:val="vi-VN" w:eastAsia="vi-VN"/>
            </w:rPr>
          </w:pPr>
          <w:hyperlink w:anchor="_Toc133590786" w:history="1">
            <w:r w:rsidRPr="00B36620">
              <w:rPr>
                <w:rStyle w:val="Hyperlink"/>
              </w:rPr>
              <w:t>Chương 5 – KẾT LUẬN</w:t>
            </w:r>
            <w:r>
              <w:rPr>
                <w:webHidden/>
              </w:rPr>
              <w:tab/>
            </w:r>
            <w:r>
              <w:rPr>
                <w:webHidden/>
              </w:rPr>
              <w:fldChar w:fldCharType="begin"/>
            </w:r>
            <w:r>
              <w:rPr>
                <w:webHidden/>
              </w:rPr>
              <w:instrText xml:space="preserve"> PAGEREF _Toc133590786 \h </w:instrText>
            </w:r>
            <w:r>
              <w:rPr>
                <w:webHidden/>
              </w:rPr>
            </w:r>
            <w:r>
              <w:rPr>
                <w:webHidden/>
              </w:rPr>
              <w:fldChar w:fldCharType="separate"/>
            </w:r>
            <w:r>
              <w:rPr>
                <w:webHidden/>
              </w:rPr>
              <w:t>49</w:t>
            </w:r>
            <w:r>
              <w:rPr>
                <w:webHidden/>
              </w:rPr>
              <w:fldChar w:fldCharType="end"/>
            </w:r>
          </w:hyperlink>
        </w:p>
        <w:p w14:paraId="21B71F86" w14:textId="347F171C" w:rsidR="000E7B03" w:rsidRDefault="000E7B03">
          <w:pPr>
            <w:pStyle w:val="TOC1"/>
            <w:rPr>
              <w:rFonts w:asciiTheme="minorHAnsi" w:eastAsiaTheme="minorEastAsia" w:hAnsiTheme="minorHAnsi" w:cstheme="minorBidi"/>
              <w:color w:val="auto"/>
              <w:sz w:val="22"/>
              <w:szCs w:val="22"/>
              <w:lang w:val="vi-VN" w:eastAsia="vi-VN"/>
            </w:rPr>
          </w:pPr>
          <w:hyperlink w:anchor="_Toc133590787" w:history="1">
            <w:r w:rsidRPr="00B36620">
              <w:rPr>
                <w:rStyle w:val="Hyperlink"/>
              </w:rPr>
              <w:t>Chương 6 – KHUYẾN NGHỊ</w:t>
            </w:r>
            <w:r>
              <w:rPr>
                <w:webHidden/>
              </w:rPr>
              <w:tab/>
            </w:r>
            <w:r>
              <w:rPr>
                <w:webHidden/>
              </w:rPr>
              <w:fldChar w:fldCharType="begin"/>
            </w:r>
            <w:r>
              <w:rPr>
                <w:webHidden/>
              </w:rPr>
              <w:instrText xml:space="preserve"> PAGEREF _Toc133590787 \h </w:instrText>
            </w:r>
            <w:r>
              <w:rPr>
                <w:webHidden/>
              </w:rPr>
            </w:r>
            <w:r>
              <w:rPr>
                <w:webHidden/>
              </w:rPr>
              <w:fldChar w:fldCharType="separate"/>
            </w:r>
            <w:r>
              <w:rPr>
                <w:webHidden/>
              </w:rPr>
              <w:t>49</w:t>
            </w:r>
            <w:r>
              <w:rPr>
                <w:webHidden/>
              </w:rPr>
              <w:fldChar w:fldCharType="end"/>
            </w:r>
          </w:hyperlink>
        </w:p>
        <w:p w14:paraId="094122B0" w14:textId="6AFEF586" w:rsidR="000E7B03" w:rsidRDefault="000E7B03">
          <w:pPr>
            <w:pStyle w:val="TOC1"/>
            <w:rPr>
              <w:rFonts w:asciiTheme="minorHAnsi" w:eastAsiaTheme="minorEastAsia" w:hAnsiTheme="minorHAnsi" w:cstheme="minorBidi"/>
              <w:color w:val="auto"/>
              <w:sz w:val="22"/>
              <w:szCs w:val="22"/>
              <w:lang w:val="vi-VN" w:eastAsia="vi-VN"/>
            </w:rPr>
          </w:pPr>
          <w:hyperlink w:anchor="_Toc133590788" w:history="1">
            <w:r w:rsidRPr="00B36620">
              <w:rPr>
                <w:rStyle w:val="Hyperlink"/>
              </w:rPr>
              <w:t>TÀI LIỆU THAM KHẢO</w:t>
            </w:r>
            <w:r>
              <w:rPr>
                <w:webHidden/>
              </w:rPr>
              <w:tab/>
            </w:r>
            <w:r>
              <w:rPr>
                <w:webHidden/>
              </w:rPr>
              <w:fldChar w:fldCharType="begin"/>
            </w:r>
            <w:r>
              <w:rPr>
                <w:webHidden/>
              </w:rPr>
              <w:instrText xml:space="preserve"> PAGEREF _Toc133590788 \h </w:instrText>
            </w:r>
            <w:r>
              <w:rPr>
                <w:webHidden/>
              </w:rPr>
            </w:r>
            <w:r>
              <w:rPr>
                <w:webHidden/>
              </w:rPr>
              <w:fldChar w:fldCharType="separate"/>
            </w:r>
            <w:r>
              <w:rPr>
                <w:webHidden/>
              </w:rPr>
              <w:t>50</w:t>
            </w:r>
            <w:r>
              <w:rPr>
                <w:webHidden/>
              </w:rPr>
              <w:fldChar w:fldCharType="end"/>
            </w:r>
          </w:hyperlink>
        </w:p>
        <w:p w14:paraId="18D2E423" w14:textId="22DC6699" w:rsidR="001E5937" w:rsidRDefault="00C17AD7">
          <w:r>
            <w:fldChar w:fldCharType="end"/>
          </w:r>
        </w:p>
      </w:sdtContent>
    </w:sdt>
    <w:p w14:paraId="69613438" w14:textId="77777777" w:rsidR="000E7B03" w:rsidRDefault="00660DA7" w:rsidP="003E4607">
      <w:pPr>
        <w:jc w:val="center"/>
      </w:pPr>
      <w:bookmarkStart w:id="10" w:name="_Toc126527698"/>
      <w:r>
        <w:br w:type="page"/>
      </w:r>
      <w:r w:rsidR="006C7598" w:rsidRPr="00864C8C">
        <w:rPr>
          <w:b/>
          <w:bCs/>
        </w:rPr>
        <w:lastRenderedPageBreak/>
        <w:t>DANH MỤC BẢNG</w:t>
      </w:r>
      <w:r w:rsidR="003E4607">
        <w:rPr>
          <w:b/>
          <w:bCs/>
        </w:rPr>
        <w:fldChar w:fldCharType="begin"/>
      </w:r>
      <w:r w:rsidR="003E4607">
        <w:rPr>
          <w:b/>
          <w:bCs/>
        </w:rPr>
        <w:instrText xml:space="preserve"> TOC \n \h \z \c "Bảng" </w:instrText>
      </w:r>
      <w:r w:rsidR="003E4607">
        <w:rPr>
          <w:b/>
          <w:bCs/>
        </w:rPr>
        <w:fldChar w:fldCharType="separate"/>
      </w:r>
    </w:p>
    <w:p w14:paraId="511D3F1B" w14:textId="207EF921" w:rsidR="000E7B03" w:rsidRDefault="000E7B03">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90740" w:history="1">
        <w:r w:rsidRPr="00F5076F">
          <w:rPr>
            <w:rStyle w:val="Hyperlink"/>
          </w:rPr>
          <w:t xml:space="preserve">Bảng 1.1. </w:t>
        </w:r>
        <w:r w:rsidRPr="00F5076F">
          <w:rPr>
            <w:rStyle w:val="Hyperlink"/>
            <w:bCs/>
          </w:rPr>
          <w:t>Ước tính gánh nặng bệnh lao tại Việt Nam năm 2021</w:t>
        </w:r>
      </w:hyperlink>
    </w:p>
    <w:p w14:paraId="6A0AC4D3" w14:textId="1CA51E31" w:rsidR="000E7B03" w:rsidRDefault="000E7B03">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90741" w:history="1">
        <w:r w:rsidRPr="00F5076F">
          <w:rPr>
            <w:rStyle w:val="Hyperlink"/>
          </w:rPr>
          <w:t xml:space="preserve">Bảng 1.2. </w:t>
        </w:r>
        <w:r w:rsidRPr="00F5076F">
          <w:rPr>
            <w:rStyle w:val="Hyperlink"/>
            <w:bCs/>
          </w:rPr>
          <w:t>Ước tính tỷ lệ mắc lao với MDR/RR-TB năm 2021</w:t>
        </w:r>
      </w:hyperlink>
    </w:p>
    <w:p w14:paraId="3A2DC093" w14:textId="330DF3FB" w:rsidR="000E7B03" w:rsidRDefault="000E7B03">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90742" w:history="1">
        <w:r w:rsidRPr="00F5076F">
          <w:rPr>
            <w:rStyle w:val="Hyperlink"/>
          </w:rPr>
          <w:t>Bảng 1.3. Thông báo ca bệnh năm 2021</w:t>
        </w:r>
      </w:hyperlink>
    </w:p>
    <w:p w14:paraId="08418CCA" w14:textId="292880B3" w:rsidR="000E7B03" w:rsidRDefault="000E7B03">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90743" w:history="1">
        <w:r w:rsidRPr="00F5076F">
          <w:rPr>
            <w:rStyle w:val="Hyperlink"/>
          </w:rPr>
          <w:t>Bảng 1.4. Chăm sóc lao/HIV ở bệnh nhân lao mới và tái phát 2021</w:t>
        </w:r>
      </w:hyperlink>
    </w:p>
    <w:p w14:paraId="55C2DC80" w14:textId="0FB1BD42" w:rsidR="000E7B03" w:rsidRDefault="000E7B03">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90744" w:history="1">
        <w:r w:rsidRPr="00F5076F">
          <w:rPr>
            <w:rStyle w:val="Hyperlink"/>
          </w:rPr>
          <w:t>Bảng 3.1. Phân bố theo nhóm tuổi và giới</w:t>
        </w:r>
      </w:hyperlink>
    </w:p>
    <w:p w14:paraId="2F920067" w14:textId="5E93889E" w:rsidR="000E7B03" w:rsidRDefault="000E7B03">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90745" w:history="1">
        <w:r w:rsidRPr="00F5076F">
          <w:rPr>
            <w:rStyle w:val="Hyperlink"/>
          </w:rPr>
          <w:t>Bảng 3.2. Phân bố theo nghề nghiệp</w:t>
        </w:r>
      </w:hyperlink>
    </w:p>
    <w:p w14:paraId="0F264A76" w14:textId="0943C198" w:rsidR="000E7B03" w:rsidRDefault="000E7B03">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90746" w:history="1">
        <w:r w:rsidRPr="00F5076F">
          <w:rPr>
            <w:rStyle w:val="Hyperlink"/>
          </w:rPr>
          <w:t>Bảng 3.3. Phân bố theo khu vực địa lý</w:t>
        </w:r>
      </w:hyperlink>
    </w:p>
    <w:p w14:paraId="4B033894" w14:textId="05AE1B26" w:rsidR="000E7B03" w:rsidRDefault="000E7B03">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90747" w:history="1">
        <w:r w:rsidRPr="00F5076F">
          <w:rPr>
            <w:rStyle w:val="Hyperlink"/>
          </w:rPr>
          <w:t>Bảng 3.4</w:t>
        </w:r>
        <w:r w:rsidRPr="00F5076F">
          <w:rPr>
            <w:rStyle w:val="Hyperlink"/>
            <w:bCs/>
          </w:rPr>
          <w:t>. Tình trạng dinh dưỡng theo BMI</w:t>
        </w:r>
      </w:hyperlink>
    </w:p>
    <w:p w14:paraId="559E69F2" w14:textId="533ADF3D" w:rsidR="000E7B03" w:rsidRDefault="000E7B03">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90748" w:history="1">
        <w:r w:rsidRPr="00F5076F">
          <w:rPr>
            <w:rStyle w:val="Hyperlink"/>
          </w:rPr>
          <w:t>Bảng 3.5</w:t>
        </w:r>
        <w:r w:rsidRPr="00F5076F">
          <w:rPr>
            <w:rStyle w:val="Hyperlink"/>
            <w:bCs/>
          </w:rPr>
          <w:t>. Tình trạng dinh dưỡng theo SGA</w:t>
        </w:r>
      </w:hyperlink>
    </w:p>
    <w:p w14:paraId="39533D22" w14:textId="66218B1B" w:rsidR="000E7B03" w:rsidRDefault="000E7B03">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90749" w:history="1">
        <w:r w:rsidRPr="00F5076F">
          <w:rPr>
            <w:rStyle w:val="Hyperlink"/>
          </w:rPr>
          <w:t>Bảng 3.6</w:t>
        </w:r>
        <w:r w:rsidRPr="00F5076F">
          <w:rPr>
            <w:rStyle w:val="Hyperlink"/>
            <w:bCs/>
          </w:rPr>
          <w:t>. Mối liên quan giữa nhóm tuổi và TTDD theo BMI</w:t>
        </w:r>
      </w:hyperlink>
    </w:p>
    <w:p w14:paraId="495D217C" w14:textId="1CC01485" w:rsidR="000E7B03" w:rsidRDefault="000E7B03">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90750" w:history="1">
        <w:r w:rsidRPr="00F5076F">
          <w:rPr>
            <w:rStyle w:val="Hyperlink"/>
          </w:rPr>
          <w:t>Bảng 3.7</w:t>
        </w:r>
        <w:r w:rsidRPr="00F5076F">
          <w:rPr>
            <w:rStyle w:val="Hyperlink"/>
            <w:bCs/>
          </w:rPr>
          <w:t>. Mối liên quan giữa nhóm tuổi và TTDD theo SGA</w:t>
        </w:r>
      </w:hyperlink>
    </w:p>
    <w:p w14:paraId="14DA6D9D" w14:textId="1E4B2E38" w:rsidR="000E7B03" w:rsidRDefault="000E7B03">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90751" w:history="1">
        <w:r w:rsidRPr="00F5076F">
          <w:rPr>
            <w:rStyle w:val="Hyperlink"/>
          </w:rPr>
          <w:t>Bảng 3.8. Mối liên quan giữa giới và TTDD theo BMI</w:t>
        </w:r>
      </w:hyperlink>
    </w:p>
    <w:p w14:paraId="1AABD22A" w14:textId="309E530E" w:rsidR="000E7B03" w:rsidRDefault="000E7B03">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90752" w:history="1">
        <w:r w:rsidRPr="00F5076F">
          <w:rPr>
            <w:rStyle w:val="Hyperlink"/>
          </w:rPr>
          <w:t>Bảng 3.9. Mối liên quan giữa giới và TTDD theo SGA</w:t>
        </w:r>
      </w:hyperlink>
    </w:p>
    <w:p w14:paraId="4CAA5C97" w14:textId="22D5D9A5" w:rsidR="000E7B03" w:rsidRDefault="000E7B03">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90753" w:history="1">
        <w:r w:rsidRPr="00F5076F">
          <w:rPr>
            <w:rStyle w:val="Hyperlink"/>
          </w:rPr>
          <w:t xml:space="preserve">Bảng 3.10. </w:t>
        </w:r>
        <w:r w:rsidRPr="00F5076F">
          <w:rPr>
            <w:rStyle w:val="Hyperlink"/>
            <w:bCs/>
          </w:rPr>
          <w:t>Mối liên quan giữa nghề nghiệp và TTDD theo BMI</w:t>
        </w:r>
      </w:hyperlink>
    </w:p>
    <w:p w14:paraId="3EAEE3B3" w14:textId="29F6DDEA" w:rsidR="000E7B03" w:rsidRDefault="000E7B03">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90754" w:history="1">
        <w:r w:rsidRPr="00F5076F">
          <w:rPr>
            <w:rStyle w:val="Hyperlink"/>
          </w:rPr>
          <w:t xml:space="preserve">Bảng 3.11. </w:t>
        </w:r>
        <w:r w:rsidRPr="00F5076F">
          <w:rPr>
            <w:rStyle w:val="Hyperlink"/>
            <w:bCs/>
          </w:rPr>
          <w:t>Mối liên quan giữa nghề nghiệp và TTDD theo SGA</w:t>
        </w:r>
      </w:hyperlink>
    </w:p>
    <w:p w14:paraId="56621182" w14:textId="2AA4FEAD" w:rsidR="000E7B03" w:rsidRDefault="000E7B03">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90755" w:history="1">
        <w:r w:rsidRPr="00F5076F">
          <w:rPr>
            <w:rStyle w:val="Hyperlink"/>
          </w:rPr>
          <w:t xml:space="preserve">Bảng 3.12. </w:t>
        </w:r>
        <w:r w:rsidRPr="00F5076F">
          <w:rPr>
            <w:rStyle w:val="Hyperlink"/>
            <w:bCs/>
          </w:rPr>
          <w:t>Mối liên quan giữa khu vực địa lý và TTDD theo BMI</w:t>
        </w:r>
      </w:hyperlink>
    </w:p>
    <w:p w14:paraId="0B468D02" w14:textId="066D90B8" w:rsidR="000E7B03" w:rsidRDefault="000E7B03">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90756" w:history="1">
        <w:r w:rsidRPr="00F5076F">
          <w:rPr>
            <w:rStyle w:val="Hyperlink"/>
          </w:rPr>
          <w:t xml:space="preserve">Bảng 3.13. </w:t>
        </w:r>
        <w:r w:rsidRPr="00F5076F">
          <w:rPr>
            <w:rStyle w:val="Hyperlink"/>
            <w:bCs/>
          </w:rPr>
          <w:t>Mối liên quan giữa khu vực địa lý và TTDD theo SGA</w:t>
        </w:r>
      </w:hyperlink>
    </w:p>
    <w:p w14:paraId="2C9C44F8" w14:textId="4FF6762C" w:rsidR="000E7B03" w:rsidRDefault="000E7B03">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90757" w:history="1">
        <w:r w:rsidRPr="00F5076F">
          <w:rPr>
            <w:rStyle w:val="Hyperlink"/>
          </w:rPr>
          <w:t>Bảng 3.14</w:t>
        </w:r>
        <w:r w:rsidRPr="00F5076F">
          <w:rPr>
            <w:rStyle w:val="Hyperlink"/>
            <w:bCs/>
          </w:rPr>
          <w:t>. Mối liên quan giữa thời gian chẩn đoán và TTDD theo BMI</w:t>
        </w:r>
      </w:hyperlink>
    </w:p>
    <w:p w14:paraId="020E9D43" w14:textId="1AB1AE31" w:rsidR="000E7B03" w:rsidRDefault="000E7B03">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90758" w:history="1">
        <w:r w:rsidRPr="00F5076F">
          <w:rPr>
            <w:rStyle w:val="Hyperlink"/>
          </w:rPr>
          <w:t xml:space="preserve">Bảng 3.15. </w:t>
        </w:r>
        <w:r w:rsidRPr="00F5076F">
          <w:rPr>
            <w:rStyle w:val="Hyperlink"/>
            <w:bCs/>
          </w:rPr>
          <w:t>Mối liên quan giữa thời gian chẩn đoán và TTDD theo SGA</w:t>
        </w:r>
      </w:hyperlink>
    </w:p>
    <w:p w14:paraId="05B3CB8A" w14:textId="600A51B0" w:rsidR="000E7B03" w:rsidRDefault="000E7B03">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90759" w:history="1">
        <w:r w:rsidRPr="00F5076F">
          <w:rPr>
            <w:rStyle w:val="Hyperlink"/>
          </w:rPr>
          <w:t xml:space="preserve">Bảng 3.16. </w:t>
        </w:r>
        <w:r w:rsidRPr="00F5076F">
          <w:rPr>
            <w:rStyle w:val="Hyperlink"/>
            <w:bCs/>
          </w:rPr>
          <w:t>Mối liên quan giữa mức độ tổn thương trên phim X-quang phổi và TTDD theo BMI</w:t>
        </w:r>
      </w:hyperlink>
    </w:p>
    <w:p w14:paraId="5D942973" w14:textId="41C0DB34" w:rsidR="000E7B03" w:rsidRDefault="000E7B03">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90760" w:history="1">
        <w:r w:rsidRPr="00F5076F">
          <w:rPr>
            <w:rStyle w:val="Hyperlink"/>
          </w:rPr>
          <w:t xml:space="preserve">Bảng 3.17. </w:t>
        </w:r>
        <w:r w:rsidRPr="00F5076F">
          <w:rPr>
            <w:rStyle w:val="Hyperlink"/>
            <w:bCs/>
          </w:rPr>
          <w:t>Mối liên quan giữa mức độ tổn thương trên phim X-quang phổi và TTDD theo SGA</w:t>
        </w:r>
      </w:hyperlink>
    </w:p>
    <w:p w14:paraId="18071A14" w14:textId="6994192C" w:rsidR="000E7B03" w:rsidRDefault="000E7B03">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90761" w:history="1">
        <w:r w:rsidRPr="00F5076F">
          <w:rPr>
            <w:rStyle w:val="Hyperlink"/>
          </w:rPr>
          <w:t xml:space="preserve">Bảng 3.18. </w:t>
        </w:r>
        <w:r w:rsidRPr="00F5076F">
          <w:rPr>
            <w:rStyle w:val="Hyperlink"/>
            <w:bCs/>
          </w:rPr>
          <w:t>Mối liên quan giữa tổn thương trên phim X-quang phổi có hang và TTDD theo BMI</w:t>
        </w:r>
      </w:hyperlink>
    </w:p>
    <w:p w14:paraId="63803EBD" w14:textId="397C7EC5" w:rsidR="000E7B03" w:rsidRDefault="000E7B03">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90762" w:history="1">
        <w:r w:rsidRPr="00F5076F">
          <w:rPr>
            <w:rStyle w:val="Hyperlink"/>
          </w:rPr>
          <w:t xml:space="preserve">Bảng 3.19. </w:t>
        </w:r>
        <w:r w:rsidRPr="00F5076F">
          <w:rPr>
            <w:rStyle w:val="Hyperlink"/>
            <w:bCs/>
          </w:rPr>
          <w:t>Mối liên quan giữa tổn thương trên phim X-quang phổi có hang và TTDD theo SGA</w:t>
        </w:r>
      </w:hyperlink>
    </w:p>
    <w:p w14:paraId="49F3D1D2" w14:textId="501DE6F0" w:rsidR="000E7B03" w:rsidRDefault="000E7B03">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90763" w:history="1">
        <w:r w:rsidRPr="00F5076F">
          <w:rPr>
            <w:rStyle w:val="Hyperlink"/>
          </w:rPr>
          <w:t xml:space="preserve">Bảng 3.20. </w:t>
        </w:r>
        <w:r w:rsidRPr="00F5076F">
          <w:rPr>
            <w:rStyle w:val="Hyperlink"/>
            <w:bCs/>
          </w:rPr>
          <w:t>Mối liên quan giữa tình trạng thiếu máu và TTDD theo BMI</w:t>
        </w:r>
      </w:hyperlink>
    </w:p>
    <w:p w14:paraId="29C5341E" w14:textId="4F39DFAA" w:rsidR="000E7B03" w:rsidRDefault="000E7B03">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90764" w:history="1">
        <w:r w:rsidRPr="00F5076F">
          <w:rPr>
            <w:rStyle w:val="Hyperlink"/>
          </w:rPr>
          <w:t xml:space="preserve">Bảng 3.21. </w:t>
        </w:r>
        <w:r w:rsidRPr="00F5076F">
          <w:rPr>
            <w:rStyle w:val="Hyperlink"/>
            <w:bCs/>
          </w:rPr>
          <w:t>Mối liên quan giữa tình trạng thiếu máu và TTDD theo SGA</w:t>
        </w:r>
      </w:hyperlink>
    </w:p>
    <w:p w14:paraId="0D6D19AD" w14:textId="75BA512B" w:rsidR="000E7B03" w:rsidRDefault="000E7B03">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90765" w:history="1">
        <w:r w:rsidRPr="00F5076F">
          <w:rPr>
            <w:rStyle w:val="Hyperlink"/>
          </w:rPr>
          <w:t xml:space="preserve">Bảng 3.22. </w:t>
        </w:r>
        <w:r w:rsidRPr="00F5076F">
          <w:rPr>
            <w:rStyle w:val="Hyperlink"/>
            <w:bCs/>
          </w:rPr>
          <w:t>Mối liên quan giữa số lượng bạch cầu và TTDD theo BMI</w:t>
        </w:r>
      </w:hyperlink>
    </w:p>
    <w:p w14:paraId="2D7EACDC" w14:textId="3D673570" w:rsidR="000E7B03" w:rsidRDefault="000E7B03">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90766" w:history="1">
        <w:r w:rsidRPr="00F5076F">
          <w:rPr>
            <w:rStyle w:val="Hyperlink"/>
          </w:rPr>
          <w:t xml:space="preserve">Bảng 3.23. </w:t>
        </w:r>
        <w:r w:rsidRPr="00F5076F">
          <w:rPr>
            <w:rStyle w:val="Hyperlink"/>
            <w:bCs/>
          </w:rPr>
          <w:t>Mối liên quan giữa số lượng bạch cầu và TTDD theo SGA</w:t>
        </w:r>
      </w:hyperlink>
    </w:p>
    <w:p w14:paraId="6FBA316F" w14:textId="4DD2A6F3" w:rsidR="000E7B03" w:rsidRDefault="000E7B03">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90767" w:history="1">
        <w:r w:rsidRPr="00F5076F">
          <w:rPr>
            <w:rStyle w:val="Hyperlink"/>
          </w:rPr>
          <w:t xml:space="preserve">Bảng 3.24. </w:t>
        </w:r>
        <w:r w:rsidRPr="00F5076F">
          <w:rPr>
            <w:rStyle w:val="Hyperlink"/>
            <w:bCs/>
          </w:rPr>
          <w:t>Mối liên quan giữa kháng thuốc và TTDD theo BMI</w:t>
        </w:r>
      </w:hyperlink>
    </w:p>
    <w:p w14:paraId="55077465" w14:textId="4321502B" w:rsidR="000E7B03" w:rsidRDefault="000E7B03">
      <w:pPr>
        <w:pStyle w:val="TableofFigures"/>
        <w:tabs>
          <w:tab w:val="right" w:leader="dot" w:pos="9111"/>
        </w:tabs>
        <w:rPr>
          <w:rFonts w:asciiTheme="minorHAnsi" w:eastAsiaTheme="minorEastAsia" w:hAnsiTheme="minorHAnsi" w:cstheme="minorBidi"/>
          <w:color w:val="auto"/>
          <w:sz w:val="22"/>
          <w:szCs w:val="22"/>
          <w:lang w:val="vi-VN" w:eastAsia="vi-VN"/>
        </w:rPr>
      </w:pPr>
      <w:hyperlink w:anchor="_Toc133590768" w:history="1">
        <w:r w:rsidRPr="00F5076F">
          <w:rPr>
            <w:rStyle w:val="Hyperlink"/>
          </w:rPr>
          <w:t xml:space="preserve">Bảng 3.25. </w:t>
        </w:r>
        <w:r w:rsidRPr="00F5076F">
          <w:rPr>
            <w:rStyle w:val="Hyperlink"/>
            <w:bCs/>
          </w:rPr>
          <w:t>Mối liên quan giữa kháng thuốc và TTDD theo SGA</w:t>
        </w:r>
      </w:hyperlink>
    </w:p>
    <w:p w14:paraId="0EF03653" w14:textId="6F4E3ECC" w:rsidR="006C7598" w:rsidRDefault="003E4607" w:rsidP="003E4607">
      <w:pPr>
        <w:jc w:val="center"/>
      </w:pPr>
      <w:r>
        <w:rPr>
          <w:b/>
          <w:bCs/>
        </w:rPr>
        <w:fldChar w:fldCharType="end"/>
      </w:r>
    </w:p>
    <w:p w14:paraId="3FB14F02" w14:textId="77777777" w:rsidR="00C333DD" w:rsidRDefault="00C333DD">
      <w:pPr>
        <w:sectPr w:rsidR="00C333DD" w:rsidSect="002F556C">
          <w:headerReference w:type="default" r:id="rId11"/>
          <w:pgSz w:w="12240" w:h="15840"/>
          <w:pgMar w:top="1985" w:right="1134" w:bottom="1701" w:left="1985" w:header="720" w:footer="720" w:gutter="0"/>
          <w:cols w:space="720"/>
          <w:titlePg/>
          <w:docGrid w:linePitch="381"/>
        </w:sectPr>
      </w:pPr>
    </w:p>
    <w:p w14:paraId="152053BA" w14:textId="42FE0D4D" w:rsidR="001B303A" w:rsidRPr="00835C44" w:rsidRDefault="001B303A" w:rsidP="00835C44">
      <w:pPr>
        <w:pStyle w:val="TOC"/>
      </w:pPr>
      <w:bookmarkStart w:id="11" w:name="_Toc133590769"/>
      <w:r w:rsidRPr="00835C44">
        <w:lastRenderedPageBreak/>
        <w:t>ĐẶT VẤN ĐỀ</w:t>
      </w:r>
      <w:bookmarkEnd w:id="10"/>
      <w:bookmarkEnd w:id="11"/>
    </w:p>
    <w:p w14:paraId="1438CEE1" w14:textId="29D05F0B" w:rsidR="001B303A" w:rsidRPr="00C23165" w:rsidRDefault="00C23165" w:rsidP="00C23165">
      <w:r w:rsidRPr="00C23165">
        <w:t xml:space="preserve">Lao là một bệnh truyền nhiễm do </w:t>
      </w:r>
      <w:r w:rsidR="00CD430D">
        <w:t>trực khuẩn lao</w:t>
      </w:r>
      <w:r w:rsidRPr="00C23165">
        <w:t xml:space="preserve"> (Mycobacterium tuberculosis) gây nên. </w:t>
      </w:r>
      <w:r>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B</w:t>
      </w:r>
      <w:r>
        <w:t>áo cáo Lao toàn cầu năm 20</w:t>
      </w:r>
      <w:r w:rsidR="00F17EA2">
        <w:t>2</w:t>
      </w:r>
      <w:r w:rsidR="00314651">
        <w:t>2</w:t>
      </w:r>
      <w:r w:rsidR="00EA49A2">
        <w:t xml:space="preserve"> của </w:t>
      </w:r>
      <w:r w:rsidR="007B5845">
        <w:t>WHO</w:t>
      </w:r>
      <w:r>
        <w:t xml:space="preserve">, </w:t>
      </w:r>
      <w:r w:rsidR="00963793" w:rsidRPr="00963793">
        <w:t xml:space="preserve">Việt Nam </w:t>
      </w:r>
      <w:r w:rsidR="00D8417B">
        <w:t>nằm trong 30 nước có gánh nặng lớn nhất về bệnh lao, với 77 657 ca bệnh mới và 14 300 ca tử vong</w:t>
      </w:r>
      <w:r w:rsidR="00F17EA2">
        <w:t xml:space="preserve">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406EC51E"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w:t>
      </w:r>
      <w:r w:rsidR="00CC1B3B">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 </w:instrText>
      </w:r>
      <w:r w:rsidR="00652D6C">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EN.CITE.DATA </w:instrText>
      </w:r>
      <w:r w:rsidR="00652D6C">
        <w:fldChar w:fldCharType="end"/>
      </w:r>
      <w:r w:rsidR="002C4787">
        <w:fldChar w:fldCharType="separate"/>
      </w:r>
      <w:r w:rsidR="00652D6C">
        <w:t>[5-7]</w:t>
      </w:r>
      <w:r w:rsidR="002C4787">
        <w:fldChar w:fldCharType="end"/>
      </w:r>
      <w:r w:rsidR="001B303A">
        <w:t>.</w:t>
      </w:r>
    </w:p>
    <w:p w14:paraId="5A8E9B25" w14:textId="4893C985" w:rsidR="004C396C" w:rsidRDefault="004B11C7" w:rsidP="004C396C">
      <w:r w:rsidRPr="006A680F">
        <w:t xml:space="preserve">Theo nghiên cứu </w:t>
      </w:r>
      <w:r>
        <w:t>của</w:t>
      </w:r>
      <w:r w:rsidRPr="006A680F">
        <w:t xml:space="preserve"> </w:t>
      </w:r>
      <w:r w:rsidRPr="00BC0103">
        <w:t>Đoàn Duy Tân</w:t>
      </w:r>
      <w:r>
        <w:t xml:space="preserve"> </w:t>
      </w:r>
      <w:r w:rsidRPr="006A680F">
        <w:t xml:space="preserve">công bố năm 2021, tỉ lệ suy dinh dưỡng ở bệnh nhân lao phổi tại Bệnh viện Phạm Ngọc Thạch theo phương pháp đánh giá tổng thể chủ quan (SGA) </w:t>
      </w:r>
      <w:r>
        <w:t xml:space="preserve">và theo </w:t>
      </w:r>
      <w:r w:rsidR="00972364">
        <w:t>chỉ số khối</w:t>
      </w:r>
      <w:r w:rsidR="00DE7B99">
        <w:t xml:space="preserve"> cơ thể</w:t>
      </w:r>
      <w:r w:rsidR="00972364">
        <w:t xml:space="preserve"> (</w:t>
      </w:r>
      <w:r>
        <w:t>BMI</w:t>
      </w:r>
      <w:r w:rsidR="00972364">
        <w:t>)</w:t>
      </w:r>
      <w:r>
        <w:t xml:space="preserve"> lần lượt </w:t>
      </w:r>
      <w:r w:rsidRPr="006A680F">
        <w:t>là 66,6% (64/96)</w:t>
      </w:r>
      <w:r>
        <w:t xml:space="preserve"> và </w:t>
      </w:r>
      <w:r w:rsidRPr="004B11C7">
        <w:t>55,2% (54/96)</w:t>
      </w:r>
      <w:r>
        <w:t xml:space="preserve"> </w:t>
      </w:r>
      <w:r>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652D6C">
        <w:t>[8]</w:t>
      </w:r>
      <w:r>
        <w:fldChar w:fldCharType="end"/>
      </w:r>
      <w:r>
        <w:t>. T</w:t>
      </w:r>
      <w:r w:rsidR="00104C96">
        <w:t>heo</w:t>
      </w:r>
      <w:r w:rsidR="00462864">
        <w:t xml:space="preserve"> </w:t>
      </w:r>
      <w:r w:rsidR="00206489">
        <w:t xml:space="preserve">nghiên cứu của Lê Thị Thủy </w:t>
      </w:r>
      <w:r w:rsidR="00AC4BA4">
        <w:t xml:space="preserve">năm </w:t>
      </w:r>
      <w:r w:rsidR="00206489">
        <w:t>2019</w:t>
      </w:r>
      <w:r w:rsidR="00F8394A">
        <w:t>,</w:t>
      </w:r>
      <w:r w:rsidR="00206489">
        <w:t xml:space="preserve"> </w:t>
      </w:r>
      <w:r w:rsidR="00206489" w:rsidRPr="006A680F">
        <w:t>tỉ lệ suy dinh dưỡng ở bệnh nhân lao phổi</w:t>
      </w:r>
      <w:r w:rsidR="00C142D5">
        <w:t xml:space="preserve"> </w:t>
      </w:r>
      <w:r w:rsidR="00C142D5" w:rsidRPr="00C142D5">
        <w:t>theo phương pháp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 </w:instrText>
      </w:r>
      <w:r w:rsidR="00652D6C">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EN.CITE.DATA </w:instrText>
      </w:r>
      <w:r w:rsidR="00652D6C">
        <w:fldChar w:fldCharType="end"/>
      </w:r>
      <w:r w:rsidR="008E6E94">
        <w:fldChar w:fldCharType="separate"/>
      </w:r>
      <w:r w:rsidR="00652D6C">
        <w:t>[9, 10]</w:t>
      </w:r>
      <w:r w:rsidR="008E6E94">
        <w:fldChar w:fldCharType="end"/>
      </w:r>
      <w:r w:rsidR="006A680F">
        <w:t>.</w:t>
      </w:r>
      <w:r w:rsidR="009371D5">
        <w:t xml:space="preserve"> </w:t>
      </w:r>
      <w:r w:rsidR="008E6E94">
        <w:t>T</w:t>
      </w:r>
      <w:r w:rsidR="001B303A">
        <w:t>rong nghiên cứu của Lal M</w:t>
      </w:r>
      <w:r w:rsidR="008007C5">
        <w:t>.</w:t>
      </w:r>
      <w:r w:rsidR="001B303A">
        <w:t xml:space="preserve">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mắc SDD </w:t>
      </w:r>
      <w:r w:rsidR="00727912">
        <w:t>tính theo</w:t>
      </w:r>
      <w:r w:rsidR="001B303A">
        <w:t xml:space="preserve"> BMI</w:t>
      </w:r>
      <w:r w:rsidR="004728F3">
        <w:t xml:space="preserve"> </w:t>
      </w:r>
      <w:r w:rsidR="004728F3">
        <w:fldChar w:fldCharType="begin"/>
      </w:r>
      <w:r w:rsidR="00652D6C">
        <w:instrText xml:space="preserve"> ADDIN EN.CITE &lt;EndNote&gt;&lt;Cite&gt;&lt;Author&gt;Gurung&lt;/Author&gt;&lt;Year&gt;2018&lt;/Year&gt;&lt;RecNum&gt;9&lt;/RecNum&gt;&lt;DisplayText&gt;[11]&lt;/DisplayText&gt;&lt;record&gt;&lt;rec-number&gt;9&lt;/rec-number&gt;&lt;foreign-keys&gt;&lt;key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652D6C">
        <w:t>[11]</w:t>
      </w:r>
      <w:r w:rsidR="004728F3">
        <w:fldChar w:fldCharType="end"/>
      </w:r>
      <w:r w:rsidR="001B303A">
        <w:t>.</w:t>
      </w:r>
    </w:p>
    <w:p w14:paraId="09655635" w14:textId="551B1D58" w:rsidR="001B303A" w:rsidRDefault="001B303A" w:rsidP="00376CAB">
      <w:r>
        <w:lastRenderedPageBreak/>
        <w:t xml:space="preserve">Hiện nay, bệnh lao phổi </w:t>
      </w:r>
      <w:r w:rsidR="00E7640B">
        <w:t>có thể điều trị khỏi</w:t>
      </w:r>
      <w:r>
        <w:t>, tuy nhiên điều trị kéo dài nên việc đảm bảo dinh dưỡng cần thực hiện ngay từ đầu và trong suốt quá trình điều trị</w:t>
      </w:r>
      <w:r w:rsidR="008422A0">
        <w:t xml:space="preserve"> </w:t>
      </w:r>
      <w:r w:rsidR="008422A0">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 </w:instrText>
      </w:r>
      <w:r w:rsidR="00652D6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EN.CITE.DATA </w:instrText>
      </w:r>
      <w:r w:rsidR="00652D6C">
        <w:fldChar w:fldCharType="end"/>
      </w:r>
      <w:r w:rsidR="008422A0">
        <w:fldChar w:fldCharType="separate"/>
      </w:r>
      <w:r w:rsidR="00652D6C">
        <w:t>[1, 12]</w:t>
      </w:r>
      <w:r w:rsidR="008422A0">
        <w:fldChar w:fldCharType="end"/>
      </w:r>
      <w:r>
        <w:t xml:space="preserve">. Đánh giá SDD giúp hạn chế các biến chứng trong quá trình điều trị, cải thiện tiên lượng bệnh cũng như có kế hoạch chăm sóc hợp lý và can thiệp kịp thời. </w:t>
      </w:r>
      <w:r w:rsidR="00D403EC">
        <w:t>Nâng cao</w:t>
      </w:r>
      <w:r>
        <w:t xml:space="preserve"> </w:t>
      </w:r>
      <w:r w:rsidR="00505B60">
        <w:t>TTDD</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652D6C">
        <w:instrText xml:space="preserve"> ADDIN EN.CITE &lt;EndNote&gt;&lt;Cite&gt;&lt;Author&gt;Das&lt;/Author&gt;&lt;Year&gt;2018&lt;/Year&gt;&lt;RecNum&gt;11&lt;/RecNum&gt;&lt;DisplayText&gt;[5]&lt;/DisplayText&gt;&lt;record&gt;&lt;rec-number&gt;11&lt;/rec-number&gt;&lt;foreign-keys&gt;&lt;key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652D6C">
        <w:t>[5]</w:t>
      </w:r>
      <w:r w:rsidR="00CC510F">
        <w:fldChar w:fldCharType="end"/>
      </w:r>
      <w:r>
        <w:t>.</w:t>
      </w:r>
    </w:p>
    <w:p w14:paraId="0FA8E714" w14:textId="2416D120" w:rsidR="001B303A" w:rsidRDefault="001B303A" w:rsidP="00376CAB">
      <w:r>
        <w:t>Số ca bệnh được chẩn đoán lao phổi mới tại Hải Phòng ở mức cao so với các tỉnh và thành phố trong cả nước. Năm 2020, Hải Phòng có 1578 người mắc lao mới</w:t>
      </w:r>
      <w:r w:rsidR="00573EA7">
        <w:t xml:space="preserve"> </w:t>
      </w:r>
      <w:r w:rsidR="00432B92">
        <w:fldChar w:fldCharType="begin"/>
      </w:r>
      <w:r w:rsidR="00652D6C">
        <w:instrText xml:space="preserve"> ADDIN EN.CITE &lt;EndNote&gt;&lt;Cite&gt;&lt;Author&gt;gia&lt;/Author&gt;&lt;Year&gt;2020&lt;/Year&gt;&lt;RecNum&gt;13&lt;/RecNum&gt;&lt;DisplayText&gt;[13]&lt;/DisplayText&gt;&lt;record&gt;&lt;rec-number&gt;13&lt;/rec-number&gt;&lt;foreign-keys&gt;&lt;key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652D6C">
        <w:t>[13]</w:t>
      </w:r>
      <w:r w:rsidR="00432B92">
        <w:fldChar w:fldCharType="end"/>
      </w:r>
      <w:r>
        <w:t xml:space="preserve">. Tuy nhiên, chưa có </w:t>
      </w:r>
      <w:r w:rsidR="000650D4">
        <w:t xml:space="preserve">nhiều nghiên cứu </w:t>
      </w:r>
      <w:r>
        <w:t xml:space="preserve">về </w:t>
      </w:r>
      <w:r w:rsidR="000650D4">
        <w:t>TTDD</w:t>
      </w:r>
      <w:r>
        <w:t>, mức độ nghiêm trọng của SDD đối với bệnh nhân lao phổi mới.</w:t>
      </w:r>
      <w:r w:rsidR="00087451">
        <w:t xml:space="preserve"> </w:t>
      </w:r>
      <w:r w:rsidR="00087451" w:rsidRPr="00E04B18">
        <w:t xml:space="preserve">Câu hỏi được đặt ra là </w:t>
      </w:r>
      <w:r w:rsidR="006343EE">
        <w:t>TTDD</w:t>
      </w:r>
      <w:r w:rsidR="00087451" w:rsidRPr="00E04B18">
        <w:t xml:space="preserve"> </w:t>
      </w:r>
      <w:r w:rsidR="00D248D9" w:rsidRPr="00E04B18">
        <w:t xml:space="preserve">và các yếu tố liên quan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C42569">
        <w:t>?</w:t>
      </w:r>
      <w:r>
        <w:t xml:space="preserve"> Với mong muốn đánh giá TTDD và các yếu tố liên quan của bệnh nhân lao phổi mới một cách khách quan, toàn diện để kịp thời có những giải pháp nhằm nâng cao hiệu quả điều trị và chăm sóc bệnh nhân lao phổi, đồng thời là nền tảng phát triển các nghiên cứu trong tương lai, </w:t>
      </w:r>
      <w:r w:rsidR="00882593">
        <w:t>chúng tôi</w:t>
      </w:r>
      <w:r>
        <w:t xml:space="preserve"> thực hiện đề tài </w:t>
      </w:r>
      <w:r>
        <w:rPr>
          <w:b/>
          <w:bCs/>
        </w:rPr>
        <w:t>“</w:t>
      </w:r>
      <w:r w:rsidR="006E5CF6">
        <w:rPr>
          <w:b/>
          <w:bCs/>
        </w:rPr>
        <w:t>Thực trạng</w:t>
      </w:r>
      <w:r>
        <w:rPr>
          <w:b/>
          <w:bCs/>
        </w:rPr>
        <w:t xml:space="preserve"> và một số yếu tố liên quan</w:t>
      </w:r>
      <w:r w:rsidR="006E5CF6">
        <w:rPr>
          <w:b/>
          <w:bCs/>
        </w:rPr>
        <w:t xml:space="preserve"> đến dinh dưỡng</w:t>
      </w:r>
      <w:r>
        <w:rPr>
          <w:b/>
          <w:bCs/>
        </w:rPr>
        <w:t xml:space="preserve"> ở bệnh nhân lao phổi mới tại </w:t>
      </w:r>
      <w:r w:rsidR="00E53363">
        <w:rPr>
          <w:b/>
          <w:bCs/>
        </w:rPr>
        <w:t>B</w:t>
      </w:r>
      <w:r>
        <w:rPr>
          <w:b/>
          <w:bCs/>
        </w:rPr>
        <w:t xml:space="preserve">ệnh viện phổi </w:t>
      </w:r>
      <w:r w:rsidR="00E53363">
        <w:rPr>
          <w:b/>
          <w:bCs/>
        </w:rPr>
        <w:t>H</w:t>
      </w:r>
      <w:r>
        <w:rPr>
          <w:b/>
          <w:bCs/>
        </w:rPr>
        <w:t xml:space="preserve">ải </w:t>
      </w:r>
      <w:r w:rsidR="00E53363">
        <w:rPr>
          <w:b/>
          <w:bCs/>
        </w:rPr>
        <w:t>P</w:t>
      </w:r>
      <w:r>
        <w:rPr>
          <w:b/>
          <w:bCs/>
        </w:rPr>
        <w:t>hòng năm 2021-2022”</w:t>
      </w:r>
      <w:r>
        <w:t xml:space="preserve"> với </w:t>
      </w:r>
      <w:r w:rsidR="00127543">
        <w:t>2</w:t>
      </w:r>
      <w:r>
        <w:t xml:space="preserve"> mục tiêu:</w:t>
      </w:r>
    </w:p>
    <w:p w14:paraId="5DB5AA1A" w14:textId="02CDFC48"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 BMI</w:t>
      </w:r>
      <w:r w:rsidR="00E17BEC">
        <w:rPr>
          <w:i/>
          <w:iCs/>
        </w:rPr>
        <w:t xml:space="preserve"> và</w:t>
      </w:r>
      <w:r w:rsidR="0050429E" w:rsidRPr="009F19AE">
        <w:rPr>
          <w:i/>
          <w:iCs/>
        </w:rPr>
        <w:t xml:space="preserve"> phương pháp</w:t>
      </w:r>
      <w:r w:rsidR="00E17BEC">
        <w:rPr>
          <w:i/>
          <w:iCs/>
        </w:rPr>
        <w:t xml:space="preserve"> </w:t>
      </w:r>
      <w:r w:rsidR="00884831">
        <w:rPr>
          <w:i/>
          <w:iCs/>
        </w:rPr>
        <w:t xml:space="preserve">đánh giá dinh dưỡng </w:t>
      </w:r>
      <w:r w:rsidR="00E17BEC">
        <w:rPr>
          <w:i/>
          <w:iCs/>
        </w:rPr>
        <w:t>chủ quan</w:t>
      </w:r>
      <w:r w:rsidR="0050429E" w:rsidRPr="009F19AE">
        <w:rPr>
          <w:i/>
          <w:iCs/>
        </w:rPr>
        <w:t xml:space="preserve"> 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2664E24B" w:rsidR="001B303A" w:rsidRPr="004E54B7" w:rsidRDefault="001B303A" w:rsidP="00715990">
      <w:pPr>
        <w:pStyle w:val="Heading1"/>
      </w:pPr>
      <w:bookmarkStart w:id="12" w:name="_Toc126527699"/>
      <w:bookmarkStart w:id="13" w:name="_Toc133590770"/>
      <w:r w:rsidRPr="004E54B7">
        <w:lastRenderedPageBreak/>
        <w:t>– TỔNG QUAN</w:t>
      </w:r>
      <w:bookmarkEnd w:id="12"/>
      <w:bookmarkEnd w:id="13"/>
    </w:p>
    <w:p w14:paraId="3CF8C5EE" w14:textId="16E6CB54" w:rsidR="00FA688E" w:rsidRDefault="00FA688E" w:rsidP="007C7003">
      <w:pPr>
        <w:pStyle w:val="Heading2"/>
      </w:pPr>
      <w:bookmarkStart w:id="14" w:name="_Toc126527700"/>
      <w:bookmarkStart w:id="15" w:name="_Toc133590771"/>
      <w:r>
        <w:t>1.1. Tình hình mắc lao hiện nay</w:t>
      </w:r>
      <w:bookmarkEnd w:id="14"/>
      <w:bookmarkEnd w:id="15"/>
    </w:p>
    <w:p w14:paraId="2ECE01AC" w14:textId="5D94A1E4" w:rsidR="00FA688E" w:rsidRDefault="00FA688E" w:rsidP="007C7003">
      <w:pPr>
        <w:pStyle w:val="Heading3"/>
      </w:pPr>
      <w:bookmarkStart w:id="16" w:name="_Toc126527701"/>
      <w:r>
        <w:t>1.1.1. Tình hình mắc lao trên thế giới</w:t>
      </w:r>
      <w:bookmarkEnd w:id="16"/>
    </w:p>
    <w:p w14:paraId="3022DE87" w14:textId="4B65DDEA" w:rsidR="00FA688E" w:rsidRDefault="00FA688E" w:rsidP="00FA688E">
      <w:r>
        <w:t xml:space="preserve">Theo Báo cáo Lao toàn cầu năm 2022 của </w:t>
      </w:r>
      <w:r w:rsidR="00E90817">
        <w:t>WHO</w:t>
      </w:r>
      <w:r>
        <w:t xml:space="preserve">, trước khi đại dịch coronavirus (COVID-19) bùng phát, bệnh lao là nguyên nhân hàng đầu gây tử vong do một tác nhân truyền nhiễm, xếp trên HIV/AIDS. Ước tính khoảng 10,6 triệu người mắc bệnh lao vào năm 2021, tăng 4,5% so với 10,1 triệu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 xml:space="preserve">mới tăng 3,6%,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189F40A8"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00F2A964" w:rsidR="0072698F" w:rsidRDefault="00D0500D" w:rsidP="00BF046F">
      <w:r w:rsidRPr="00D0500D">
        <w:t xml:space="preserve">Theo </w:t>
      </w:r>
      <w:r w:rsidR="00637A35">
        <w:t>nghiên cứu</w:t>
      </w:r>
      <w:r w:rsidRPr="00D0500D">
        <w:t xml:space="preserve"> của các tác giả V</w:t>
      </w:r>
      <w:r w:rsidR="00034AF9">
        <w:t>.</w:t>
      </w:r>
      <w:r w:rsidRPr="00D0500D">
        <w:t xml:space="preserve"> Schiza và cộng sự</w:t>
      </w:r>
      <w:r w:rsidR="00034AF9">
        <w:t xml:space="preserve"> năm 2022</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 xml:space="preserve">trong năm 2020. </w:t>
      </w:r>
      <w:r w:rsidR="00C66955">
        <w:t>Kết quả</w:t>
      </w:r>
      <w:r w:rsidR="00637A35" w:rsidRPr="00637A35">
        <w:t xml:space="preserve"> này có thể phản ánh sự giảm tiếp cận với các dịch vụ chẩn đoán và điều trị la</w:t>
      </w:r>
      <w:r w:rsidR="00DB3A72">
        <w:t>o</w:t>
      </w:r>
      <w:r w:rsidR="00A32B1F">
        <w:t>. Nghiên cứu</w:t>
      </w:r>
      <w:r w:rsidR="00A32B1F" w:rsidRPr="00A32B1F">
        <w:t xml:space="preserve"> cũng nhận thấy một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652D6C">
        <w:instrText xml:space="preserve"> ADDIN EN.CITE &lt;EndNote&gt;&lt;Cite&gt;&lt;Author&gt;Schiza&lt;/Author&gt;&lt;Year&gt;2022&lt;/Year&gt;&lt;RecNum&gt;67&lt;/RecNum&gt;&lt;DisplayText&gt;[14]&lt;/DisplayText&gt;&lt;record&gt;&lt;rec-number&gt;67&lt;/rec-number&gt;&lt;foreign-keys&gt;&lt;key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652D6C">
        <w:t>[14]</w:t>
      </w:r>
      <w:r w:rsidR="008B4D50">
        <w:fldChar w:fldCharType="end"/>
      </w:r>
      <w:r w:rsidR="003630E0">
        <w:t>.</w:t>
      </w:r>
      <w:r w:rsidR="00AC56A8" w:rsidRPr="00AC56A8">
        <w:t xml:space="preserve"> WHO</w:t>
      </w:r>
      <w:r w:rsidR="00662B13">
        <w:t xml:space="preserve"> </w:t>
      </w:r>
      <w:r w:rsidR="00662B13">
        <w:lastRenderedPageBreak/>
        <w:t>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17" w:name="_Toc126527702"/>
      <w:r>
        <w:t>1.1.2. Tình hình mắc lao ở Việt Nam</w:t>
      </w:r>
      <w:bookmarkEnd w:id="17"/>
    </w:p>
    <w:p w14:paraId="00A942E3" w14:textId="485D822D" w:rsidR="00FA688E" w:rsidRDefault="00FA688E" w:rsidP="00FA688E">
      <w:r w:rsidRPr="00085A04">
        <w:t>Hiện</w:t>
      </w:r>
      <w:r>
        <w:t xml:space="preserve"> nay</w:t>
      </w:r>
      <w:r w:rsidRPr="00085A04">
        <w:t xml:space="preserve">, Việt Nam vẫn là nước có gánh nặng bệnh lao cao, đứng thứ 11 trong 30 nước có số người bệnh lao cao nhất trên toàn cầu, đồng thời đứng thứ 11 trong số 30 nước có gánh nặng bệnh lao kháng đa thuốc cao nhất thế giới </w:t>
      </w:r>
      <w:r w:rsidR="00C67215">
        <w:t xml:space="preserve">theo </w:t>
      </w:r>
      <w:r>
        <w:t>Báo cáo Lao toàn cầu năm</w:t>
      </w:r>
      <w:r w:rsidRPr="00085A04">
        <w:t xml:space="preserve"> 2022</w:t>
      </w:r>
      <w:r>
        <w:t xml:space="preserve"> của </w:t>
      </w:r>
      <w:r w:rsidR="00C67215">
        <w:t>WHO</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47105C65" w:rsidR="00FA688E" w:rsidRPr="00ED40D6" w:rsidRDefault="00715990" w:rsidP="00715990">
      <w:pPr>
        <w:pStyle w:val="Caption"/>
        <w:rPr>
          <w:bCs/>
        </w:rPr>
      </w:pPr>
      <w:bookmarkStart w:id="18" w:name="_Toc123983011"/>
      <w:bookmarkStart w:id="19" w:name="_Toc133590740"/>
      <w:r>
        <w:t xml:space="preserve">Bảng </w:t>
      </w:r>
      <w:r w:rsidR="000A1A5C">
        <w:fldChar w:fldCharType="begin"/>
      </w:r>
      <w:r w:rsidR="000A1A5C">
        <w:instrText xml:space="preserve"> STYLEREF 1 \s </w:instrText>
      </w:r>
      <w:r w:rsidR="000A1A5C">
        <w:fldChar w:fldCharType="separate"/>
      </w:r>
      <w:r w:rsidR="000A1A5C">
        <w:t>1</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1</w:t>
      </w:r>
      <w:r w:rsidR="000A1A5C">
        <w:fldChar w:fldCharType="end"/>
      </w:r>
      <w:r>
        <w:t>.</w:t>
      </w:r>
      <w:r w:rsidR="00ED40D6">
        <w:t xml:space="preserve"> </w:t>
      </w:r>
      <w:r w:rsidR="00FA688E" w:rsidRPr="00ED40D6">
        <w:rPr>
          <w:bCs/>
        </w:rPr>
        <w:t>Ước tính gánh nặng bệnh lao tại Việt Nam năm 2021</w:t>
      </w:r>
      <w:bookmarkEnd w:id="18"/>
      <w:bookmarkEnd w:id="19"/>
    </w:p>
    <w:tbl>
      <w:tblPr>
        <w:tblStyle w:val="TableGrid"/>
        <w:tblW w:w="5000" w:type="pct"/>
        <w:tblInd w:w="0" w:type="dxa"/>
        <w:tblLook w:val="04A0" w:firstRow="1" w:lastRow="0" w:firstColumn="1" w:lastColumn="0" w:noHBand="0" w:noVBand="1"/>
      </w:tblPr>
      <w:tblGrid>
        <w:gridCol w:w="5215"/>
        <w:gridCol w:w="1948"/>
        <w:gridCol w:w="1948"/>
      </w:tblGrid>
      <w:tr w:rsidR="00FA688E" w14:paraId="00224BC6" w14:textId="77777777" w:rsidTr="00945AD9">
        <w:tc>
          <w:tcPr>
            <w:tcW w:w="2862" w:type="pct"/>
          </w:tcPr>
          <w:p w14:paraId="2506044D" w14:textId="77777777" w:rsidR="00FA688E" w:rsidRPr="00945AD9" w:rsidRDefault="00FA688E" w:rsidP="00945AD9">
            <w:pPr>
              <w:jc w:val="center"/>
              <w:rPr>
                <w:b/>
                <w:bCs/>
              </w:rPr>
            </w:pPr>
          </w:p>
        </w:tc>
        <w:tc>
          <w:tcPr>
            <w:tcW w:w="1069" w:type="pct"/>
          </w:tcPr>
          <w:p w14:paraId="72DFC17B" w14:textId="77777777" w:rsidR="00FA688E" w:rsidRPr="00945AD9" w:rsidRDefault="00FA688E" w:rsidP="00945AD9">
            <w:pPr>
              <w:jc w:val="center"/>
              <w:rPr>
                <w:b/>
                <w:bCs/>
              </w:rPr>
            </w:pPr>
            <w:r w:rsidRPr="00945AD9">
              <w:rPr>
                <w:b/>
                <w:bCs/>
              </w:rPr>
              <w:t>Số lượng</w:t>
            </w:r>
          </w:p>
        </w:tc>
        <w:tc>
          <w:tcPr>
            <w:tcW w:w="1069" w:type="pct"/>
          </w:tcPr>
          <w:p w14:paraId="0D0E7EC7" w14:textId="77777777" w:rsidR="00FA688E" w:rsidRPr="00945AD9" w:rsidRDefault="00FA688E" w:rsidP="00945AD9">
            <w:pPr>
              <w:jc w:val="center"/>
              <w:rPr>
                <w:b/>
                <w:bCs/>
              </w:rPr>
            </w:pPr>
            <w:r w:rsidRPr="00945AD9">
              <w:rPr>
                <w:b/>
                <w:bCs/>
              </w:rPr>
              <w:t>Tỷ lệ (trên 100 000 dân)</w:t>
            </w:r>
          </w:p>
        </w:tc>
      </w:tr>
      <w:tr w:rsidR="00FA688E" w14:paraId="5E1854B3" w14:textId="77777777" w:rsidTr="00945AD9">
        <w:tc>
          <w:tcPr>
            <w:tcW w:w="2862" w:type="pct"/>
          </w:tcPr>
          <w:p w14:paraId="3EC1963D" w14:textId="77777777" w:rsidR="00FA688E" w:rsidRPr="00121F5D" w:rsidRDefault="00FA688E" w:rsidP="00945AD9">
            <w:r w:rsidRPr="00121F5D">
              <w:t>Tổng số mắc lao</w:t>
            </w:r>
          </w:p>
        </w:tc>
        <w:tc>
          <w:tcPr>
            <w:tcW w:w="1069" w:type="pct"/>
          </w:tcPr>
          <w:p w14:paraId="23AD7B8E" w14:textId="77777777" w:rsidR="00FA688E" w:rsidRPr="00121F5D" w:rsidRDefault="00FA688E" w:rsidP="00945AD9">
            <w:pPr>
              <w:jc w:val="center"/>
            </w:pPr>
            <w:r w:rsidRPr="00121F5D">
              <w:t>169 000 (109 000-241 000)</w:t>
            </w:r>
          </w:p>
        </w:tc>
        <w:tc>
          <w:tcPr>
            <w:tcW w:w="1069" w:type="pct"/>
          </w:tcPr>
          <w:p w14:paraId="5169ACD5" w14:textId="77777777" w:rsidR="00FA688E" w:rsidRPr="00121F5D" w:rsidRDefault="00FA688E" w:rsidP="00945AD9">
            <w:pPr>
              <w:jc w:val="center"/>
            </w:pPr>
            <w:r w:rsidRPr="0069207B">
              <w:t>173 (112-247)</w:t>
            </w:r>
          </w:p>
        </w:tc>
      </w:tr>
      <w:tr w:rsidR="00FA688E" w14:paraId="72B9D15A" w14:textId="77777777" w:rsidTr="00945AD9">
        <w:tc>
          <w:tcPr>
            <w:tcW w:w="2862" w:type="pct"/>
          </w:tcPr>
          <w:p w14:paraId="66763164" w14:textId="77777777" w:rsidR="00FA688E" w:rsidRPr="00121F5D" w:rsidRDefault="00FA688E" w:rsidP="00945AD9">
            <w:r w:rsidRPr="00121F5D">
              <w:t>Tỷ lệ nhiễm lao dương tính với HIV</w:t>
            </w:r>
          </w:p>
        </w:tc>
        <w:tc>
          <w:tcPr>
            <w:tcW w:w="1069" w:type="pct"/>
          </w:tcPr>
          <w:p w14:paraId="5F51A56A" w14:textId="5D507A32" w:rsidR="00FA688E" w:rsidRPr="00121F5D" w:rsidRDefault="00FA688E" w:rsidP="00945AD9">
            <w:pPr>
              <w:jc w:val="center"/>
            </w:pPr>
            <w:r w:rsidRPr="0069207B">
              <w:t>5 100 (3 300-7 400)</w:t>
            </w:r>
          </w:p>
        </w:tc>
        <w:tc>
          <w:tcPr>
            <w:tcW w:w="1069" w:type="pct"/>
          </w:tcPr>
          <w:p w14:paraId="5A43B669" w14:textId="77777777" w:rsidR="00FA688E" w:rsidRPr="00121F5D" w:rsidRDefault="00FA688E" w:rsidP="00945AD9">
            <w:pPr>
              <w:jc w:val="center"/>
            </w:pPr>
            <w:r w:rsidRPr="0069207B">
              <w:t>5.3 (3.4-7.5)</w:t>
            </w:r>
          </w:p>
        </w:tc>
      </w:tr>
      <w:tr w:rsidR="00FA688E" w14:paraId="21B13FDD" w14:textId="77777777" w:rsidTr="00945AD9">
        <w:tc>
          <w:tcPr>
            <w:tcW w:w="2862" w:type="pct"/>
          </w:tcPr>
          <w:p w14:paraId="5DA16986" w14:textId="77777777" w:rsidR="00FA688E" w:rsidRPr="00121F5D" w:rsidRDefault="00FA688E" w:rsidP="00945AD9">
            <w:r w:rsidRPr="00121F5D">
              <w:t xml:space="preserve">Tỷ lệ lao kháng </w:t>
            </w:r>
            <w:r w:rsidRPr="00EE14CC">
              <w:t>MDR/RR</w:t>
            </w:r>
          </w:p>
        </w:tc>
        <w:tc>
          <w:tcPr>
            <w:tcW w:w="1069" w:type="pct"/>
          </w:tcPr>
          <w:p w14:paraId="145A0F07" w14:textId="77777777" w:rsidR="00FA688E" w:rsidRPr="00121F5D" w:rsidRDefault="00FA688E" w:rsidP="00945AD9">
            <w:pPr>
              <w:jc w:val="center"/>
            </w:pPr>
            <w:r w:rsidRPr="0069207B">
              <w:t>8 900 (5 400-12 000)</w:t>
            </w:r>
          </w:p>
        </w:tc>
        <w:tc>
          <w:tcPr>
            <w:tcW w:w="1069" w:type="pct"/>
          </w:tcPr>
          <w:p w14:paraId="5DFF2EBF" w14:textId="77777777" w:rsidR="00FA688E" w:rsidRPr="00121F5D" w:rsidRDefault="00FA688E" w:rsidP="00945AD9">
            <w:pPr>
              <w:jc w:val="center"/>
            </w:pPr>
            <w:r w:rsidRPr="0069207B">
              <w:t>9.1 (5.5-13)</w:t>
            </w:r>
          </w:p>
        </w:tc>
      </w:tr>
      <w:tr w:rsidR="00FA688E" w14:paraId="1FB6F6F8" w14:textId="77777777" w:rsidTr="00945AD9">
        <w:tc>
          <w:tcPr>
            <w:tcW w:w="2862" w:type="pct"/>
          </w:tcPr>
          <w:p w14:paraId="27EBB909" w14:textId="77777777" w:rsidR="00FA688E" w:rsidRPr="00121F5D" w:rsidRDefault="00FA688E" w:rsidP="00945AD9">
            <w:r w:rsidRPr="00121F5D">
              <w:t>Tỷ lệ tử vong do lao âm tính với HIV</w:t>
            </w:r>
          </w:p>
        </w:tc>
        <w:tc>
          <w:tcPr>
            <w:tcW w:w="1069" w:type="pct"/>
          </w:tcPr>
          <w:p w14:paraId="19264725" w14:textId="736CBC48" w:rsidR="00FA688E" w:rsidRPr="00121F5D" w:rsidRDefault="00FA688E" w:rsidP="00945AD9">
            <w:pPr>
              <w:jc w:val="center"/>
            </w:pPr>
            <w:r w:rsidRPr="0069207B">
              <w:t>12 000 (8 700-16 000)</w:t>
            </w:r>
          </w:p>
        </w:tc>
        <w:tc>
          <w:tcPr>
            <w:tcW w:w="1069" w:type="pct"/>
          </w:tcPr>
          <w:p w14:paraId="6C8404BF" w14:textId="77777777" w:rsidR="00FA688E" w:rsidRPr="00121F5D" w:rsidRDefault="00FA688E" w:rsidP="00945AD9">
            <w:pPr>
              <w:jc w:val="center"/>
            </w:pPr>
            <w:r w:rsidRPr="0069207B">
              <w:t>12 (8.9-17)</w:t>
            </w:r>
          </w:p>
        </w:tc>
      </w:tr>
      <w:tr w:rsidR="00FA688E" w14:paraId="3357FF39" w14:textId="77777777" w:rsidTr="00945AD9">
        <w:tc>
          <w:tcPr>
            <w:tcW w:w="2862" w:type="pct"/>
          </w:tcPr>
          <w:p w14:paraId="492D4B01" w14:textId="77777777" w:rsidR="00FA688E" w:rsidRPr="00121F5D" w:rsidRDefault="00FA688E" w:rsidP="00945AD9">
            <w:r w:rsidRPr="00121F5D">
              <w:t>Tỷ lệ tử vong do lao dương tính với HIV</w:t>
            </w:r>
          </w:p>
        </w:tc>
        <w:tc>
          <w:tcPr>
            <w:tcW w:w="1069" w:type="pct"/>
          </w:tcPr>
          <w:p w14:paraId="69A34711" w14:textId="2D801A7B" w:rsidR="00FA688E" w:rsidRPr="00121F5D" w:rsidRDefault="00FA688E" w:rsidP="00945AD9">
            <w:pPr>
              <w:jc w:val="center"/>
            </w:pPr>
            <w:r w:rsidRPr="0069207B">
              <w:t>2 200 (1 600-2 900)</w:t>
            </w:r>
          </w:p>
        </w:tc>
        <w:tc>
          <w:tcPr>
            <w:tcW w:w="1069" w:type="pct"/>
          </w:tcPr>
          <w:p w14:paraId="37EA51FC" w14:textId="77777777" w:rsidR="00FA688E" w:rsidRPr="00121F5D" w:rsidRDefault="00FA688E" w:rsidP="00945AD9">
            <w:pPr>
              <w:jc w:val="center"/>
            </w:pPr>
            <w:r w:rsidRPr="0069207B">
              <w:t>2.2 (1.6-3)</w:t>
            </w:r>
          </w:p>
        </w:tc>
      </w:tr>
    </w:tbl>
    <w:p w14:paraId="51E6FCE8" w14:textId="67CF975B" w:rsidR="00FA688E" w:rsidRPr="00534DF3" w:rsidRDefault="00AF5F47" w:rsidP="00AF5F47">
      <w:pPr>
        <w:pStyle w:val="Caption"/>
        <w:rPr>
          <w:b w:val="0"/>
          <w:bCs/>
        </w:rPr>
      </w:pPr>
      <w:bookmarkStart w:id="20" w:name="_Toc133590741"/>
      <w:r>
        <w:t xml:space="preserve">Bảng </w:t>
      </w:r>
      <w:r w:rsidR="000A1A5C">
        <w:fldChar w:fldCharType="begin"/>
      </w:r>
      <w:r w:rsidR="000A1A5C">
        <w:instrText xml:space="preserve"> STYLEREF 1 \s </w:instrText>
      </w:r>
      <w:r w:rsidR="000A1A5C">
        <w:fldChar w:fldCharType="separate"/>
      </w:r>
      <w:r w:rsidR="000A1A5C">
        <w:t>1</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2</w:t>
      </w:r>
      <w:r w:rsidR="000A1A5C">
        <w:fldChar w:fldCharType="end"/>
      </w:r>
      <w:r>
        <w:t xml:space="preserve">. </w:t>
      </w:r>
      <w:r w:rsidR="00FA688E" w:rsidRPr="00534DF3">
        <w:rPr>
          <w:bCs/>
        </w:rPr>
        <w:t>Ước tính tỷ lệ mắc lao với MDR/RR-TB năm 2021</w:t>
      </w:r>
      <w:bookmarkEnd w:id="20"/>
    </w:p>
    <w:tbl>
      <w:tblPr>
        <w:tblStyle w:val="TableGrid"/>
        <w:tblW w:w="0" w:type="auto"/>
        <w:tblInd w:w="0" w:type="dxa"/>
        <w:tblLook w:val="04A0" w:firstRow="1" w:lastRow="0" w:firstColumn="1" w:lastColumn="0" w:noHBand="0" w:noVBand="1"/>
      </w:tblPr>
      <w:tblGrid>
        <w:gridCol w:w="4555"/>
        <w:gridCol w:w="4556"/>
      </w:tblGrid>
      <w:tr w:rsidR="00FA688E" w14:paraId="61A5448A" w14:textId="77777777" w:rsidTr="00EE7600">
        <w:tc>
          <w:tcPr>
            <w:tcW w:w="4555" w:type="dxa"/>
          </w:tcPr>
          <w:p w14:paraId="258129E6" w14:textId="77777777" w:rsidR="00FA688E" w:rsidRPr="00B550D7" w:rsidRDefault="00FA688E" w:rsidP="00243B2C">
            <w:pPr>
              <w:rPr>
                <w:szCs w:val="28"/>
              </w:rPr>
            </w:pPr>
            <w:r w:rsidRPr="00B550D7">
              <w:rPr>
                <w:szCs w:val="28"/>
              </w:rPr>
              <w:t>Các trường hợp mới</w:t>
            </w:r>
          </w:p>
        </w:tc>
        <w:tc>
          <w:tcPr>
            <w:tcW w:w="4556" w:type="dxa"/>
          </w:tcPr>
          <w:p w14:paraId="67311952" w14:textId="77777777" w:rsidR="00FA688E" w:rsidRPr="00B550D7" w:rsidRDefault="00FA688E" w:rsidP="00243B2C">
            <w:pPr>
              <w:jc w:val="center"/>
              <w:rPr>
                <w:szCs w:val="28"/>
              </w:rPr>
            </w:pPr>
            <w:r w:rsidRPr="00B550D7">
              <w:rPr>
                <w:szCs w:val="28"/>
              </w:rPr>
              <w:t>4,3% (4,1-4,5)</w:t>
            </w:r>
          </w:p>
        </w:tc>
      </w:tr>
      <w:tr w:rsidR="00FA688E" w14:paraId="17BDEEFD" w14:textId="77777777" w:rsidTr="00EE7600">
        <w:tc>
          <w:tcPr>
            <w:tcW w:w="4555" w:type="dxa"/>
          </w:tcPr>
          <w:p w14:paraId="1C43559A" w14:textId="77777777" w:rsidR="00FA688E" w:rsidRPr="00B550D7" w:rsidRDefault="00FA688E" w:rsidP="00243B2C">
            <w:pPr>
              <w:rPr>
                <w:szCs w:val="28"/>
              </w:rPr>
            </w:pPr>
            <w:r w:rsidRPr="00B550D7">
              <w:rPr>
                <w:szCs w:val="28"/>
              </w:rPr>
              <w:t>Các trường hợp đã điều trị trước đây</w:t>
            </w:r>
          </w:p>
        </w:tc>
        <w:tc>
          <w:tcPr>
            <w:tcW w:w="4556" w:type="dxa"/>
          </w:tcPr>
          <w:p w14:paraId="5E37A4E6" w14:textId="77777777" w:rsidR="00FA688E" w:rsidRPr="00B550D7" w:rsidRDefault="00FA688E" w:rsidP="00243B2C">
            <w:pPr>
              <w:jc w:val="center"/>
              <w:rPr>
                <w:szCs w:val="28"/>
              </w:rPr>
            </w:pPr>
            <w:r w:rsidRPr="00B550D7">
              <w:rPr>
                <w:szCs w:val="28"/>
              </w:rPr>
              <w:t>15% (14-16)</w:t>
            </w:r>
          </w:p>
        </w:tc>
      </w:tr>
    </w:tbl>
    <w:p w14:paraId="6C8614CF" w14:textId="6F10E77F" w:rsidR="00FA688E" w:rsidRDefault="00AF5F47" w:rsidP="00AF5F47">
      <w:pPr>
        <w:pStyle w:val="Caption"/>
      </w:pPr>
      <w:bookmarkStart w:id="21" w:name="_Toc133590742"/>
      <w:r>
        <w:t xml:space="preserve">Bảng </w:t>
      </w:r>
      <w:r w:rsidR="000A1A5C">
        <w:fldChar w:fldCharType="begin"/>
      </w:r>
      <w:r w:rsidR="000A1A5C">
        <w:instrText xml:space="preserve"> STYLEREF 1 \s </w:instrText>
      </w:r>
      <w:r w:rsidR="000A1A5C">
        <w:fldChar w:fldCharType="separate"/>
      </w:r>
      <w:r w:rsidR="000A1A5C">
        <w:t>1</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3</w:t>
      </w:r>
      <w:r w:rsidR="000A1A5C">
        <w:fldChar w:fldCharType="end"/>
      </w:r>
      <w:r>
        <w:t xml:space="preserve">. </w:t>
      </w:r>
      <w:r w:rsidR="00FA688E">
        <w:t>Thông báo ca bệnh năm 2021</w:t>
      </w:r>
      <w:bookmarkEnd w:id="21"/>
    </w:p>
    <w:tbl>
      <w:tblPr>
        <w:tblStyle w:val="TableGrid"/>
        <w:tblW w:w="0" w:type="auto"/>
        <w:tblInd w:w="0" w:type="dxa"/>
        <w:tblLook w:val="04A0" w:firstRow="1" w:lastRow="0" w:firstColumn="1" w:lastColumn="0" w:noHBand="0" w:noVBand="1"/>
      </w:tblPr>
      <w:tblGrid>
        <w:gridCol w:w="4555"/>
        <w:gridCol w:w="4556"/>
      </w:tblGrid>
      <w:tr w:rsidR="00FA688E" w14:paraId="1136C856" w14:textId="77777777" w:rsidTr="00EE7600">
        <w:tc>
          <w:tcPr>
            <w:tcW w:w="4555" w:type="dxa"/>
          </w:tcPr>
          <w:p w14:paraId="6ED92C2D" w14:textId="77777777" w:rsidR="00FA688E" w:rsidRPr="00A75668" w:rsidRDefault="00FA688E" w:rsidP="00243B2C">
            <w:pPr>
              <w:rPr>
                <w:szCs w:val="28"/>
              </w:rPr>
            </w:pPr>
            <w:r w:rsidRPr="00A75668">
              <w:rPr>
                <w:szCs w:val="28"/>
              </w:rPr>
              <w:t>Tổng số mới và tái phát</w:t>
            </w:r>
          </w:p>
        </w:tc>
        <w:tc>
          <w:tcPr>
            <w:tcW w:w="4556" w:type="dxa"/>
          </w:tcPr>
          <w:p w14:paraId="1C80B89B" w14:textId="77777777" w:rsidR="00FA688E" w:rsidRPr="00A75668" w:rsidRDefault="00FA688E" w:rsidP="00243B2C">
            <w:pPr>
              <w:jc w:val="center"/>
              <w:rPr>
                <w:szCs w:val="28"/>
              </w:rPr>
            </w:pPr>
            <w:r w:rsidRPr="00A75668">
              <w:rPr>
                <w:szCs w:val="28"/>
              </w:rPr>
              <w:t>77 657</w:t>
            </w:r>
          </w:p>
        </w:tc>
      </w:tr>
      <w:tr w:rsidR="00FA688E" w14:paraId="5791C77E" w14:textId="77777777" w:rsidTr="00EE7600">
        <w:tc>
          <w:tcPr>
            <w:tcW w:w="4555" w:type="dxa"/>
          </w:tcPr>
          <w:p w14:paraId="7DB03D4A" w14:textId="77777777" w:rsidR="00FA688E" w:rsidRPr="00A75668" w:rsidRDefault="00FA688E" w:rsidP="00243B2C">
            <w:pPr>
              <w:rPr>
                <w:szCs w:val="28"/>
              </w:rPr>
            </w:pPr>
            <w:r w:rsidRPr="00A75668">
              <w:rPr>
                <w:szCs w:val="28"/>
              </w:rPr>
              <w:t>- % xét nghiệm với chẩn đoán nhanh tại thời điểm chẩn đoán</w:t>
            </w:r>
          </w:p>
        </w:tc>
        <w:tc>
          <w:tcPr>
            <w:tcW w:w="4556" w:type="dxa"/>
          </w:tcPr>
          <w:p w14:paraId="6D2C4CF8" w14:textId="77777777" w:rsidR="00FA688E" w:rsidRPr="00A75668" w:rsidRDefault="00FA688E" w:rsidP="00243B2C">
            <w:pPr>
              <w:jc w:val="center"/>
              <w:rPr>
                <w:szCs w:val="28"/>
              </w:rPr>
            </w:pPr>
            <w:r w:rsidRPr="00A75668">
              <w:rPr>
                <w:szCs w:val="28"/>
              </w:rPr>
              <w:t>96%</w:t>
            </w:r>
          </w:p>
        </w:tc>
      </w:tr>
      <w:tr w:rsidR="00FA688E" w14:paraId="12A0E839" w14:textId="77777777" w:rsidTr="00EE7600">
        <w:tc>
          <w:tcPr>
            <w:tcW w:w="4555" w:type="dxa"/>
          </w:tcPr>
          <w:p w14:paraId="0E9F214A" w14:textId="77777777" w:rsidR="00FA688E" w:rsidRPr="00A75668" w:rsidRDefault="00FA688E" w:rsidP="00243B2C">
            <w:pPr>
              <w:rPr>
                <w:szCs w:val="28"/>
              </w:rPr>
            </w:pPr>
            <w:r w:rsidRPr="00A75668">
              <w:rPr>
                <w:szCs w:val="28"/>
              </w:rPr>
              <w:lastRenderedPageBreak/>
              <w:t>- % đã biết tình trạng nhiễm HIV</w:t>
            </w:r>
          </w:p>
        </w:tc>
        <w:tc>
          <w:tcPr>
            <w:tcW w:w="4556" w:type="dxa"/>
          </w:tcPr>
          <w:p w14:paraId="09CCD8AC" w14:textId="77777777" w:rsidR="00FA688E" w:rsidRPr="00A75668" w:rsidRDefault="00FA688E" w:rsidP="00243B2C">
            <w:pPr>
              <w:jc w:val="center"/>
              <w:rPr>
                <w:szCs w:val="28"/>
              </w:rPr>
            </w:pPr>
            <w:r w:rsidRPr="00A75668">
              <w:rPr>
                <w:szCs w:val="28"/>
              </w:rPr>
              <w:t>82%</w:t>
            </w:r>
          </w:p>
        </w:tc>
      </w:tr>
      <w:tr w:rsidR="00FA688E" w14:paraId="395B6B0C" w14:textId="77777777" w:rsidTr="00EE7600">
        <w:tc>
          <w:tcPr>
            <w:tcW w:w="4555" w:type="dxa"/>
          </w:tcPr>
          <w:p w14:paraId="41F98CDA" w14:textId="77777777" w:rsidR="00FA688E" w:rsidRPr="00A75668" w:rsidRDefault="00FA688E" w:rsidP="00243B2C">
            <w:pPr>
              <w:rPr>
                <w:szCs w:val="28"/>
              </w:rPr>
            </w:pPr>
            <w:r w:rsidRPr="00A75668">
              <w:rPr>
                <w:szCs w:val="28"/>
              </w:rPr>
              <w:t>- % phổi</w:t>
            </w:r>
          </w:p>
        </w:tc>
        <w:tc>
          <w:tcPr>
            <w:tcW w:w="4556" w:type="dxa"/>
          </w:tcPr>
          <w:p w14:paraId="1D9D5F3D" w14:textId="77777777" w:rsidR="00FA688E" w:rsidRPr="00A75668" w:rsidRDefault="00FA688E" w:rsidP="00243B2C">
            <w:pPr>
              <w:jc w:val="center"/>
              <w:rPr>
                <w:szCs w:val="28"/>
              </w:rPr>
            </w:pPr>
            <w:r w:rsidRPr="00A75668">
              <w:rPr>
                <w:szCs w:val="28"/>
              </w:rPr>
              <w:t>79%</w:t>
            </w:r>
          </w:p>
        </w:tc>
      </w:tr>
      <w:tr w:rsidR="00FA688E" w14:paraId="7E66F530" w14:textId="77777777" w:rsidTr="00EE7600">
        <w:tc>
          <w:tcPr>
            <w:tcW w:w="4555" w:type="dxa"/>
          </w:tcPr>
          <w:p w14:paraId="03267491" w14:textId="3E54757F" w:rsidR="00FA688E" w:rsidRPr="00A75668" w:rsidRDefault="00FA688E" w:rsidP="00243B2C">
            <w:pPr>
              <w:rPr>
                <w:szCs w:val="28"/>
              </w:rPr>
            </w:pPr>
            <w:r w:rsidRPr="00A75668">
              <w:rPr>
                <w:szCs w:val="28"/>
              </w:rPr>
              <w:t>-</w:t>
            </w:r>
            <w:r w:rsidR="00A860E3">
              <w:rPr>
                <w:szCs w:val="28"/>
              </w:rPr>
              <w:t xml:space="preserve"> </w:t>
            </w:r>
            <w:r w:rsidRPr="00A75668">
              <w:rPr>
                <w:szCs w:val="28"/>
              </w:rPr>
              <w:t>% xác nhận vi khuẩn</w:t>
            </w:r>
          </w:p>
        </w:tc>
        <w:tc>
          <w:tcPr>
            <w:tcW w:w="4556" w:type="dxa"/>
          </w:tcPr>
          <w:p w14:paraId="7552A3E8" w14:textId="77777777" w:rsidR="00FA688E" w:rsidRPr="00A75668" w:rsidRDefault="00FA688E" w:rsidP="00243B2C">
            <w:pPr>
              <w:jc w:val="center"/>
              <w:rPr>
                <w:szCs w:val="28"/>
              </w:rPr>
            </w:pPr>
            <w:r w:rsidRPr="00A75668">
              <w:rPr>
                <w:szCs w:val="28"/>
              </w:rPr>
              <w:t>77%</w:t>
            </w:r>
          </w:p>
        </w:tc>
      </w:tr>
      <w:tr w:rsidR="00FA688E" w14:paraId="0346904C" w14:textId="77777777" w:rsidTr="00EE7600">
        <w:tc>
          <w:tcPr>
            <w:tcW w:w="4555" w:type="dxa"/>
          </w:tcPr>
          <w:p w14:paraId="4ED93796" w14:textId="77777777" w:rsidR="00FA688E" w:rsidRPr="00A75668" w:rsidRDefault="00FA688E" w:rsidP="00243B2C">
            <w:pPr>
              <w:rPr>
                <w:szCs w:val="28"/>
              </w:rPr>
            </w:pPr>
            <w:r w:rsidRPr="00A75668">
              <w:rPr>
                <w:szCs w:val="28"/>
              </w:rPr>
              <w:t>- % trẻ em từ 0-14 tuổi</w:t>
            </w:r>
          </w:p>
        </w:tc>
        <w:tc>
          <w:tcPr>
            <w:tcW w:w="4556" w:type="dxa"/>
          </w:tcPr>
          <w:p w14:paraId="7E3646C9" w14:textId="77777777" w:rsidR="00FA688E" w:rsidRPr="00A75668" w:rsidRDefault="00FA688E" w:rsidP="00243B2C">
            <w:pPr>
              <w:jc w:val="center"/>
              <w:rPr>
                <w:szCs w:val="28"/>
              </w:rPr>
            </w:pPr>
            <w:r w:rsidRPr="00A75668">
              <w:rPr>
                <w:szCs w:val="28"/>
              </w:rPr>
              <w:t>1%</w:t>
            </w:r>
          </w:p>
        </w:tc>
      </w:tr>
      <w:tr w:rsidR="00FA688E" w14:paraId="1E167508" w14:textId="77777777" w:rsidTr="00EE7600">
        <w:tc>
          <w:tcPr>
            <w:tcW w:w="4555" w:type="dxa"/>
          </w:tcPr>
          <w:p w14:paraId="451A7014" w14:textId="77777777" w:rsidR="00FA688E" w:rsidRPr="00A75668" w:rsidRDefault="00FA688E" w:rsidP="00243B2C">
            <w:pPr>
              <w:rPr>
                <w:szCs w:val="28"/>
              </w:rPr>
            </w:pPr>
            <w:r w:rsidRPr="00A75668">
              <w:rPr>
                <w:szCs w:val="28"/>
              </w:rPr>
              <w:t>- % nữ (tuổi ≥15)</w:t>
            </w:r>
          </w:p>
        </w:tc>
        <w:tc>
          <w:tcPr>
            <w:tcW w:w="4556" w:type="dxa"/>
          </w:tcPr>
          <w:p w14:paraId="224A7926" w14:textId="77777777" w:rsidR="00FA688E" w:rsidRPr="00A75668" w:rsidRDefault="00FA688E" w:rsidP="00243B2C">
            <w:pPr>
              <w:jc w:val="center"/>
              <w:rPr>
                <w:szCs w:val="28"/>
              </w:rPr>
            </w:pPr>
            <w:r w:rsidRPr="00A75668">
              <w:rPr>
                <w:szCs w:val="28"/>
              </w:rPr>
              <w:t>29%</w:t>
            </w:r>
          </w:p>
        </w:tc>
      </w:tr>
      <w:tr w:rsidR="00FA688E" w14:paraId="45E91765" w14:textId="77777777" w:rsidTr="00EE7600">
        <w:tc>
          <w:tcPr>
            <w:tcW w:w="4555" w:type="dxa"/>
          </w:tcPr>
          <w:p w14:paraId="5E947FA8" w14:textId="77777777" w:rsidR="00FA688E" w:rsidRPr="00A75668" w:rsidRDefault="00FA688E" w:rsidP="00243B2C">
            <w:pPr>
              <w:rPr>
                <w:szCs w:val="28"/>
              </w:rPr>
            </w:pPr>
            <w:r w:rsidRPr="00A75668">
              <w:rPr>
                <w:szCs w:val="28"/>
              </w:rPr>
              <w:t>- % nam giới (tuổi ≥15)</w:t>
            </w:r>
          </w:p>
        </w:tc>
        <w:tc>
          <w:tcPr>
            <w:tcW w:w="4556" w:type="dxa"/>
          </w:tcPr>
          <w:p w14:paraId="01F24260" w14:textId="77777777" w:rsidR="00FA688E" w:rsidRPr="00A75668" w:rsidRDefault="00FA688E" w:rsidP="00243B2C">
            <w:pPr>
              <w:jc w:val="center"/>
              <w:rPr>
                <w:szCs w:val="28"/>
              </w:rPr>
            </w:pPr>
            <w:r w:rsidRPr="00A75668">
              <w:rPr>
                <w:szCs w:val="28"/>
              </w:rPr>
              <w:t>70%</w:t>
            </w:r>
          </w:p>
        </w:tc>
      </w:tr>
      <w:tr w:rsidR="00FA688E" w14:paraId="3426C8B7" w14:textId="77777777" w:rsidTr="00EE7600">
        <w:tc>
          <w:tcPr>
            <w:tcW w:w="4555" w:type="dxa"/>
          </w:tcPr>
          <w:p w14:paraId="1A335237" w14:textId="77777777" w:rsidR="00FA688E" w:rsidRPr="00A75668" w:rsidRDefault="00FA688E" w:rsidP="00243B2C">
            <w:pPr>
              <w:rPr>
                <w:szCs w:val="28"/>
              </w:rPr>
            </w:pPr>
            <w:r w:rsidRPr="00A75668">
              <w:rPr>
                <w:szCs w:val="28"/>
              </w:rPr>
              <w:t>Tổng số trường hợp được thông báo</w:t>
            </w:r>
          </w:p>
        </w:tc>
        <w:tc>
          <w:tcPr>
            <w:tcW w:w="4556" w:type="dxa"/>
          </w:tcPr>
          <w:p w14:paraId="3DE5CE43" w14:textId="77777777" w:rsidR="00FA688E" w:rsidRPr="00A75668" w:rsidRDefault="00FA688E" w:rsidP="00243B2C">
            <w:pPr>
              <w:jc w:val="center"/>
              <w:rPr>
                <w:szCs w:val="28"/>
              </w:rPr>
            </w:pPr>
            <w:r w:rsidRPr="00A75668">
              <w:rPr>
                <w:szCs w:val="28"/>
              </w:rPr>
              <w:t>78 935</w:t>
            </w:r>
          </w:p>
        </w:tc>
      </w:tr>
    </w:tbl>
    <w:p w14:paraId="4EEEEF4B" w14:textId="2C23DA83" w:rsidR="00FA688E" w:rsidRDefault="00AF5F47" w:rsidP="00AF5F47">
      <w:pPr>
        <w:pStyle w:val="Caption"/>
      </w:pPr>
      <w:bookmarkStart w:id="22" w:name="_Toc133590743"/>
      <w:r>
        <w:t xml:space="preserve">Bảng </w:t>
      </w:r>
      <w:r w:rsidR="000A1A5C">
        <w:fldChar w:fldCharType="begin"/>
      </w:r>
      <w:r w:rsidR="000A1A5C">
        <w:instrText xml:space="preserve"> STYLEREF 1 \s </w:instrText>
      </w:r>
      <w:r w:rsidR="000A1A5C">
        <w:fldChar w:fldCharType="separate"/>
      </w:r>
      <w:r w:rsidR="000A1A5C">
        <w:t>1</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4</w:t>
      </w:r>
      <w:r w:rsidR="000A1A5C">
        <w:fldChar w:fldCharType="end"/>
      </w:r>
      <w:r>
        <w:t xml:space="preserve">. </w:t>
      </w:r>
      <w:r w:rsidR="00FA688E" w:rsidRPr="00D819F8">
        <w:t xml:space="preserve">Chăm sóc lao/HIV ở </w:t>
      </w:r>
      <w:r w:rsidR="00B57463">
        <w:t>bệnh nhân</w:t>
      </w:r>
      <w:r w:rsidR="00FA688E" w:rsidRPr="00D819F8">
        <w:t xml:space="preserve"> lao mới và tái phát 2021</w:t>
      </w:r>
      <w:bookmarkEnd w:id="22"/>
    </w:p>
    <w:tbl>
      <w:tblPr>
        <w:tblStyle w:val="TableGrid"/>
        <w:tblW w:w="0" w:type="auto"/>
        <w:tblInd w:w="0" w:type="dxa"/>
        <w:tblLook w:val="04A0" w:firstRow="1" w:lastRow="0" w:firstColumn="1" w:lastColumn="0" w:noHBand="0" w:noVBand="1"/>
      </w:tblPr>
      <w:tblGrid>
        <w:gridCol w:w="5444"/>
        <w:gridCol w:w="2021"/>
        <w:gridCol w:w="1646"/>
      </w:tblGrid>
      <w:tr w:rsidR="00FA688E" w14:paraId="2CB2CD71" w14:textId="77777777" w:rsidTr="00EE7600">
        <w:tc>
          <w:tcPr>
            <w:tcW w:w="5444" w:type="dxa"/>
          </w:tcPr>
          <w:p w14:paraId="3F5EEFC8" w14:textId="77777777" w:rsidR="00FA688E" w:rsidRPr="00F53D70" w:rsidRDefault="00FA688E" w:rsidP="00243B2C">
            <w:pPr>
              <w:rPr>
                <w:szCs w:val="28"/>
              </w:rPr>
            </w:pPr>
          </w:p>
        </w:tc>
        <w:tc>
          <w:tcPr>
            <w:tcW w:w="2021" w:type="dxa"/>
          </w:tcPr>
          <w:p w14:paraId="382195D6" w14:textId="77777777" w:rsidR="00FA688E" w:rsidRPr="00F53D70" w:rsidRDefault="00FA688E" w:rsidP="00243B2C">
            <w:pPr>
              <w:jc w:val="center"/>
              <w:rPr>
                <w:b/>
                <w:bCs/>
                <w:szCs w:val="28"/>
              </w:rPr>
            </w:pPr>
            <w:r w:rsidRPr="00F53D70">
              <w:rPr>
                <w:b/>
                <w:bCs/>
                <w:szCs w:val="28"/>
              </w:rPr>
              <w:t>Số lượng</w:t>
            </w:r>
          </w:p>
        </w:tc>
        <w:tc>
          <w:tcPr>
            <w:tcW w:w="1646" w:type="dxa"/>
          </w:tcPr>
          <w:p w14:paraId="7B7E05D6" w14:textId="77777777" w:rsidR="00FA688E" w:rsidRPr="00F53D70" w:rsidRDefault="00FA688E" w:rsidP="00243B2C">
            <w:pPr>
              <w:jc w:val="center"/>
              <w:rPr>
                <w:b/>
                <w:bCs/>
                <w:szCs w:val="28"/>
              </w:rPr>
            </w:pPr>
            <w:r w:rsidRPr="00F53D70">
              <w:rPr>
                <w:b/>
                <w:bCs/>
                <w:szCs w:val="28"/>
              </w:rPr>
              <w:t>(%)</w:t>
            </w:r>
          </w:p>
        </w:tc>
      </w:tr>
      <w:tr w:rsidR="00FA688E" w14:paraId="309D8171" w14:textId="77777777" w:rsidTr="00EE7600">
        <w:tc>
          <w:tcPr>
            <w:tcW w:w="5444" w:type="dxa"/>
          </w:tcPr>
          <w:p w14:paraId="628034B3" w14:textId="77777777" w:rsidR="00FA688E" w:rsidRPr="00F53D70" w:rsidRDefault="00FA688E" w:rsidP="00243B2C">
            <w:pPr>
              <w:rPr>
                <w:szCs w:val="28"/>
              </w:rPr>
            </w:pPr>
            <w:r w:rsidRPr="00F53D70">
              <w:rPr>
                <w:szCs w:val="28"/>
              </w:rPr>
              <w:t>Bệnh nhân đã biết tình trạng HIV dương tính với HIV</w:t>
            </w:r>
          </w:p>
        </w:tc>
        <w:tc>
          <w:tcPr>
            <w:tcW w:w="2021" w:type="dxa"/>
          </w:tcPr>
          <w:p w14:paraId="6B72B042" w14:textId="77777777" w:rsidR="00FA688E" w:rsidRPr="00F53D70" w:rsidRDefault="00FA688E" w:rsidP="00243B2C">
            <w:pPr>
              <w:jc w:val="center"/>
              <w:rPr>
                <w:szCs w:val="28"/>
              </w:rPr>
            </w:pPr>
            <w:r w:rsidRPr="00F53D70">
              <w:rPr>
                <w:szCs w:val="28"/>
              </w:rPr>
              <w:t>1 945</w:t>
            </w:r>
          </w:p>
        </w:tc>
        <w:tc>
          <w:tcPr>
            <w:tcW w:w="1646" w:type="dxa"/>
          </w:tcPr>
          <w:p w14:paraId="29E0D022" w14:textId="77777777" w:rsidR="00FA688E" w:rsidRPr="00F53D70" w:rsidRDefault="00FA688E" w:rsidP="00243B2C">
            <w:pPr>
              <w:jc w:val="center"/>
              <w:rPr>
                <w:szCs w:val="28"/>
              </w:rPr>
            </w:pPr>
            <w:r w:rsidRPr="00F53D70">
              <w:rPr>
                <w:szCs w:val="28"/>
              </w:rPr>
              <w:t>3%</w:t>
            </w:r>
          </w:p>
        </w:tc>
      </w:tr>
      <w:tr w:rsidR="00FA688E" w14:paraId="64A4E603" w14:textId="77777777" w:rsidTr="00EE7600">
        <w:tc>
          <w:tcPr>
            <w:tcW w:w="5444" w:type="dxa"/>
          </w:tcPr>
          <w:p w14:paraId="257BA4C5" w14:textId="77777777" w:rsidR="00FA688E" w:rsidRPr="00F53D70" w:rsidRDefault="00FA688E" w:rsidP="00243B2C">
            <w:pPr>
              <w:rPr>
                <w:szCs w:val="28"/>
              </w:rPr>
            </w:pPr>
            <w:r w:rsidRPr="00F53D70">
              <w:rPr>
                <w:szCs w:val="28"/>
              </w:rPr>
              <w:t>- đang điều trị bằng thuốc kháng vi-rút</w:t>
            </w:r>
          </w:p>
        </w:tc>
        <w:tc>
          <w:tcPr>
            <w:tcW w:w="2021" w:type="dxa"/>
          </w:tcPr>
          <w:p w14:paraId="136CCF71" w14:textId="77777777" w:rsidR="00FA688E" w:rsidRPr="00F53D70" w:rsidRDefault="00FA688E" w:rsidP="00243B2C">
            <w:pPr>
              <w:jc w:val="center"/>
              <w:rPr>
                <w:szCs w:val="28"/>
              </w:rPr>
            </w:pPr>
            <w:r w:rsidRPr="00F53D70">
              <w:rPr>
                <w:szCs w:val="28"/>
              </w:rPr>
              <w:t>1 521</w:t>
            </w:r>
          </w:p>
        </w:tc>
        <w:tc>
          <w:tcPr>
            <w:tcW w:w="1646" w:type="dxa"/>
          </w:tcPr>
          <w:p w14:paraId="505EEC87" w14:textId="77777777" w:rsidR="00FA688E" w:rsidRPr="00F53D70" w:rsidRDefault="00FA688E" w:rsidP="00243B2C">
            <w:pPr>
              <w:jc w:val="center"/>
              <w:rPr>
                <w:szCs w:val="28"/>
              </w:rPr>
            </w:pPr>
            <w:r w:rsidRPr="00F53D70">
              <w:rPr>
                <w:szCs w:val="28"/>
              </w:rPr>
              <w:t>78%</w:t>
            </w:r>
          </w:p>
        </w:tc>
      </w:tr>
    </w:tbl>
    <w:p w14:paraId="607C58C6" w14:textId="43203DD1" w:rsidR="001B303A" w:rsidRDefault="001B303A" w:rsidP="00C23165">
      <w:pPr>
        <w:pStyle w:val="Heading2"/>
      </w:pPr>
      <w:bookmarkStart w:id="23" w:name="_Toc126527703"/>
      <w:bookmarkStart w:id="24" w:name="_Toc133590772"/>
      <w:r>
        <w:t>1.</w:t>
      </w:r>
      <w:r w:rsidR="00ED67AA">
        <w:t>2</w:t>
      </w:r>
      <w:r>
        <w:t>. Một số hiểu biết về bệnh lao</w:t>
      </w:r>
      <w:r w:rsidR="006162C7">
        <w:t xml:space="preserve"> phổi</w:t>
      </w:r>
      <w:bookmarkEnd w:id="23"/>
      <w:bookmarkEnd w:id="24"/>
    </w:p>
    <w:p w14:paraId="1D668557" w14:textId="2146D9A3" w:rsidR="001B303A" w:rsidRDefault="001B303A" w:rsidP="00C23165">
      <w:pPr>
        <w:pStyle w:val="Heading3"/>
      </w:pPr>
      <w:bookmarkStart w:id="25" w:name="_Toc126527704"/>
      <w:r>
        <w:t>1.</w:t>
      </w:r>
      <w:r w:rsidR="00ED67AA">
        <w:t>2</w:t>
      </w:r>
      <w:r>
        <w:t xml:space="preserve">.1. </w:t>
      </w:r>
      <w:r w:rsidR="00FA03C3">
        <w:t>Khái niệm cơ bản về b</w:t>
      </w:r>
      <w:r w:rsidR="0090148A">
        <w:t>ệnh lao phổi</w:t>
      </w:r>
      <w:bookmarkEnd w:id="25"/>
    </w:p>
    <w:p w14:paraId="2DEA3CEE" w14:textId="1437C0BE"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652D6C">
        <w:t>[12]</w:t>
      </w:r>
      <w:r w:rsidR="00692904">
        <w:fldChar w:fldCharType="end"/>
      </w:r>
      <w:r>
        <w:t>.</w:t>
      </w:r>
    </w:p>
    <w:p w14:paraId="690CDB9C" w14:textId="659C5CC9" w:rsidR="00E66068" w:rsidRDefault="00AE683A" w:rsidP="00AE683A">
      <w:r>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 </w:instrText>
      </w:r>
      <w:r w:rsidR="00652D6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EN.CITE.DATA </w:instrText>
      </w:r>
      <w:r w:rsidR="00652D6C">
        <w:fldChar w:fldCharType="end"/>
      </w:r>
      <w:r w:rsidR="00705B8C">
        <w:fldChar w:fldCharType="separate"/>
      </w:r>
      <w:r w:rsidR="00652D6C">
        <w:t>[1, 12]</w:t>
      </w:r>
      <w:r w:rsidR="00705B8C">
        <w:fldChar w:fldCharType="end"/>
      </w:r>
      <w:r w:rsidR="009575C6">
        <w:t>.</w:t>
      </w:r>
      <w:r>
        <w:t xml:space="preserve"> </w:t>
      </w:r>
      <w:r w:rsidR="00E92470">
        <w:t>Chẩn đoán l</w:t>
      </w:r>
      <w:r w:rsidR="00E66068">
        <w:t>ao</w:t>
      </w:r>
      <w:r w:rsidR="00835CAC">
        <w:t xml:space="preserve"> phổi</w:t>
      </w:r>
      <w:r w:rsidR="00E66068">
        <w:t xml:space="preserve"> mới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26" w:name="_Toc126527705"/>
      <w:r>
        <w:lastRenderedPageBreak/>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26"/>
    </w:p>
    <w:p w14:paraId="0772C1BF" w14:textId="4BFD9F8E" w:rsidR="003338AB" w:rsidRDefault="00E554F0" w:rsidP="004B420F">
      <w:pPr>
        <w:pStyle w:val="Heading4"/>
      </w:pPr>
      <w:bookmarkStart w:id="27" w:name="_Toc126527706"/>
      <w:r>
        <w:t>1.</w:t>
      </w:r>
      <w:r w:rsidR="008C0E05">
        <w:t>2</w:t>
      </w:r>
      <w:r>
        <w:t>.</w:t>
      </w:r>
      <w:r w:rsidR="008C0E05">
        <w:t>2</w:t>
      </w:r>
      <w:r>
        <w:t xml:space="preserve">.1. </w:t>
      </w:r>
      <w:r w:rsidR="004B420F">
        <w:t>Triệu chứng t</w:t>
      </w:r>
      <w:r>
        <w:t>oàn thân</w:t>
      </w:r>
      <w:bookmarkEnd w:id="27"/>
    </w:p>
    <w:p w14:paraId="48914E7D" w14:textId="786E418C" w:rsidR="00B12FB4" w:rsidRDefault="00B12FB4" w:rsidP="00B12FB4">
      <w:r>
        <w:t xml:space="preserve">Hội chứng nhiễm trùng, nhiễm độc lao: </w:t>
      </w:r>
      <w:r w:rsidR="00135F98">
        <w:t>m</w:t>
      </w:r>
      <w:r>
        <w:t>ệt mỏi, giảm khả năng làm việc, ăn kém, gầy sút, sốt nhẹ về chiều (</w:t>
      </w:r>
      <w:r w:rsidR="0082151E">
        <w:t>3</w:t>
      </w:r>
      <w:r>
        <w:t>7</w:t>
      </w:r>
      <w:r w:rsidR="0082151E">
        <w:t xml:space="preserve">,5 - </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652D6C">
        <w:t>[12]</w:t>
      </w:r>
      <w:r w:rsidR="003F40A4">
        <w:fldChar w:fldCharType="end"/>
      </w:r>
      <w:r w:rsidR="00687318">
        <w:t>.</w:t>
      </w:r>
    </w:p>
    <w:p w14:paraId="4EFAB730" w14:textId="0720E323"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652D6C">
        <w:instrText xml:space="preserve"> ADDIN EN.CITE </w:instrText>
      </w:r>
      <w:r w:rsidR="00652D6C">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652D6C">
        <w:instrText xml:space="preserve"> ADDIN EN.CITE.DATA </w:instrText>
      </w:r>
      <w:r w:rsidR="00652D6C">
        <w:fldChar w:fldCharType="end"/>
      </w:r>
      <w:r w:rsidR="00250260">
        <w:fldChar w:fldCharType="separate"/>
      </w:r>
      <w:r w:rsidR="00652D6C">
        <w:t>[15]</w:t>
      </w:r>
      <w:r w:rsidR="00250260">
        <w:fldChar w:fldCharType="end"/>
      </w:r>
      <w:r w:rsidR="00C561A0">
        <w:t>.</w:t>
      </w:r>
      <w:r>
        <w:t xml:space="preserve"> </w:t>
      </w:r>
      <w:r w:rsidR="00972068">
        <w:t>Nghiên cứu của</w:t>
      </w:r>
      <w:r>
        <w:t xml:space="preserve"> 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 </w:instrText>
      </w:r>
      <w:r w:rsidR="00652D6C">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EN.CITE.DATA </w:instrText>
      </w:r>
      <w:r w:rsidR="00652D6C">
        <w:fldChar w:fldCharType="end"/>
      </w:r>
      <w:r w:rsidR="00972068">
        <w:fldChar w:fldCharType="separate"/>
      </w:r>
      <w:r w:rsidR="00652D6C">
        <w:t>[16]</w:t>
      </w:r>
      <w:r w:rsidR="00972068">
        <w:fldChar w:fldCharType="end"/>
      </w:r>
      <w:r w:rsidR="009E01F0">
        <w:t xml:space="preserve">, </w:t>
      </w:r>
      <w:r w:rsidR="00D04918">
        <w:t>mệt mỏi chiếm 73,2%</w:t>
      </w:r>
      <w:r w:rsidR="009F6F26">
        <w:t>,</w:t>
      </w:r>
      <w:r w:rsidR="00D04918">
        <w:t xml:space="preserve"> chán ăn chiếm 50,7%</w:t>
      </w:r>
      <w:r w:rsidR="009F6F26">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652D6C">
        <w:instrText xml:space="preserve"> ADDIN EN.CITE </w:instrText>
      </w:r>
      <w:r w:rsidR="00652D6C">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652D6C">
        <w:instrText xml:space="preserve"> ADDIN EN.CITE.DATA </w:instrText>
      </w:r>
      <w:r w:rsidR="00652D6C">
        <w:fldChar w:fldCharType="end"/>
      </w:r>
      <w:r w:rsidR="005874A1">
        <w:fldChar w:fldCharType="separate"/>
      </w:r>
      <w:r w:rsidR="00652D6C">
        <w:t>[17]</w:t>
      </w:r>
      <w:r w:rsidR="005874A1">
        <w:fldChar w:fldCharType="end"/>
      </w:r>
      <w:r w:rsidR="00D04918">
        <w:t xml:space="preserve">. </w:t>
      </w:r>
      <w:r w:rsidR="00251862">
        <w:t xml:space="preserve">Theo </w:t>
      </w:r>
      <w:r w:rsidR="00251862" w:rsidRPr="00BC0103">
        <w:t>Đoàn Duy Tân</w:t>
      </w:r>
      <w:r w:rsidR="00251862">
        <w:t xml:space="preserve"> (</w:t>
      </w:r>
      <w:r w:rsidR="00251862" w:rsidRPr="006A680F">
        <w:t>2021</w:t>
      </w:r>
      <w:r w:rsidR="00251862">
        <w:t>)</w:t>
      </w:r>
      <w:r w:rsidR="00251862" w:rsidRPr="006A680F">
        <w:t>, tỉ lệ suy dinh dưỡng ở bệnh nhân lao phổi theo phương pháp SG</w:t>
      </w:r>
      <w:r w:rsidR="00251862">
        <w:t>A</w:t>
      </w:r>
      <w:r w:rsidR="00251862" w:rsidRPr="006A680F">
        <w:t xml:space="preserve"> </w:t>
      </w:r>
      <w:r w:rsidR="00251862">
        <w:t xml:space="preserve">và theo BMI lần lượt </w:t>
      </w:r>
      <w:r w:rsidR="00251862" w:rsidRPr="006A680F">
        <w:t>là 66,6% (64/96)</w:t>
      </w:r>
      <w:r w:rsidR="00251862">
        <w:t xml:space="preserve"> và </w:t>
      </w:r>
      <w:r w:rsidR="00251862" w:rsidRPr="004B11C7">
        <w:t>55,2% (54/96)</w:t>
      </w:r>
      <w:r w:rsidR="0078196E">
        <w:t xml:space="preserve"> </w:t>
      </w:r>
      <w:r w:rsidR="00B41598">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B41598">
        <w:fldChar w:fldCharType="separate"/>
      </w:r>
      <w:r w:rsidR="00652D6C">
        <w:t>[8]</w:t>
      </w:r>
      <w:r w:rsidR="00B41598">
        <w:fldChar w:fldCharType="end"/>
      </w:r>
      <w:r w:rsidR="00251862">
        <w:t xml:space="preserve">. </w:t>
      </w:r>
      <w:r w:rsidR="006B7A21">
        <w:t>Kết quả nghiên cứu của</w:t>
      </w:r>
      <w:r w:rsidR="00D04918">
        <w:t xml:space="preserve"> Lê Thị Thủy</w:t>
      </w:r>
      <w:r w:rsidR="00AC65B5">
        <w:t xml:space="preserve"> (2019),</w:t>
      </w:r>
      <w:r w:rsidR="00D04918">
        <w:t xml:space="preserve"> 9,5% bệnh nhân lao phổi có biểu hiện suy dinh dưỡng 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 </w:instrText>
      </w:r>
      <w:r w:rsidR="00652D6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EN.CITE.DATA </w:instrText>
      </w:r>
      <w:r w:rsidR="00652D6C">
        <w:fldChar w:fldCharType="end"/>
      </w:r>
      <w:r w:rsidR="006110B3">
        <w:fldChar w:fldCharType="separate"/>
      </w:r>
      <w:r w:rsidR="00652D6C">
        <w:t>[10]</w:t>
      </w:r>
      <w:r w:rsidR="006110B3">
        <w:fldChar w:fldCharType="end"/>
      </w:r>
      <w:r w:rsidR="00D04918">
        <w:t>.</w:t>
      </w:r>
    </w:p>
    <w:p w14:paraId="4895B190" w14:textId="21E7519F" w:rsidR="00E554F0" w:rsidRDefault="00D55918" w:rsidP="004B420F">
      <w:pPr>
        <w:pStyle w:val="Heading4"/>
      </w:pPr>
      <w:bookmarkStart w:id="28" w:name="_Toc126527707"/>
      <w:r>
        <w:t>1.</w:t>
      </w:r>
      <w:r w:rsidR="008C0E05">
        <w:t>2</w:t>
      </w:r>
      <w:r>
        <w:t>.</w:t>
      </w:r>
      <w:r w:rsidR="008C0E05">
        <w:t>2</w:t>
      </w:r>
      <w:r>
        <w:t>.2.</w:t>
      </w:r>
      <w:r w:rsidR="004B420F">
        <w:t xml:space="preserve"> Triệu chứng cơ năng</w:t>
      </w:r>
      <w:bookmarkEnd w:id="28"/>
    </w:p>
    <w:p w14:paraId="3FE79011" w14:textId="766487A3"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652D6C">
        <w:t>[12]</w:t>
      </w:r>
      <w:r w:rsidR="00365F6E">
        <w:fldChar w:fldCharType="end"/>
      </w:r>
      <w:r w:rsidR="00E04480">
        <w:t>.</w:t>
      </w:r>
      <w:r w:rsidR="002D76C2">
        <w:t xml:space="preserve"> </w:t>
      </w:r>
      <w:r w:rsidR="00441341">
        <w:t>Theo</w:t>
      </w:r>
      <w:r w:rsidR="00D93844">
        <w:t xml:space="preserve"> nghiên cứu</w:t>
      </w:r>
      <w:r w:rsidR="00634B54">
        <w:t xml:space="preserve"> của </w:t>
      </w:r>
      <w:r w:rsidR="00D03833">
        <w:t xml:space="preserve"> Lê Trọng Thạch</w:t>
      </w:r>
      <w:r w:rsidR="00F76D0B">
        <w:t xml:space="preserve"> (2016)</w:t>
      </w:r>
      <w:r w:rsidR="000A1612">
        <w:t xml:space="preserve">, </w:t>
      </w:r>
      <w:r w:rsidR="00D03833">
        <w:t>triệu chứng ho chiếm 95,8%</w:t>
      </w:r>
      <w:r w:rsidR="00FD7A74">
        <w:t>,</w:t>
      </w:r>
      <w:r w:rsidR="00D03833">
        <w:t xml:space="preserve"> trong đó ho khan là 35,2%</w:t>
      </w:r>
      <w:r w:rsidR="00FD7A74">
        <w:t xml:space="preserve"> và</w:t>
      </w:r>
      <w:r w:rsidR="00D03833">
        <w:t xml:space="preserve"> ho có đờm là 60,6% </w:t>
      </w:r>
      <w:r w:rsidR="007A4330">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7A4330">
        <w:fldChar w:fldCharType="separate"/>
      </w:r>
      <w:r w:rsidR="00652D6C">
        <w:t>[18]</w:t>
      </w:r>
      <w:r w:rsidR="007A4330">
        <w:fldChar w:fldCharType="end"/>
      </w:r>
      <w:r w:rsidR="00D03833">
        <w:t xml:space="preserve">. </w:t>
      </w:r>
      <w:r w:rsidR="001F034B">
        <w:t>Theo Bilal Ahmad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ZWNOdW0+MTk8L1JlY051bT48RGlzcGxheVRleHQ+WzE5XTwvRGlzcGxheVRleHQ+PHJlY29yZD48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652D6C">
        <w:instrText xml:space="preserve"> ADDIN EN.CITE </w:instrText>
      </w:r>
      <w:r w:rsidR="00652D6C">
        <w:fldChar w:fldCharType="begin">
          <w:fldData xml:space="preserve">PEVuZE5vdGU+PENpdGU+PEF1dGhvcj5SYWhpbWk8L0F1dGhvcj48WWVhcj4yMDIwPC9ZZWFyPjxS
ZWNOdW0+MTk8L1JlY051bT48RGlzcGxheVRleHQ+WzE5XTwvRGlzcGxheVRleHQ+PHJlY29yZD48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652D6C">
        <w:instrText xml:space="preserve"> ADDIN EN.CITE.DATA </w:instrText>
      </w:r>
      <w:r w:rsidR="00652D6C">
        <w:fldChar w:fldCharType="end"/>
      </w:r>
      <w:r w:rsidR="00596A67">
        <w:fldChar w:fldCharType="separate"/>
      </w:r>
      <w:r w:rsidR="00652D6C">
        <w:t>[19]</w:t>
      </w:r>
      <w:r w:rsidR="00596A67">
        <w:fldChar w:fldCharType="end"/>
      </w:r>
      <w:r w:rsidR="001F034B">
        <w:t>.</w:t>
      </w:r>
    </w:p>
    <w:p w14:paraId="13F160FF" w14:textId="6D2E276C" w:rsidR="00F66052" w:rsidRDefault="00F66052" w:rsidP="00C826C0">
      <w:r>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0546E2">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0546E2">
        <w:t>[12]</w:t>
      </w:r>
      <w:r w:rsidR="000546E2">
        <w:fldChar w:fldCharType="end"/>
      </w:r>
      <w:r w:rsidR="00806A0F">
        <w:t>.</w:t>
      </w:r>
      <w:r w:rsidR="00D03833">
        <w:t xml:space="preserve"> </w:t>
      </w:r>
      <w:r w:rsidR="00254591">
        <w:t xml:space="preserve">Nghiên cứu của </w:t>
      </w:r>
      <w:r w:rsidR="00D03833">
        <w:t>Harveen Kaur</w:t>
      </w:r>
      <w:r w:rsidR="00254591">
        <w:t xml:space="preserve"> và cộng sự (2022)</w:t>
      </w:r>
      <w:r w:rsidR="00D03833">
        <w:t xml:space="preserve"> thấy lao phổi chiếm tới 60% các nguyên nhân gây ho ra máu </w:t>
      </w:r>
      <w:r w:rsidR="00165CC2">
        <w:fldChar w:fldCharType="begin"/>
      </w:r>
      <w:r w:rsidR="00652D6C">
        <w:instrText xml:space="preserve"> ADDIN EN.CITE &lt;EndNote&gt;&lt;Cite&gt;&lt;Author&gt;Kaur&lt;/Author&gt;&lt;Year&gt;2022&lt;/Year&gt;&lt;RecNum&gt;20&lt;/RecNum&gt;&lt;DisplayText&gt;[20]&lt;/DisplayText&gt;&lt;record&gt;&lt;rec-number&gt;20&lt;/rec-number&gt;&lt;foreign-keys&gt;&lt;key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652D6C">
        <w:t>[20]</w:t>
      </w:r>
      <w:r w:rsidR="00165CC2">
        <w:fldChar w:fldCharType="end"/>
      </w:r>
      <w:r w:rsidR="00D03833">
        <w:t>.</w:t>
      </w:r>
    </w:p>
    <w:p w14:paraId="5D7949DC" w14:textId="6C15DE1C" w:rsidR="00F66052" w:rsidRDefault="00F66052" w:rsidP="00C826C0">
      <w:r>
        <w:lastRenderedPageBreak/>
        <w:t>Đau ngực</w:t>
      </w:r>
      <w:r w:rsidR="006C3C7A">
        <w:t xml:space="preserve"> thường ở một vị trí cố định</w:t>
      </w:r>
      <w:r w:rsidR="008A72D5">
        <w:t xml:space="preserve"> </w:t>
      </w:r>
      <w:r w:rsidR="00F73263">
        <w:fldChar w:fldCharType="begin"/>
      </w:r>
      <w:r w:rsidR="00F73263">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F73263">
        <w:t>[12]</w:t>
      </w:r>
      <w:r w:rsidR="00F73263">
        <w:fldChar w:fldCharType="end"/>
      </w:r>
      <w:r w:rsidR="006C3C7A">
        <w:t>.</w:t>
      </w:r>
      <w:r w:rsidR="00401138">
        <w:t xml:space="preserve"> </w:t>
      </w:r>
      <w:r w:rsidR="00401138" w:rsidRPr="00401138">
        <w:t>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 </w:instrText>
      </w:r>
      <w:r w:rsidR="00652D6C">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EN.CITE.DATA </w:instrText>
      </w:r>
      <w:r w:rsidR="00652D6C">
        <w:fldChar w:fldCharType="end"/>
      </w:r>
      <w:r w:rsidR="00E47C0B">
        <w:fldChar w:fldCharType="separate"/>
      </w:r>
      <w:r w:rsidR="00652D6C">
        <w:t>[16]</w:t>
      </w:r>
      <w:r w:rsidR="00E47C0B">
        <w:fldChar w:fldCharType="end"/>
      </w:r>
      <w:r w:rsidR="00165CC2">
        <w:t>;</w:t>
      </w:r>
      <w:r w:rsidR="009E3A51">
        <w:t xml:space="preserve"> </w:t>
      </w:r>
      <w:r w:rsidR="00741A60">
        <w:t xml:space="preserve">nghiên cứu của </w:t>
      </w:r>
      <w:r w:rsidR="00401138" w:rsidRPr="00401138">
        <w:t>Vũ Thị Vân Anh</w:t>
      </w:r>
      <w:r w:rsidR="00A166A1">
        <w:t xml:space="preserve"> (2021)</w:t>
      </w:r>
      <w:r w:rsidR="00401138" w:rsidRPr="00401138">
        <w:t xml:space="preserve"> </w:t>
      </w:r>
      <w:r w:rsidR="00E47C0B">
        <w:t>thấy rằng</w:t>
      </w:r>
      <w:r w:rsidR="00401138" w:rsidRPr="00401138">
        <w:t xml:space="preserve"> triệu chứng đau ngực chiếm 72,7% </w:t>
      </w:r>
      <w:r w:rsidR="00F76C81">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 </w:instrText>
      </w:r>
      <w:r w:rsidR="00652D6C">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EN.CITE.DATA </w:instrText>
      </w:r>
      <w:r w:rsidR="00652D6C">
        <w:fldChar w:fldCharType="end"/>
      </w:r>
      <w:r w:rsidR="00F76C81">
        <w:fldChar w:fldCharType="separate"/>
      </w:r>
      <w:r w:rsidR="00652D6C">
        <w:t>[21]</w:t>
      </w:r>
      <w:r w:rsidR="00F76C81">
        <w:fldChar w:fldCharType="end"/>
      </w:r>
      <w:r w:rsidR="00401138" w:rsidRPr="00401138">
        <w:t>.</w:t>
      </w:r>
    </w:p>
    <w:p w14:paraId="22DF68CF" w14:textId="4F95C1DA" w:rsidR="006C3C7A" w:rsidRPr="00C826C0" w:rsidRDefault="006C3C7A" w:rsidP="00401138">
      <w:r>
        <w:t xml:space="preserve">Khó thở </w:t>
      </w:r>
      <w:r w:rsidR="00AC64F0">
        <w:t>c</w:t>
      </w:r>
      <w:r>
        <w:t>hỉ xuất hiện khi tổn thương rộng ở phổi hoặc phát hiện bệnh muộn</w:t>
      </w:r>
      <w:r w:rsidR="00FA2FFA">
        <w:t xml:space="preserve"> </w:t>
      </w:r>
      <w:r w:rsidR="00B554AD">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652D6C">
        <w:t>[12]</w:t>
      </w:r>
      <w:r w:rsidR="00B554AD">
        <w:fldChar w:fldCharType="end"/>
      </w:r>
      <w:r>
        <w:t>.</w:t>
      </w:r>
      <w:r w:rsidR="00401138">
        <w:t xml:space="preserve"> </w:t>
      </w:r>
      <w:r w:rsidR="0000376C">
        <w:t>Nghiên cứu của</w:t>
      </w:r>
      <w:r w:rsidR="00401138">
        <w:t xml:space="preserve"> Lê Trọng Thạch</w:t>
      </w:r>
      <w:r w:rsidR="0000376C">
        <w:t xml:space="preserve"> (2016)</w:t>
      </w:r>
      <w:r w:rsidR="00401138">
        <w:t xml:space="preserve">, triệu chứng khó thở là 19% </w:t>
      </w:r>
      <w:r w:rsidR="003F5118">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3F5118">
        <w:fldChar w:fldCharType="separate"/>
      </w:r>
      <w:r w:rsidR="00652D6C">
        <w:t>[18]</w:t>
      </w:r>
      <w:r w:rsidR="003F5118">
        <w:fldChar w:fldCharType="end"/>
      </w:r>
      <w:r w:rsidR="00491C0A">
        <w:t>;</w:t>
      </w:r>
      <w:r w:rsidR="00401138">
        <w:t xml:space="preserve"> </w:t>
      </w:r>
      <w:r w:rsidR="00491C0A">
        <w:t>t</w:t>
      </w:r>
      <w:r w:rsidR="00401138">
        <w:t>heo Vũ Thị Vân Anh</w:t>
      </w:r>
      <w:r w:rsidR="00104177">
        <w:t xml:space="preserve"> (2021)</w:t>
      </w:r>
      <w:r w:rsidR="00DB5E47">
        <w:t>,</w:t>
      </w:r>
      <w:r w:rsidR="00401138">
        <w:t xml:space="preserve"> khó thở chiếm 43,9% </w:t>
      </w:r>
      <w:r w:rsidR="001C1D01">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 </w:instrText>
      </w:r>
      <w:r w:rsidR="00652D6C">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EN.CITE.DATA </w:instrText>
      </w:r>
      <w:r w:rsidR="00652D6C">
        <w:fldChar w:fldCharType="end"/>
      </w:r>
      <w:r w:rsidR="001C1D01">
        <w:fldChar w:fldCharType="separate"/>
      </w:r>
      <w:r w:rsidR="00652D6C">
        <w:t>[21]</w:t>
      </w:r>
      <w:r w:rsidR="001C1D01">
        <w:fldChar w:fldCharType="end"/>
      </w:r>
      <w:r w:rsidR="00401138">
        <w:t>.</w:t>
      </w:r>
    </w:p>
    <w:p w14:paraId="2E4D3BDF" w14:textId="1CC3886D" w:rsidR="004B420F" w:rsidRDefault="004B420F" w:rsidP="004B420F">
      <w:pPr>
        <w:pStyle w:val="Heading4"/>
      </w:pPr>
      <w:bookmarkStart w:id="29" w:name="_Toc126527708"/>
      <w:r>
        <w:t>1.</w:t>
      </w:r>
      <w:r w:rsidR="008C0E05">
        <w:t>2</w:t>
      </w:r>
      <w:r>
        <w:t>.</w:t>
      </w:r>
      <w:r w:rsidR="008C0E05">
        <w:t>2</w:t>
      </w:r>
      <w:r>
        <w:t>.3. Triệu chứng thực thể</w:t>
      </w:r>
      <w:bookmarkEnd w:id="29"/>
    </w:p>
    <w:p w14:paraId="6DB7DFE0" w14:textId="1B6C1CEB"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652D6C">
        <w:t>[12]</w:t>
      </w:r>
      <w:r w:rsidR="00B554AD">
        <w:fldChar w:fldCharType="end"/>
      </w:r>
      <w:r w:rsidR="00435311">
        <w:t>.</w:t>
      </w:r>
    </w:p>
    <w:p w14:paraId="57C14296" w14:textId="083A9705" w:rsidR="00405256" w:rsidRPr="008A1329" w:rsidRDefault="00405256" w:rsidP="00405256">
      <w:r>
        <w:t>Nghiên cứu của Nguyễn Thị Phượng</w:t>
      </w:r>
      <w:r w:rsidR="00BC52F6">
        <w:t xml:space="preserve"> (2017)</w:t>
      </w:r>
      <w:r>
        <w:t xml:space="preserve">, ran ẩm là 66,2%; ran nổ là 42,3%; biến dạng lồng ngực 13,4% </w:t>
      </w:r>
      <w:r w:rsidR="00EB4FD9">
        <w:fldChar w:fldCharType="begin">
          <w:fldData xml:space="preserve">PEVuZE5vdGU+PENpdGU+PEF1dGhvcj5QaMaw4bujbmc8L0F1dGhvcj48WWVhcj4yMDE3PC9ZZWFy
PjxSZWNOdW0+MjI8L1JlY051bT48RGlzcGxheVRleHQ+WzIyXTwvRGlzcGxheVRleHQ+PHJlY29y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652D6C">
        <w:instrText xml:space="preserve"> ADDIN EN.CITE </w:instrText>
      </w:r>
      <w:r w:rsidR="00652D6C">
        <w:fldChar w:fldCharType="begin">
          <w:fldData xml:space="preserve">PEVuZE5vdGU+PENpdGU+PEF1dGhvcj5QaMaw4bujbmc8L0F1dGhvcj48WWVhcj4yMDE3PC9ZZWFy
PjxSZWNOdW0+MjI8L1JlY051bT48RGlzcGxheVRleHQ+WzIyXTwvRGlzcGxheVRleHQ+PHJlY29y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652D6C">
        <w:instrText xml:space="preserve"> ADDIN EN.CITE.DATA </w:instrText>
      </w:r>
      <w:r w:rsidR="00652D6C">
        <w:fldChar w:fldCharType="end"/>
      </w:r>
      <w:r w:rsidR="00EB4FD9">
        <w:fldChar w:fldCharType="separate"/>
      </w:r>
      <w:r w:rsidR="00652D6C">
        <w:t>[22]</w:t>
      </w:r>
      <w:r w:rsidR="00EB4FD9">
        <w:fldChar w:fldCharType="end"/>
      </w:r>
      <w:r>
        <w:t>. Theo Lê Trọng Thạch</w:t>
      </w:r>
      <w:r w:rsidR="00BC52F6">
        <w:t xml:space="preserve"> (2016),</w:t>
      </w:r>
      <w:r>
        <w:t xml:space="preserve"> ran ẩm 6,3%; ran nổ 9,5% </w:t>
      </w:r>
      <w:r w:rsidR="00F07002">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F07002">
        <w:fldChar w:fldCharType="separate"/>
      </w:r>
      <w:r w:rsidR="00652D6C">
        <w:t>[18]</w:t>
      </w:r>
      <w:r w:rsidR="00F07002">
        <w:fldChar w:fldCharType="end"/>
      </w:r>
      <w:r>
        <w:t>.</w:t>
      </w:r>
    </w:p>
    <w:p w14:paraId="6A27D578" w14:textId="228A696A" w:rsidR="001B303A" w:rsidRDefault="00E01B8D" w:rsidP="00FF5436">
      <w:pPr>
        <w:pStyle w:val="Heading3"/>
      </w:pPr>
      <w:bookmarkStart w:id="30" w:name="_Toc126527709"/>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0"/>
    </w:p>
    <w:p w14:paraId="34AA91F3" w14:textId="602EFCCF" w:rsidR="002316C0" w:rsidRDefault="002316C0" w:rsidP="009E225B">
      <w:pPr>
        <w:pStyle w:val="Heading4"/>
      </w:pPr>
      <w:bookmarkStart w:id="31" w:name="_Toc126527710"/>
      <w:r>
        <w:t>1.</w:t>
      </w:r>
      <w:r w:rsidR="008C0E05">
        <w:t>2</w:t>
      </w:r>
      <w:r>
        <w:t>.</w:t>
      </w:r>
      <w:r w:rsidR="008C0E05">
        <w:t>3</w:t>
      </w:r>
      <w:r>
        <w:t xml:space="preserve">.1. </w:t>
      </w:r>
      <w:r w:rsidR="00050484">
        <w:t>Nhuộm s</w:t>
      </w:r>
      <w:r w:rsidR="001B303A">
        <w:t>oi trực tiếp tìm AFB</w:t>
      </w:r>
      <w:bookmarkEnd w:id="31"/>
    </w:p>
    <w:p w14:paraId="7F86D781" w14:textId="5E774B92"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2 kỹ thuật </w:t>
      </w:r>
      <w:r w:rsidR="00060388" w:rsidRPr="00D50266">
        <w:rPr>
          <w:lang w:val="vi-VN"/>
        </w:rPr>
        <w:t>nhuộm Ziehl-Neelsen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Y051bT4xMDwvUmVjTnVtPjxEaXNwbGF5VGV4dD5bMTIsIDIzXTwvRGlzcGxheVRleHQ+PHJlY29y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E7B14">
        <w:instrText xml:space="preserve"> ADDIN EN.CITE </w:instrText>
      </w:r>
      <w:r w:rsidR="00AE7B14">
        <w:fldChar w:fldCharType="begin">
          <w:fldData xml:space="preserve">PEVuZE5vdGU+PENpdGU+PEF1dGhvcj5Tw6FuZzwvQXV0aG9yPjxZZWFyPjIwMTQ8L1llYXI+PFJl
Y051bT4xMDwvUmVjTnVtPjxEaXNwbGF5VGV4dD5bMTIsIDIzXTwvRGlzcGxheVRleHQ+PHJlY29y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E7B14">
        <w:instrText xml:space="preserve"> ADDIN EN.CITE.DATA </w:instrText>
      </w:r>
      <w:r w:rsidR="00AE7B14">
        <w:fldChar w:fldCharType="end"/>
      </w:r>
      <w:r w:rsidR="009B1FC0">
        <w:fldChar w:fldCharType="separate"/>
      </w:r>
      <w:r w:rsidR="009B1FC0">
        <w:t>[12, 23]</w:t>
      </w:r>
      <w:r w:rsidR="009B1FC0">
        <w:fldChar w:fldCharType="end"/>
      </w:r>
      <w:r w:rsidR="00D03A9C">
        <w:t>:</w:t>
      </w:r>
    </w:p>
    <w:p w14:paraId="7CE29853" w14:textId="3902D59C" w:rsidR="005408E9" w:rsidRDefault="008F258A" w:rsidP="00AE2304">
      <w:r>
        <w:t>-</w:t>
      </w:r>
      <w:r w:rsidR="005408E9">
        <w:t xml:space="preserve"> </w:t>
      </w:r>
      <w:r w:rsidR="006D1483">
        <w:t>Kỹ thuật n</w:t>
      </w:r>
      <w:r w:rsidR="005408E9">
        <w:t>huộm Ziehl-Neelsen:</w:t>
      </w:r>
      <w:r w:rsidR="006D1483">
        <w:t xml:space="preserve"> </w:t>
      </w:r>
      <w:r w:rsidR="005408E9">
        <w:t xml:space="preserve">phát hiện AFB bằng nhuộm Ziehl-Neelsen và sử dụng kính hiển vi quang học. Khi soi AFB bắt màu đỏ của </w:t>
      </w:r>
      <w:r w:rsidR="009213B2">
        <w:t>F</w:t>
      </w:r>
      <w:r w:rsidR="005408E9">
        <w:t>uchsin trên nền xanh</w:t>
      </w:r>
      <w:r w:rsidR="00453094">
        <w:t>-</w:t>
      </w:r>
      <w:r w:rsidR="009213B2">
        <w:t>M</w:t>
      </w:r>
      <w:r w:rsidR="005408E9">
        <w:t>ethylen.</w:t>
      </w:r>
    </w:p>
    <w:p w14:paraId="562FD877" w14:textId="244B834C" w:rsidR="00952971" w:rsidRDefault="008F258A" w:rsidP="00AE2304">
      <w:r>
        <w:lastRenderedPageBreak/>
        <w:t>-</w:t>
      </w:r>
      <w:r w:rsidR="005408E9">
        <w:t xml:space="preserve"> </w:t>
      </w:r>
      <w:r w:rsidR="006D1483">
        <w:t>Kỹ thuật n</w:t>
      </w:r>
      <w:r w:rsidR="005408E9">
        <w:t>huộm huỳnh quang đèn L</w:t>
      </w:r>
      <w:r w:rsidR="006D1483">
        <w:t>ED</w:t>
      </w:r>
      <w:r w:rsidR="005408E9">
        <w:t>:</w:t>
      </w:r>
      <w:r w:rsidR="006D1483">
        <w:t xml:space="preserve"> </w:t>
      </w:r>
      <w:r w:rsidR="005408E9">
        <w:t xml:space="preserve">phát hiện AFB bằng nhuộm huỳnh quang và soi trên kính hiển vi huỳnh quang đèn LED. Khi soi AFB phát quang màu của </w:t>
      </w:r>
      <w:r w:rsidR="009213B2">
        <w:t>A</w:t>
      </w:r>
      <w:r w:rsidR="005408E9">
        <w:t>uramine vàng sáng trên nền xanh</w:t>
      </w:r>
      <w:r w:rsidR="00882E9F">
        <w:t xml:space="preserve"> </w:t>
      </w:r>
      <w:r w:rsidR="009213B2">
        <w:t>M</w:t>
      </w:r>
      <w:r w:rsidR="005408E9">
        <w:t>ethylen.</w:t>
      </w:r>
    </w:p>
    <w:p w14:paraId="064F784D" w14:textId="50772B08" w:rsidR="001827C4" w:rsidRPr="007D0825" w:rsidRDefault="005B0257" w:rsidP="00AE0C4A">
      <w:pPr>
        <w:spacing w:before="240"/>
      </w:pPr>
      <w:r>
        <w:t>Theo nghiên cứu của</w:t>
      </w:r>
      <w:r w:rsidR="008017A9">
        <w:t xml:space="preserve"> </w:t>
      </w:r>
      <w:r w:rsidR="008017A9" w:rsidRPr="008017A9">
        <w:t>Neil W. Schluger</w:t>
      </w:r>
      <w:r w:rsidR="008017A9">
        <w:t xml:space="preserve"> (2019),</w:t>
      </w:r>
      <w:r w:rsidR="008017A9" w:rsidRPr="008017A9">
        <w:t xml:space="preserve"> cho thấy </w:t>
      </w:r>
      <w:r w:rsidR="008017A9">
        <w:t>kết quả soi trực tiếp</w:t>
      </w:r>
      <w:r w:rsidR="008017A9" w:rsidRPr="008017A9">
        <w:t xml:space="preserve"> </w:t>
      </w:r>
      <w:r w:rsidR="00CB1153">
        <w:t xml:space="preserve">tìm </w:t>
      </w:r>
      <w:r w:rsidR="008017A9" w:rsidRPr="008017A9">
        <w:t>AFB có độ nhạy thấp 38,8% và độ đặc hiệu cao 96,7%</w:t>
      </w:r>
      <w:r>
        <w:t xml:space="preserve"> </w:t>
      </w:r>
      <w:r w:rsidR="008017A9">
        <w:fldChar w:fldCharType="begin"/>
      </w:r>
      <w:r w:rsidR="00652D6C">
        <w:instrText xml:space="preserve"> ADDIN EN.CITE &lt;EndNote&gt;&lt;Cite&gt;&lt;Author&gt;Schluger&lt;/Author&gt;&lt;Year&gt;2019&lt;/Year&gt;&lt;RecNum&gt;69&lt;/RecNum&gt;&lt;DisplayText&gt;[24]&lt;/DisplayText&gt;&lt;record&gt;&lt;rec-number&gt;69&lt;/rec-number&gt;&lt;foreign-keys&gt;&lt;key app="EN" db-id="ew0r25e5ieawfueddv3pf0sbaxx0fsraa9ft" timestamp="1679929112"&gt;69&lt;/key&gt;&lt;/foreign-keys&gt;&lt;ref-type name="Journal Article"&gt;17&lt;/ref-type&gt;&lt;contributors&gt;&lt;authors&gt;&lt;author&gt;Schluger, N. W.&lt;/author&gt;&lt;/authors&gt;&lt;/contributors&gt;&lt;auth-address&gt;1 Columbia University New York, New York.&lt;/auth-address&gt;&lt;titles&gt;&lt;title&gt;The Acid-Fast Bacilli Smear: Hail and Farewell&lt;/title&gt;&lt;secondary-title&gt;Am J Respir Crit Care Med&lt;/secondary-title&gt;&lt;/titles&gt;&lt;periodical&gt;&lt;full-title&gt;Am J Respir Crit Care Med&lt;/full-title&gt;&lt;/periodical&gt;&lt;pages&gt;691-692&lt;/pages&gt;&lt;volume&gt;199&lt;/volume&gt;&lt;number&gt;6&lt;/number&gt;&lt;keywords&gt;&lt;keyword&gt;*Diagnostic Tests, Routine&lt;/keyword&gt;&lt;keyword&gt;*Microscopy&lt;/keyword&gt;&lt;/keywords&gt;&lt;dates&gt;&lt;year&gt;2019&lt;/year&gt;&lt;pub-dates&gt;&lt;date&gt;Mar 15&lt;/date&gt;&lt;/pub-dates&gt;&lt;/dates&gt;&lt;isbn&gt;1535-4970 (Electronic)&amp;#xD;1073-449X (Print)&amp;#xD;1073-449X (Linking)&lt;/isbn&gt;&lt;accession-num&gt;30312544&lt;/accession-num&gt;&lt;urls&gt;&lt;related-urls&gt;&lt;url&gt;https://www.ncbi.nlm.nih.gov/pubmed/30312544&lt;/url&gt;&lt;/related-urls&gt;&lt;/urls&gt;&lt;custom2&gt;PMC6423104&lt;/custom2&gt;&lt;electronic-resource-num&gt;10.1164/rccm.201809-1772ED&lt;/electronic-resource-num&gt;&lt;remote-database-name&gt;Medline&lt;/remote-database-name&gt;&lt;remote-database-provider&gt;NLM&lt;/remote-database-provider&gt;&lt;language&gt;eng&lt;/language&gt;&lt;/record&gt;&lt;/Cite&gt;&lt;/EndNote&gt;</w:instrText>
      </w:r>
      <w:r w:rsidR="008017A9">
        <w:fldChar w:fldCharType="separate"/>
      </w:r>
      <w:r w:rsidR="00652D6C">
        <w:t>[24]</w:t>
      </w:r>
      <w:r w:rsidR="008017A9">
        <w:fldChar w:fldCharType="end"/>
      </w:r>
      <w:r w:rsidR="008017A9">
        <w:t>.</w:t>
      </w:r>
      <w:r w:rsidR="00CD0BB9">
        <w:t xml:space="preserve"> Theo</w:t>
      </w:r>
      <w:r w:rsidR="00CB1153">
        <w:t xml:space="preserve"> </w:t>
      </w:r>
      <w:r w:rsidR="00CB1153" w:rsidRPr="00CB1153">
        <w:t>DA Geleta</w:t>
      </w:r>
      <w:r w:rsidR="00CB1153">
        <w:t xml:space="preserve"> và cộng sự (2015), độ nhạy và độ đặc hiệu của soi trực tiếp</w:t>
      </w:r>
      <w:r w:rsidR="00CB1153" w:rsidRPr="008017A9">
        <w:t xml:space="preserve"> AFB</w:t>
      </w:r>
      <w:r w:rsidR="00CB1153">
        <w:t xml:space="preserve"> lần lượt là </w:t>
      </w:r>
      <w:r w:rsidR="009D789C">
        <w:t>36,2% và 99,4%</w:t>
      </w:r>
      <w:r w:rsidR="00CB1153">
        <w:t xml:space="preserve"> </w:t>
      </w:r>
      <w:r w:rsidR="00CD0BB9">
        <w:t xml:space="preserve"> </w:t>
      </w:r>
      <w:r w:rsidR="00CB1153">
        <w:fldChar w:fldCharType="begin"/>
      </w:r>
      <w:r w:rsidR="00652D6C">
        <w:instrText xml:space="preserve"> ADDIN EN.CITE &lt;EndNote&gt;&lt;Cite&gt;&lt;Author&gt;DA&lt;/Author&gt;&lt;Year&gt;2015&lt;/Year&gt;&lt;RecNum&gt;70&lt;/RecNum&gt;&lt;DisplayText&gt;[25]&lt;/DisplayText&gt;&lt;record&gt;&lt;rec-number&gt;70&lt;/rec-number&gt;&lt;foreign-keys&gt;&lt;key app="EN" db-id="ew0r25e5ieawfueddv3pf0sbaxx0fsraa9ft" timestamp="1679929275"&gt;70&lt;/key&gt;&lt;/foreign-keys&gt;&lt;ref-type name="Journal Article"&gt;17&lt;/ref-type&gt;&lt;contributors&gt;&lt;authors&gt;&lt;author&gt;Geleta DA&lt;/author&gt;&lt;author&gt;Megerssa YC Gudeta AN&lt;/author&gt;&lt;author&gt;Akalu GT&lt;/author&gt;&lt;author&gt;Debele MT&lt;/author&gt;&lt;author&gt;Tulu KD&lt;/author&gt;&lt;/authors&gt;&lt;/contributors&gt;&lt;titles&gt;&lt;title&gt;Xpert MTB/RIF assay for diagnosis of pulmonary tuberculosis in sputum specimens in remote health care facility&lt;/title&gt;&lt;/titles&gt;&lt;dates&gt;&lt;year&gt;2015&lt;/year&gt;&lt;pub-dates&gt;&lt;date&gt;01/01&lt;/date&gt;&lt;/pub-dates&gt;&lt;/dates&gt;&lt;urls&gt;&lt;/urls&gt;&lt;language&gt;eng&lt;/language&gt;&lt;/record&gt;&lt;/Cite&gt;&lt;/EndNote&gt;</w:instrText>
      </w:r>
      <w:r w:rsidR="00CB1153">
        <w:fldChar w:fldCharType="separate"/>
      </w:r>
      <w:r w:rsidR="00652D6C">
        <w:t>[25]</w:t>
      </w:r>
      <w:r w:rsidR="00CB1153">
        <w:fldChar w:fldCharType="end"/>
      </w:r>
      <w:r w:rsidR="009D789C">
        <w:t>.</w:t>
      </w:r>
    </w:p>
    <w:p w14:paraId="28103E82" w14:textId="2BD836DC" w:rsidR="00F9376C" w:rsidRDefault="00521914" w:rsidP="008E25DA">
      <w:pPr>
        <w:pStyle w:val="Heading4"/>
      </w:pPr>
      <w:bookmarkStart w:id="32" w:name="_Toc126527711"/>
      <w:r>
        <w:t>1.</w:t>
      </w:r>
      <w:r w:rsidR="008C0E05">
        <w:t>2</w:t>
      </w:r>
      <w:r>
        <w:t>.</w:t>
      </w:r>
      <w:r w:rsidR="008C0E05">
        <w:t>3</w:t>
      </w:r>
      <w:r>
        <w:t xml:space="preserve">.2. </w:t>
      </w:r>
      <w:r w:rsidR="001827C4">
        <w:t xml:space="preserve">Nuôi cấy tìm </w:t>
      </w:r>
      <w:r w:rsidR="00CD430D">
        <w:t>trực khuẩn lao</w:t>
      </w:r>
      <w:bookmarkEnd w:id="32"/>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6BE4A0B0" w14:textId="28E4F9D3" w:rsidR="004F1BC3" w:rsidRDefault="001E0885" w:rsidP="004F1BC3">
      <w:r>
        <w:t>-</w:t>
      </w:r>
      <w:r w:rsidR="00C34B59">
        <w:t xml:space="preserve"> Nuôi</w:t>
      </w:r>
      <w:r w:rsidR="000E3CA8">
        <w:t xml:space="preserve"> cấy trong môi trường </w:t>
      </w:r>
      <w:r w:rsidR="00914769">
        <w:t xml:space="preserve">môi trường cổ điển </w:t>
      </w:r>
      <w:r w:rsidR="000E3CA8">
        <w:t>Lowenstein</w:t>
      </w:r>
      <w:r w:rsidR="00801EBE">
        <w:t>-</w:t>
      </w:r>
      <w:r w:rsidR="000E3CA8">
        <w:t>Jensen</w:t>
      </w:r>
      <w:r w:rsidR="00B13DED">
        <w:t xml:space="preserve"> </w:t>
      </w:r>
      <w:r w:rsidR="00B13DED">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B452F7">
        <w:instrText xml:space="preserve"> ADDIN EN.CITE </w:instrText>
      </w:r>
      <w:r w:rsidR="00B452F7">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B452F7">
        <w:instrText xml:space="preserve"> ADDIN EN.CITE.DATA </w:instrText>
      </w:r>
      <w:r w:rsidR="00B452F7">
        <w:fldChar w:fldCharType="end"/>
      </w:r>
      <w:r w:rsidR="00B13DED">
        <w:fldChar w:fldCharType="separate"/>
      </w:r>
      <w:r w:rsidR="00B452F7">
        <w:t>[26, 27]</w:t>
      </w:r>
      <w:r w:rsidR="00B13DED">
        <w:fldChar w:fldCharType="end"/>
      </w:r>
      <w:r w:rsidR="00914769">
        <w:t xml:space="preserve">: </w:t>
      </w:r>
      <w:r w:rsidR="00B73AF2">
        <w:t xml:space="preserve">là môi trường giàu dinh dưỡng loại bỏ tạp chất ngăn cản </w:t>
      </w:r>
      <w:r w:rsidR="00CD430D">
        <w:t>trực khuẩn lao</w:t>
      </w:r>
      <w:r w:rsidR="00F81DD6">
        <w:t xml:space="preserve"> phát triển</w:t>
      </w:r>
      <w:r w:rsidR="00CB3241">
        <w:t xml:space="preserve"> và kèm theo các chất có tác dụng diệt vi khuẩn thông thường.</w:t>
      </w:r>
      <w:r w:rsidR="00F81DD6">
        <w:t xml:space="preserve"> Sau 1-2 tháng sẽ mọc và tạo thành khuẩn lạc</w:t>
      </w:r>
      <w:r w:rsidR="009673D3">
        <w:t xml:space="preserve"> hình súp lơ, trắng ngà, bề mặt lẩn sẩn.</w:t>
      </w:r>
      <w:r w:rsidR="00CE0604">
        <w:t xml:space="preserve"> Kết quả dựa vào số khuẩn lạc thu được</w:t>
      </w:r>
      <w:r w:rsidR="00600B42">
        <w:t xml:space="preserve"> </w:t>
      </w:r>
      <w:r w:rsidR="00626970">
        <w:t xml:space="preserve">theo </w:t>
      </w:r>
      <w:r w:rsidR="001440B5" w:rsidRPr="00D418EC">
        <w:t>Chương trình Chống lao Quốc gia</w:t>
      </w:r>
      <w:r w:rsidR="001440B5">
        <w:t xml:space="preserve"> (</w:t>
      </w:r>
      <w:r w:rsidR="00626970">
        <w:t>CTCLQG</w:t>
      </w:r>
      <w:r w:rsidR="001440B5">
        <w:t>)</w:t>
      </w:r>
      <w:r w:rsidR="00B452F7">
        <w:t>:</w:t>
      </w:r>
    </w:p>
    <w:p w14:paraId="11B35E7E" w14:textId="2433772F" w:rsidR="004F1BC3" w:rsidRDefault="004F1BC3" w:rsidP="004F1BC3">
      <w:r>
        <w:t>+ Từ 1 đến 50 khuẩn lạc:</w:t>
      </w:r>
      <w:r w:rsidRPr="00492D41">
        <w:tab/>
      </w:r>
      <w:r w:rsidR="000514AA">
        <w:t>d</w:t>
      </w:r>
      <w:r>
        <w:t>ương tính (ghi rõ số khuẩn lạc thu được)</w:t>
      </w:r>
    </w:p>
    <w:p w14:paraId="7ED16B5F" w14:textId="170142A7" w:rsidR="004F1BC3" w:rsidRDefault="004F1BC3" w:rsidP="004F1BC3">
      <w:r>
        <w:t xml:space="preserve">+ Từ 50 đến 100 khuẩn lạc: </w:t>
      </w:r>
      <w:r w:rsidR="000514AA">
        <w:t>d</w:t>
      </w:r>
      <w:r w:rsidRPr="00492D41">
        <w:t>ương tính</w:t>
      </w:r>
      <w:r>
        <w:t xml:space="preserve"> (+)</w:t>
      </w:r>
    </w:p>
    <w:p w14:paraId="01F13899" w14:textId="4D647DC0" w:rsidR="004F1BC3" w:rsidRDefault="004F1BC3" w:rsidP="004F1BC3">
      <w:r>
        <w:t xml:space="preserve">+ Từ 100 đến 200 khuẩn lạc: </w:t>
      </w:r>
      <w:r w:rsidR="000514AA">
        <w:t>d</w:t>
      </w:r>
      <w:r w:rsidRPr="00492D41">
        <w:t>ương tính (+</w:t>
      </w:r>
      <w:r>
        <w:t>+</w:t>
      </w:r>
      <w:r w:rsidRPr="00492D41">
        <w:t>)</w:t>
      </w:r>
    </w:p>
    <w:p w14:paraId="395DC7B1" w14:textId="5F2ACD98" w:rsidR="004F1BC3" w:rsidRDefault="004F1BC3" w:rsidP="004F1BC3">
      <w:r>
        <w:t xml:space="preserve">+ Khuẩn lạc mọc dày nhưng còn nhận định rõ: </w:t>
      </w:r>
      <w:r w:rsidR="000514AA">
        <w:t>d</w:t>
      </w:r>
      <w:r w:rsidRPr="00492D41">
        <w:t>ương tính (</w:t>
      </w:r>
      <w:r>
        <w:t>+</w:t>
      </w:r>
      <w:r w:rsidRPr="00492D41">
        <w:t>++)</w:t>
      </w:r>
    </w:p>
    <w:p w14:paraId="29E70BCB" w14:textId="0744B2D4" w:rsidR="004F1BC3" w:rsidRPr="00492D41" w:rsidRDefault="004F1BC3" w:rsidP="004F1BC3">
      <w:r>
        <w:t xml:space="preserve">+ Khuẩn lạc mọc dày nhưng không còn nhận định rõ: </w:t>
      </w:r>
      <w:r w:rsidR="000514AA">
        <w:t>d</w:t>
      </w:r>
      <w:r w:rsidRPr="00492D41">
        <w:t>ương tính (++</w:t>
      </w:r>
      <w:r>
        <w:t>+</w:t>
      </w:r>
      <w:r w:rsidRPr="00492D41">
        <w:t>+)</w:t>
      </w:r>
    </w:p>
    <w:p w14:paraId="0688D752" w14:textId="3657F06E" w:rsidR="001D6683" w:rsidRDefault="001E0885" w:rsidP="00171107">
      <w:pPr>
        <w:spacing w:before="240"/>
      </w:pPr>
      <w:r>
        <w:lastRenderedPageBreak/>
        <w:t>-</w:t>
      </w:r>
      <w:r w:rsidR="001D6683">
        <w:t xml:space="preserve"> Nuôi cấy trong môi trường MGIT</w:t>
      </w:r>
      <w:r w:rsidR="00093261">
        <w:t xml:space="preserve"> </w:t>
      </w:r>
      <w:r w:rsidR="00B13DED">
        <w:fldChar w:fldCharType="begin">
          <w:fldData xml:space="preserve">PEVuZE5vdGU+PENpdGU+PEF1dGhvcj5OaHVuZzwvQXV0aG9yPjxZZWFyPjIwMjI8L1llYXI+PFJl
Y051bT4zMzwvUmVjTnVtPjxEaXNwbGF5VGV4dD5bMjMsIDI2XTwvRGlzcGxheVRleHQ+PHJlY29y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E7B14">
        <w:instrText xml:space="preserve"> ADDIN EN.CITE </w:instrText>
      </w:r>
      <w:r w:rsidR="00AE7B14">
        <w:fldChar w:fldCharType="begin">
          <w:fldData xml:space="preserve">PEVuZE5vdGU+PENpdGU+PEF1dGhvcj5OaHVuZzwvQXV0aG9yPjxZZWFyPjIwMjI8L1llYXI+PFJl
Y051bT4zMzwvUmVjTnVtPjxEaXNwbGF5VGV4dD5bMjMsIDI2XTwvRGlzcGxheVRleHQ+PHJlY29y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E7B14">
        <w:instrText xml:space="preserve"> ADDIN EN.CITE.DATA </w:instrText>
      </w:r>
      <w:r w:rsidR="00AE7B14">
        <w:fldChar w:fldCharType="end"/>
      </w:r>
      <w:r w:rsidR="00B13DED">
        <w:fldChar w:fldCharType="separate"/>
      </w:r>
      <w:r w:rsidR="00FA2C71">
        <w:t>[23, 26]</w:t>
      </w:r>
      <w:r w:rsidR="00B13DED">
        <w:fldChar w:fldCharType="end"/>
      </w:r>
      <w:r w:rsidR="00663D2B">
        <w:t>: là phương pháp phổ biến được sử dụng hiện nay</w:t>
      </w:r>
      <w:r w:rsidR="003C4A3D">
        <w:t xml:space="preserve"> bằng hệ thống </w:t>
      </w:r>
      <w:r w:rsidR="00967EBC">
        <w:t>BACTEC MGIT</w:t>
      </w:r>
      <w:r w:rsidR="00663D2B">
        <w:t>.</w:t>
      </w:r>
      <w:r w:rsidR="001E35DD">
        <w:t xml:space="preserve"> </w:t>
      </w:r>
      <w:r w:rsidR="000178F6">
        <w:t xml:space="preserve">Sinh phẩm MGIT là dung dịch có các chất giúp </w:t>
      </w:r>
      <w:r w:rsidR="00CD430D">
        <w:t>trực khuẩn lao</w:t>
      </w:r>
      <w:r w:rsidR="000178F6">
        <w:t xml:space="preserve"> phát triển, các kháng sinh chống các loại vi khuẩn khác, kháng nấm phổ rộng và chất phát quang nhạy cảm với oxy, phát sáng khi nồng độ oxy thay đổi. Khi </w:t>
      </w:r>
      <w:r w:rsidR="00CD430D">
        <w:t>trực khuẩn lao</w:t>
      </w:r>
      <w:r w:rsidR="000178F6">
        <w:t xml:space="preserve"> sinh trưởng sẽ tiêu thụ oxy, hợp chất phát quang thoát ức chế sẽ phát quang</w:t>
      </w:r>
      <w:r w:rsidR="006F2646">
        <w:t>.</w:t>
      </w:r>
      <w:r w:rsidR="00267D8A">
        <w:t xml:space="preserve"> Kết quả được đọc tự động bằng máy B</w:t>
      </w:r>
      <w:r w:rsidR="00231061">
        <w:t>A</w:t>
      </w:r>
      <w:r w:rsidR="00266C97">
        <w:t>C</w:t>
      </w:r>
      <w:r w:rsidR="00231061">
        <w:t>TEC</w:t>
      </w:r>
      <w:r w:rsidR="00267D8A">
        <w:t xml:space="preserve"> 960 cho phép xác định cả độ nhạy cảm của trực khuẩn lao với các loại kháng sinh chống lao h</w:t>
      </w:r>
      <w:r w:rsidR="00993EDB">
        <w:t>àng một</w:t>
      </w:r>
      <w:r w:rsidR="00267D8A">
        <w:t>.</w:t>
      </w:r>
    </w:p>
    <w:p w14:paraId="0D649619" w14:textId="2707C38F" w:rsidR="00EA5680" w:rsidRDefault="00EA5680" w:rsidP="00EA5680">
      <w:r>
        <w:t>Theo Y</w:t>
      </w:r>
      <w:r w:rsidR="00C32B86">
        <w:t>.</w:t>
      </w:r>
      <w:r>
        <w:t xml:space="preserve"> Jin</w:t>
      </w:r>
      <w:r w:rsidR="00C32B86">
        <w:t xml:space="preserve"> (2019)</w:t>
      </w:r>
      <w:r>
        <w:t xml:space="preserve"> </w:t>
      </w:r>
      <w:r w:rsidR="00A30BF0">
        <w:t>đ</w:t>
      </w:r>
      <w:r>
        <w:t xml:space="preserve">ộ nhạy của BACTEC MGIT 960 trong phát hiện bệnh lao là 95,0% </w:t>
      </w:r>
      <w:r w:rsidR="00A30BF0">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 </w:instrText>
      </w:r>
      <w:r w:rsidR="00B452F7">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EN.CITE.DATA </w:instrText>
      </w:r>
      <w:r w:rsidR="00B452F7">
        <w:fldChar w:fldCharType="end"/>
      </w:r>
      <w:r w:rsidR="00A30BF0">
        <w:fldChar w:fldCharType="separate"/>
      </w:r>
      <w:r w:rsidR="00B452F7">
        <w:t>[28]</w:t>
      </w:r>
      <w:r w:rsidR="00A30BF0">
        <w:fldChar w:fldCharType="end"/>
      </w:r>
      <w:r>
        <w:t xml:space="preserve">. </w:t>
      </w:r>
      <w:r w:rsidR="00C21D40">
        <w:t>Nghiễn cứu của</w:t>
      </w:r>
      <w:r>
        <w:t xml:space="preserve"> Nguyễn Văn Lưu</w:t>
      </w:r>
      <w:r w:rsidR="00C21D40">
        <w:t xml:space="preserve"> (2019),</w:t>
      </w:r>
      <w:r>
        <w:t xml:space="preserve"> phương pháp nuôi cấy MGIT 960 có độ nhạy cao hơn (33,10% so với 13,79%) và thời gian phát hiện vi khuẩn nhanh hơn (16,6 so với 34,4 ngày) phương pháp nuôi cấy cổ điển Lowenstein-Jensen </w:t>
      </w:r>
      <w:r w:rsidR="008A1FDA">
        <w:fldChar w:fldCharType="begin"/>
      </w:r>
      <w:r w:rsidR="00B452F7">
        <w:instrText xml:space="preserve"> ADDIN EN.CITE &lt;EndNote&gt;&lt;Cite&gt;&lt;Author&gt;Lưu&lt;/Author&gt;&lt;Year&gt;2019&lt;/Year&gt;&lt;RecNum&gt;27&lt;/RecNum&gt;&lt;DisplayText&gt;[29]&lt;/DisplayText&gt;&lt;record&gt;&lt;rec-number&gt;27&lt;/rec-number&gt;&lt;foreign-keys&gt;&lt;key app="EN" db-id="ew0r25e5ieawfueddv3pf0sbaxx0fsraa9ft" timestamp="1677685184"&gt;27&lt;/key&gt;&lt;/foreign-keys&gt;&lt;ref-type name="Journal Article"&gt;17&lt;/ref-type&gt;&lt;contributors&gt;&lt;authors&gt;&lt;author&gt;&lt;style face="normal" font="default" size="100%"&gt;Nguy&lt;/style&gt;&lt;style face="normal" font="default" charset="163" size="100%"&gt;ễn V&lt;/style&gt;&lt;style face="normal" font="default" charset="238" size="100%"&gt;ăn Lưu&lt;/style&gt;&lt;/author&gt;&lt;/authors&gt;&lt;/contributors&gt;&lt;titles&gt;&lt;title&gt;&lt;style face="normal" font="default" size="100%"&gt;Nh&lt;/style&gt;&lt;style face="normal" font="default" charset="163" size="100%"&gt;ận x&lt;/style&gt;&lt;style face="normal" font="default" size="100%"&gt;ét hi&lt;/style&gt;&lt;style face="normal" font="default" charset="163" size="100%"&gt;ệu quả của ph&lt;/style&gt;&lt;style face="normal" font="default" charset="238" size="100%"&gt;ương ph&lt;/style&gt;&lt;style face="normal" font="default" size="100%"&gt;áp nuôi c&lt;/style&gt;&lt;style face="normal" font="default" charset="163" size="100%"&gt;ấy BACTEC MGIT 960 trong chẩn &lt;/style&gt;&lt;style face="normal" font="default" charset="238" size="100%"&gt;đo&lt;/style&gt;&lt;style face="normal" font="default" size="100%"&gt;án Lao ph&lt;/style&gt;&lt;style face="normal" font="default" charset="163" size="100%"&gt;ổi tại Hải D&lt;/style&gt;&lt;style face="normal" font="default" charset="238" size="100%"&gt;ương&lt;/style&gt;&lt;/title&gt;&lt;/titles&gt;&lt;pages&gt; 501-504&lt;/pages&gt;&lt;dates&gt;&lt;year&gt;2019&lt;/year&gt;&lt;/dates&gt;&lt;publisher&gt;&lt;style face="normal" font="default" size="100%"&gt;T&lt;/style&gt;&lt;style face="normal" font="default" charset="163" size="100%"&gt;ạp ch&lt;/style&gt;&lt;style face="normal" font="default" size="100%"&gt;í Y h&lt;/style&gt;&lt;style face="normal" font="default" charset="163" size="100%"&gt;ọc Việt Nam, th&lt;/style&gt;&lt;style face="normal" font="default" size="100%"&gt;áng 10 n&lt;/style&gt;&lt;style face="normal" font="default" charset="238" size="100%"&gt;ăm 2019&lt;/style&gt;&lt;/publisher&gt;&lt;urls&gt;&lt;/urls&gt;&lt;language&gt;vie&lt;/language&gt;&lt;/record&gt;&lt;/Cite&gt;&lt;/EndNote&gt;</w:instrText>
      </w:r>
      <w:r w:rsidR="008A1FDA">
        <w:fldChar w:fldCharType="separate"/>
      </w:r>
      <w:r w:rsidR="00B452F7">
        <w:t>[29]</w:t>
      </w:r>
      <w:r w:rsidR="008A1FDA">
        <w:fldChar w:fldCharType="end"/>
      </w:r>
      <w:r>
        <w:t>.</w:t>
      </w:r>
    </w:p>
    <w:p w14:paraId="698E7F45" w14:textId="032265E0" w:rsidR="001B303A" w:rsidRDefault="00097BB0" w:rsidP="00E47958">
      <w:pPr>
        <w:pStyle w:val="Heading4"/>
      </w:pPr>
      <w:bookmarkStart w:id="33"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3"/>
    </w:p>
    <w:p w14:paraId="217FF7C2" w14:textId="3CF0BC82" w:rsidR="00DC7DC4" w:rsidRDefault="00321B5E" w:rsidP="00F134C7">
      <w:r w:rsidRPr="00321B5E">
        <w:t>Phát hiện</w:t>
      </w:r>
      <w:r w:rsidR="00BF4BF3">
        <w:t xml:space="preserve"> trực khuẩn lao</w:t>
      </w:r>
      <w:r w:rsidRPr="00321B5E">
        <w:t xml:space="preserve"> theo nguyên lý khuếch đại đoạn ADN IS 6110 (ADN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B452F7">
        <w:instrText xml:space="preserve"> ADDIN EN.CITE &lt;EndNote&gt;&lt;Cite&gt;&lt;Author&gt;gia&lt;/Author&gt;&lt;Year&gt;2016&lt;/Year&gt;&lt;RecNum&gt;28&lt;/RecNum&gt;&lt;DisplayText&gt;[27]&lt;/DisplayText&gt;&lt;record&gt;&lt;rec-number&gt;28&lt;/rec-number&gt;&lt;foreign-keys&gt;&lt;key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B452F7">
        <w:t>[27]</w:t>
      </w:r>
      <w:r w:rsidR="00831A78">
        <w:fldChar w:fldCharType="end"/>
      </w:r>
      <w:r w:rsidR="00E474E7">
        <w:t>.</w:t>
      </w:r>
      <w:r w:rsidR="00F134C7">
        <w:rPr>
          <w:color w:val="auto"/>
        </w:rPr>
        <w:t xml:space="preserve"> Nổi bật là </w:t>
      </w:r>
      <w:r w:rsidR="00F134C7">
        <w:t>k</w:t>
      </w:r>
      <w:r w:rsidR="00A341E6">
        <w:t>ỹ thuật gen 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652D6C">
        <w:instrText xml:space="preserve"> ADDIN EN.CITE &lt;EndNote&gt;&lt;Cite&gt;&lt;Author&gt;gia&lt;/Author&gt;&lt;Year&gt;2014&lt;/Year&gt;&lt;RecNum&gt;31&lt;/RecNum&gt;&lt;DisplayText&gt;[30]&lt;/DisplayText&gt;&lt;record&gt;&lt;rec-number&gt;31&lt;/rec-number&gt;&lt;foreign-keys&gt;&lt;key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652D6C">
        <w:t>[30]</w:t>
      </w:r>
      <w:r w:rsidR="005F3B6D">
        <w:fldChar w:fldCharType="end"/>
      </w:r>
      <w:r w:rsidR="00A341E6">
        <w:t xml:space="preserve">. </w:t>
      </w:r>
      <w:r w:rsidR="007948FA">
        <w:t>Xét nghiệm này cho phép phát hiện đồng thời ADN và hiện tượng đột biến rpoB của trực khuẩn lao gây ra hiện tượng kháng R</w:t>
      </w:r>
      <w:r w:rsidR="005E4485">
        <w:t>MP</w:t>
      </w:r>
      <w:r w:rsidR="007948FA">
        <w:t>.</w:t>
      </w:r>
    </w:p>
    <w:p w14:paraId="42FF67DA" w14:textId="16A4043C" w:rsidR="00FF4910" w:rsidRPr="00F134C7" w:rsidRDefault="00333766" w:rsidP="00F134C7">
      <w:pPr>
        <w:rPr>
          <w:color w:val="auto"/>
        </w:rPr>
      </w:pPr>
      <w:r>
        <w:t>Nghiên cứu của</w:t>
      </w:r>
      <w:r w:rsidR="00924DDD">
        <w:t xml:space="preserve"> Y</w:t>
      </w:r>
      <w:r w:rsidR="00480339">
        <w:t>.</w:t>
      </w:r>
      <w:r w:rsidR="00924DDD">
        <w:t xml:space="preserve"> Jin</w:t>
      </w:r>
      <w:r w:rsidR="00480339">
        <w:t xml:space="preserve"> (2019)</w:t>
      </w:r>
      <w:r w:rsidR="00695949">
        <w:t>,</w:t>
      </w:r>
      <w:r w:rsidR="00924DDD">
        <w:t xml:space="preserve"> </w:t>
      </w:r>
      <w:r w:rsidR="00BC7B9A">
        <w:t>g</w:t>
      </w:r>
      <w:r w:rsidR="00924DDD">
        <w:t>en Xpert MTB/RIF có độ nhạy trong phát hiện bệnh lao là 92,5% còn độ đặc hiệu trong phát hiên kháng R</w:t>
      </w:r>
      <w:r w:rsidR="005E4485">
        <w:t>MP</w:t>
      </w:r>
      <w:r w:rsidR="00924DDD">
        <w:t xml:space="preserve"> là 86% </w:t>
      </w:r>
      <w:r w:rsidR="00D52A7B">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 </w:instrText>
      </w:r>
      <w:r w:rsidR="00B452F7">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EN.CITE.DATA </w:instrText>
      </w:r>
      <w:r w:rsidR="00B452F7">
        <w:fldChar w:fldCharType="end"/>
      </w:r>
      <w:r w:rsidR="00D52A7B">
        <w:fldChar w:fldCharType="separate"/>
      </w:r>
      <w:r w:rsidR="00B452F7">
        <w:t>[28]</w:t>
      </w:r>
      <w:r w:rsidR="00D52A7B">
        <w:fldChar w:fldCharType="end"/>
      </w:r>
      <w:r w:rsidR="008F7A18">
        <w:t>.</w:t>
      </w:r>
      <w:r w:rsidR="004E3D3F">
        <w:t xml:space="preserve"> Nguyễn Kim Cương</w:t>
      </w:r>
      <w:r w:rsidR="00EF176C">
        <w:t xml:space="preserve"> (2021) thấy rằng</w:t>
      </w:r>
      <w:r w:rsidR="004E3D3F">
        <w:t xml:space="preserve"> gen Xpert MTB/RIF có độ nhạy là 83,3%; </w:t>
      </w:r>
      <w:r w:rsidR="004E3D3F">
        <w:lastRenderedPageBreak/>
        <w:t xml:space="preserve">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UmVjTnVtPjMyPC9SZWNOdW0+PERpc3BsYXlUZXh0PlszMV08L0Rpc3BsYXlUZXh0PjxyZWNvcmQ+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652D6C">
        <w:instrText xml:space="preserve"> ADDIN EN.CITE </w:instrText>
      </w:r>
      <w:r w:rsidR="00652D6C">
        <w:fldChar w:fldCharType="begin">
          <w:fldData xml:space="preserve">PEVuZE5vdGU+PENpdGU+PEF1dGhvcj5DxrDGoW5nPC9BdXRob3I+PFllYXI+MjAyMTwvWWVhcj48
UmVjTnVtPjMyPC9SZWNOdW0+PERpc3BsYXlUZXh0PlszMV08L0Rpc3BsYXlUZXh0PjxyZWNvcmQ+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652D6C">
        <w:instrText xml:space="preserve"> ADDIN EN.CITE.DATA </w:instrText>
      </w:r>
      <w:r w:rsidR="00652D6C">
        <w:fldChar w:fldCharType="end"/>
      </w:r>
      <w:r w:rsidR="00B159AB">
        <w:fldChar w:fldCharType="separate"/>
      </w:r>
      <w:r w:rsidR="00652D6C">
        <w:t>[31]</w:t>
      </w:r>
      <w:r w:rsidR="00B159AB">
        <w:fldChar w:fldCharType="end"/>
      </w:r>
      <w:r w:rsidR="004E3D3F">
        <w:t>.</w:t>
      </w:r>
      <w:r w:rsidR="00045927">
        <w:t xml:space="preserve"> </w:t>
      </w:r>
      <w:r w:rsidR="00DE7C60" w:rsidRPr="00DE7C60">
        <w:rPr>
          <w:rFonts w:ascii="TimesNewRomanPSMT" w:hAnsi="TimesNewRomanPSMT"/>
        </w:rPr>
        <w:t xml:space="preserve">Chandri </w:t>
      </w:r>
      <w:r w:rsidR="00045927" w:rsidRPr="00045927">
        <w:t>Lama</w:t>
      </w:r>
      <w:r w:rsidR="00DE7C60">
        <w:t xml:space="preserve"> và cộng sự</w:t>
      </w:r>
      <w:r w:rsidR="00045927" w:rsidRPr="00045927">
        <w:t xml:space="preserve"> </w:t>
      </w:r>
      <w:r w:rsidR="00DE7C60">
        <w:t>(</w:t>
      </w:r>
      <w:r w:rsidR="00045927">
        <w:t xml:space="preserve">năm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 Xpert MTB/RIF trong chẩn đoán bệnh lao thấy </w:t>
      </w:r>
      <w:r w:rsidR="0057132F">
        <w:t xml:space="preserve">rằng </w:t>
      </w:r>
      <w:r w:rsidR="00045927">
        <w:t>đ</w:t>
      </w:r>
      <w:r w:rsidR="00045927" w:rsidRPr="00045927">
        <w:t>ộ nhạy,</w:t>
      </w:r>
      <w:r w:rsidR="00045927">
        <w:t xml:space="preserve"> </w:t>
      </w:r>
      <w:r w:rsidR="00045927" w:rsidRPr="00045927">
        <w:t>độ đặc hiệu, giá trị dự báo dương tính và giá trị dự báo âm tính ở khoảng tin cậy</w:t>
      </w:r>
      <w:r w:rsidR="00045927">
        <w:t xml:space="preserve"> </w:t>
      </w:r>
      <w:r w:rsidR="00045927" w:rsidRPr="00045927">
        <w:t>95%</w:t>
      </w:r>
      <w:r w:rsidR="00045927">
        <w:t xml:space="preserve"> lần lượt</w:t>
      </w:r>
      <w:r w:rsidR="00045927" w:rsidRPr="00045927">
        <w:t xml:space="preserve"> là 73% (57-84), 92% (87-96), 71% (59-81) và 93% (89-95), ngoài ra, độ</w:t>
      </w:r>
      <w:r w:rsidR="00045927">
        <w:t xml:space="preserve"> </w:t>
      </w:r>
      <w:r w:rsidR="00045927" w:rsidRPr="00045927">
        <w:t>nhạy của xét nghiệm Xpert MTB/RIF trong việc phát hiện kháng RMP là 75%</w:t>
      </w:r>
      <w:r w:rsidR="009A1A5B">
        <w:t xml:space="preserve"> </w:t>
      </w:r>
      <w:r w:rsidR="00045927" w:rsidRPr="00045927">
        <w:t>(42-94, 95% CI)</w:t>
      </w:r>
      <w:r w:rsidR="009A1A5B">
        <w:t xml:space="preserve"> </w:t>
      </w:r>
      <w:r w:rsidR="00AE7B14">
        <w:fldChar w:fldCharType="begin">
          <w:fldData xml:space="preserve">PEVuZE5vdGU+PENpdGU+PEF1dGhvcj5MYW1hPC9BdXRob3I+PFllYXI+MjAyMjwvWWVhcj48UmVj
TnVtPjc1PC9SZWNOdW0+PERpc3BsYXlUZXh0PlszMl08L0Rpc3BsYXlUZXh0PjxyZWNvcmQ+PHJl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E7B14">
        <w:instrText xml:space="preserve"> ADDIN EN.CITE </w:instrText>
      </w:r>
      <w:r w:rsidR="00AE7B14">
        <w:fldChar w:fldCharType="begin">
          <w:fldData xml:space="preserve">PEVuZE5vdGU+PENpdGU+PEF1dGhvcj5MYW1hPC9BdXRob3I+PFllYXI+MjAyMjwvWWVhcj48UmVj
TnVtPjc1PC9SZWNOdW0+PERpc3BsYXlUZXh0PlszMl08L0Rpc3BsYXlUZXh0PjxyZWNvcmQ+PHJl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E7B14">
        <w:instrText xml:space="preserve"> ADDIN EN.CITE.DATA </w:instrText>
      </w:r>
      <w:r w:rsidR="00AE7B14">
        <w:fldChar w:fldCharType="end"/>
      </w:r>
      <w:r w:rsidR="00AE7B14">
        <w:fldChar w:fldCharType="separate"/>
      </w:r>
      <w:r w:rsidR="00AE7B14">
        <w:t>[32]</w:t>
      </w:r>
      <w:r w:rsidR="00AE7B14">
        <w:fldChar w:fldCharType="end"/>
      </w:r>
      <w:r w:rsidR="009A1A5B">
        <w:t>.</w:t>
      </w:r>
    </w:p>
    <w:p w14:paraId="1AB57613" w14:textId="0846700E" w:rsidR="001B303A" w:rsidRDefault="00097BB0" w:rsidP="00E47958">
      <w:pPr>
        <w:pStyle w:val="Heading4"/>
      </w:pPr>
      <w:bookmarkStart w:id="34"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4"/>
    </w:p>
    <w:p w14:paraId="45844F83" w14:textId="258DDFA4" w:rsidR="0097081D" w:rsidRDefault="00B55567" w:rsidP="0097081D">
      <w:r>
        <w:t>Những hình ảnh trên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CF1D81">
        <w:instrText xml:space="preserve"> ADDIN EN.CITE </w:instrText>
      </w:r>
      <w:r w:rsidR="00CF1D81">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CF1D81">
        <w:instrText xml:space="preserve"> ADDIN EN.CITE.DATA </w:instrText>
      </w:r>
      <w:r w:rsidR="00CF1D81">
        <w:fldChar w:fldCharType="end"/>
      </w:r>
      <w:r w:rsidR="00E92508">
        <w:fldChar w:fldCharType="separate"/>
      </w:r>
      <w:r w:rsidR="00CF1D81">
        <w:t>[12, 33, 34]</w:t>
      </w:r>
      <w:r w:rsidR="00E92508">
        <w:fldChar w:fldCharType="end"/>
      </w:r>
      <w:r>
        <w:t>:</w:t>
      </w:r>
    </w:p>
    <w:p w14:paraId="596BFB21" w14:textId="2EA5E97C"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mm, 2</w:t>
      </w:r>
      <w:r w:rsidR="00F923BB">
        <w:rPr>
          <w:rFonts w:ascii="TimesNewRomanPSMT" w:hAnsi="TimesNewRomanPSMT"/>
        </w:rPr>
        <w:t xml:space="preserve"> </w:t>
      </w:r>
      <w:r w:rsidR="00F923BB" w:rsidRPr="00F923BB">
        <w:rPr>
          <w:rFonts w:ascii="TimesNewRomanPSMT" w:hAnsi="TimesNewRomanPSMT"/>
        </w:rPr>
        <w:t>mm &lt; đường kính nốt nhỏ ≤5 mm, 5</w:t>
      </w:r>
      <w:r w:rsidR="00F923BB">
        <w:rPr>
          <w:rFonts w:ascii="TimesNewRomanPSMT" w:hAnsi="TimesNewRomanPSMT"/>
        </w:rPr>
        <w:t xml:space="preserve"> </w:t>
      </w:r>
      <w:r w:rsidR="00F923BB" w:rsidRPr="00F923BB">
        <w:rPr>
          <w:rFonts w:ascii="TimesNewRomanPSMT" w:hAnsi="TimesNewRomanPSMT"/>
        </w:rPr>
        <w:t>mm &lt; đường kính nốt to ≤10 mm</w:t>
      </w:r>
      <w:r w:rsidR="00776B94">
        <w:t>, có thể rải rác 2 phổi hoặc tập trung nhiều ở vùng đỉnh phổi.</w:t>
      </w:r>
    </w:p>
    <w:p w14:paraId="7117A64E" w14:textId="48807AF4"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hình “phế quản hơi”</w:t>
      </w:r>
      <w:r w:rsidR="00477FDA">
        <w:t>,</w:t>
      </w:r>
      <w:r w:rsidR="00A27476" w:rsidRPr="00A27476">
        <w:rPr>
          <w:rFonts w:ascii="TimesNewRomanPSMT" w:hAnsi="TimesNewRomanPSMT"/>
        </w:rPr>
        <w:t xml:space="preserve"> </w:t>
      </w:r>
      <w:r w:rsidR="004164B3">
        <w:t xml:space="preserve">đường kính </w:t>
      </w:r>
      <w:r w:rsidR="00C55763">
        <w:t>&gt;</w:t>
      </w:r>
      <w:r w:rsidR="004164B3">
        <w:t>10 mm cho đến thùy viêm lao hoặc thâm nhiễm ở nhiều thù</w:t>
      </w:r>
      <w:r w:rsidR="00473E92">
        <w:t xml:space="preserve">y; </w:t>
      </w:r>
      <w:r w:rsidR="004164B3">
        <w:t>thường khu trú ở đỉnh phổi, dưới xương đòn, trên rãnh liên thùy giữa, hình dạng tròn, trái xoan, thâm nhiễm mây mù, thâm nhiễm tam giác.</w:t>
      </w:r>
    </w:p>
    <w:p w14:paraId="576F0C89" w14:textId="00972698"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trụng lại tạo hình “rỗ tổ ong” hoặc “ ruột bánh mì”</w:t>
      </w:r>
      <w:r w:rsidR="00A80914">
        <w:t xml:space="preserve">. </w:t>
      </w:r>
      <w:r w:rsidR="003242F4">
        <w:t xml:space="preserve">Khi hang </w:t>
      </w:r>
      <w:r w:rsidR="00DD752A">
        <w:t>thông với</w:t>
      </w:r>
      <w:r w:rsidR="003242F4">
        <w:t xml:space="preserve"> phế quản trên phim có thể thấy hình ảnh phế quản là hai đường mờ song song nối hang 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482A12E5" w:rsidR="00DA07F1" w:rsidRDefault="00AD0FD8" w:rsidP="00AD0FD8">
      <w:pPr>
        <w:rPr>
          <w:rFonts w:ascii="TimesNewRomanPSMT" w:hAnsi="TimesNewRomanPSMT"/>
        </w:rPr>
      </w:pPr>
      <w:r>
        <w:rPr>
          <w:rFonts w:ascii="TimesNewRomanPSMT" w:hAnsi="TimesNewRomanPSMT"/>
        </w:rPr>
        <w:lastRenderedPageBreak/>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Pr="00AD0FD8">
        <w:rPr>
          <w:rFonts w:ascii="TimesNewRomanPSMT" w:hAnsi="TimesNewRomanPSMT"/>
        </w:rPr>
        <w:t xml:space="preserve"> có đường kính rộng từ 0,5-1 mm, thường tạo giống “hình lưới” hoặc hình “vân đá”.</w:t>
      </w:r>
    </w:p>
    <w:p w14:paraId="1123C3F2" w14:textId="0DD9EC8F" w:rsidR="00F964FB" w:rsidRDefault="00F964FB" w:rsidP="00AD0FD8">
      <w:r>
        <w:rPr>
          <w:rFonts w:ascii="TimesNewRomanPSMT" w:hAnsi="TimesNewRomanPSMT"/>
        </w:rPr>
        <w:t xml:space="preserve">- Vôi hóa: </w:t>
      </w:r>
      <w:r w:rsidR="00D44A2E" w:rsidRPr="00D44A2E">
        <w:rPr>
          <w:rFonts w:ascii="TimesNewRomanPSMT" w:hAnsi="TimesNewRomanPSMT"/>
        </w:rPr>
        <w:t>đậm độ 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là những nốt có đậm độ cao,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1420F8">
        <w:rPr>
          <w:rFonts w:ascii="TimesNewRomanPSMT" w:hAnsi="TimesNewRomanPSMT"/>
        </w:rPr>
        <w:t>,</w:t>
      </w:r>
      <w:r w:rsidR="00313EAD">
        <w:rPr>
          <w:rFonts w:ascii="TimesNewRomanPSMT" w:hAnsi="TimesNewRomanPSMT"/>
        </w:rPr>
        <w:t>…</w:t>
      </w:r>
    </w:p>
    <w:p w14:paraId="1946EF66" w14:textId="3D764BD6" w:rsidR="00D72A18" w:rsidRDefault="00D72A18" w:rsidP="0097081D">
      <w:r>
        <w:t xml:space="preserve">Phân độ tổn thương </w:t>
      </w:r>
      <w:r w:rsidR="00AB1B6E">
        <w:t xml:space="preserve">trên X-quang </w:t>
      </w:r>
      <w:r>
        <w:t xml:space="preserve">theo </w:t>
      </w:r>
      <w:r w:rsidR="00BF42F7" w:rsidRPr="00BF42F7">
        <w:t>Hiệp hội Lồng ngực Hoa Kỳ</w:t>
      </w:r>
      <w:r>
        <w:t xml:space="preserve"> </w:t>
      </w:r>
      <w:r w:rsidR="00423E88">
        <w:t>được</w:t>
      </w:r>
      <w:r w:rsidR="00F85E18">
        <w:t xml:space="preserve"> công nhân bởi</w:t>
      </w:r>
      <w:r w:rsidR="008B6263">
        <w:t xml:space="preserve"> WHO</w:t>
      </w:r>
      <w:r w:rsidR="00423E88">
        <w:t xml:space="preserve"> và Hiệp hội chống </w:t>
      </w:r>
      <w:r w:rsidR="001C7041">
        <w:t>L</w:t>
      </w:r>
      <w:r w:rsidR="00423E88">
        <w:t xml:space="preserve">ao và </w:t>
      </w:r>
      <w:r w:rsidR="00773ABA">
        <w:t>bệnh phổi</w:t>
      </w:r>
      <w:r w:rsidR="00423E88">
        <w:t xml:space="preserve"> Quốc tế</w:t>
      </w:r>
      <w:r w:rsidR="003506E8">
        <w:t xml:space="preserve"> </w:t>
      </w:r>
      <w:r w:rsidR="00016863">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AE7B14">
        <w:t>[33]</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0D3AC964"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c, không vượt quá khối lượng một phổi hoặc đậm độ đồng nhất không vượt quá 1/3 khối lượng 1 phổi, tổng đường kính các hang &lt;4 cm.</w:t>
      </w:r>
    </w:p>
    <w:p w14:paraId="2A789CB8" w14:textId="3A7E5183" w:rsidR="00CA2CA9" w:rsidRDefault="00D3068E" w:rsidP="0097081D">
      <w:r>
        <w:t>-</w:t>
      </w:r>
      <w:r w:rsidR="00CA2CA9">
        <w:t xml:space="preserve"> Độ III: </w:t>
      </w:r>
      <w:r w:rsidR="00B24376">
        <w:t>t</w:t>
      </w:r>
      <w:r w:rsidR="00CA2CA9">
        <w:t>ổn thương rất quan trọng, rộng hơn độ II, tổng đường kính hang &gt;4 cm.</w:t>
      </w:r>
    </w:p>
    <w:p w14:paraId="06D05D64" w14:textId="77777777" w:rsidR="0059066E" w:rsidRDefault="00A91F55" w:rsidP="00D06EB1">
      <w:r>
        <w:t>C</w:t>
      </w:r>
      <w:r w:rsidR="00D53B60">
        <w:t xml:space="preserve">ó thể nhấn mạnh vào một vài yếu tố </w:t>
      </w:r>
      <w:r w:rsidR="003346E4">
        <w:t>X-</w:t>
      </w:r>
      <w:r w:rsidR="00D53B60">
        <w:t xml:space="preserve">quang cho phép hướng về chẩn đoán lao phổi là thường tổn thương ở 2 bên phổi, tổn thương ở đỉnh phổi, kết hợp di chứng màng phổi với tổn thương nhu mô </w:t>
      </w:r>
      <w:r w:rsidR="00F533E1">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AE7B14">
        <w:t>[33]</w:t>
      </w:r>
      <w:r w:rsidR="00F533E1">
        <w:fldChar w:fldCharType="end"/>
      </w:r>
      <w:r w:rsidR="008039E8">
        <w:t>.</w:t>
      </w:r>
    </w:p>
    <w:p w14:paraId="2778AE2E" w14:textId="0D82FFD6" w:rsidR="00370550" w:rsidRDefault="00C45657" w:rsidP="00D06EB1">
      <w:r>
        <w:t xml:space="preserve">Nghiên cứu của </w:t>
      </w:r>
      <w:r w:rsidR="00D06EB1">
        <w:t>Trần Văn Việt</w:t>
      </w:r>
      <w:r w:rsidR="008E6D95">
        <w:t xml:space="preserve"> (2017)</w:t>
      </w:r>
      <w:r w:rsidR="00D06EB1">
        <w:t xml:space="preserve">, </w:t>
      </w:r>
      <w:r w:rsidR="00501FD4">
        <w:t>X-</w:t>
      </w:r>
      <w:r w:rsidR="00D06EB1">
        <w:t xml:space="preserve">quang phổi trong chẩn đoán lao phổi có độ nhậy rất cao 100% nhưng độ đặc hiệu không cao 11,54% </w:t>
      </w:r>
      <w:r w:rsidR="008B067D">
        <w:fldChar w:fldCharType="begin">
          <w:fldData xml:space="preserve">PEVuZE5vdGU+PENpdGU+PEF1dGhvcj5WaeG7h3Q8L0F1dGhvcj48WWVhcj4yMDE3PC9ZZWFyPjxS
ZWNOdW0+Mzg8L1JlY051bT48RGlzcGxheVRleHQ+WzM1XTwvRGlzcGxheVRleHQ+PHJlY29yZD48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CF1D81">
        <w:instrText xml:space="preserve"> ADDIN EN.CITE </w:instrText>
      </w:r>
      <w:r w:rsidR="00CF1D81">
        <w:fldChar w:fldCharType="begin">
          <w:fldData xml:space="preserve">PEVuZE5vdGU+PENpdGU+PEF1dGhvcj5WaeG7h3Q8L0F1dGhvcj48WWVhcj4yMDE3PC9ZZWFyPjxS
ZWNOdW0+Mzg8L1JlY051bT48RGlzcGxheVRleHQ+WzM1XTwvRGlzcGxheVRleHQ+PHJlY29yZD48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CF1D81">
        <w:instrText xml:space="preserve"> ADDIN EN.CITE.DATA </w:instrText>
      </w:r>
      <w:r w:rsidR="00CF1D81">
        <w:fldChar w:fldCharType="end"/>
      </w:r>
      <w:r w:rsidR="008B067D">
        <w:fldChar w:fldCharType="separate"/>
      </w:r>
      <w:r w:rsidR="00CF1D81">
        <w:t>[35]</w:t>
      </w:r>
      <w:r w:rsidR="008B067D">
        <w:fldChar w:fldCharType="end"/>
      </w:r>
      <w:r w:rsidR="00D06EB1">
        <w:t>. Gamuchirai Tavaziva</w:t>
      </w:r>
      <w:r w:rsidR="0038724B">
        <w:t xml:space="preserve"> và cộng sự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[83,2-91,4%</w:t>
      </w:r>
      <w:r w:rsidR="00C61D97">
        <w:t>, 95% CI</w:t>
      </w:r>
      <w:r w:rsidR="00D06EB1">
        <w:t>] và 64,3% [62,1-66,4%</w:t>
      </w:r>
      <w:r w:rsidR="00B801B9">
        <w:t>, 95% CI</w:t>
      </w:r>
      <w:r w:rsidR="00D06EB1">
        <w:t>]</w:t>
      </w:r>
      <w:r w:rsidR="006543EC">
        <w:t>;</w:t>
      </w:r>
      <w:r w:rsidR="00D06EB1">
        <w:t xml:space="preserve"> </w:t>
      </w:r>
      <w:r w:rsidR="006543EC">
        <w:t>đ</w:t>
      </w:r>
      <w:r w:rsidR="00D06EB1">
        <w:t xml:space="preserve">ộ </w:t>
      </w:r>
      <w:r w:rsidR="00D06EB1">
        <w:lastRenderedPageBreak/>
        <w:t>nhạy tương tự ở các điểm 15</w:t>
      </w:r>
      <w:r w:rsidR="00EE13F8">
        <w:t xml:space="preserve"> là</w:t>
      </w:r>
      <w:r w:rsidR="00D06EB1">
        <w:t xml:space="preserve"> 88,1% [83,6-91,7%</w:t>
      </w:r>
      <w:r w:rsidR="007C41C3">
        <w:t>, 95% CI</w:t>
      </w:r>
      <w:r w:rsidR="00D06EB1">
        <w:t>] và 45</w:t>
      </w:r>
      <w:r w:rsidR="00947B88">
        <w:t xml:space="preserve"> là</w:t>
      </w:r>
      <w:r w:rsidR="00D06EB1">
        <w:t xml:space="preserve"> 86,6% [82,0 - 90,5%</w:t>
      </w:r>
      <w:r w:rsidR="00947B88">
        <w:t>, 95% CI</w:t>
      </w:r>
      <w:r w:rsidR="00D06EB1">
        <w:t>]; và độ đặc hiệu lần lượt là 57,9% [55,7-60,2%</w:t>
      </w:r>
      <w:r w:rsidR="00F66655">
        <w:t>, 95% CI</w:t>
      </w:r>
      <w:r w:rsidR="00D06EB1">
        <w:t>] và 69,9% [67,8-71,9%</w:t>
      </w:r>
      <w:r w:rsidR="00F66655">
        <w:t>, 95% CI</w:t>
      </w:r>
      <w:r w:rsidR="00D06EB1">
        <w:t xml:space="preserve">] </w:t>
      </w:r>
      <w:r w:rsidR="00962FB3">
        <w:fldChar w:fldCharType="begin">
          <w:fldData xml:space="preserve">PEVuZE5vdGU+PENpdGU+PEF1dGhvcj5UYXZheml2YTwvQXV0aG9yPjxZZWFyPjIwMjI8L1llYXI+
PFJlY051bT4zOTwvUmVjTnVtPjxEaXNwbGF5VGV4dD5bMzZdPC9EaXNwbGF5VGV4dD48cmVjb3Jk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CF1D81">
        <w:instrText xml:space="preserve"> ADDIN EN.CITE </w:instrText>
      </w:r>
      <w:r w:rsidR="00CF1D81">
        <w:fldChar w:fldCharType="begin">
          <w:fldData xml:space="preserve">PEVuZE5vdGU+PENpdGU+PEF1dGhvcj5UYXZheml2YTwvQXV0aG9yPjxZZWFyPjIwMjI8L1llYXI+
PFJlY051bT4zOTwvUmVjTnVtPjxEaXNwbGF5VGV4dD5bMzZdPC9EaXNwbGF5VGV4dD48cmVjb3Jk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CF1D81">
        <w:instrText xml:space="preserve"> ADDIN EN.CITE.DATA </w:instrText>
      </w:r>
      <w:r w:rsidR="00CF1D81">
        <w:fldChar w:fldCharType="end"/>
      </w:r>
      <w:r w:rsidR="00962FB3">
        <w:fldChar w:fldCharType="separate"/>
      </w:r>
      <w:r w:rsidR="00CF1D81">
        <w:t>[36]</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4B2CD1D6"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 </w:instrText>
      </w:r>
      <w:r w:rsidR="00CF1D81">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EN.CITE.DATA </w:instrText>
      </w:r>
      <w:r w:rsidR="00CF1D81">
        <w:rPr>
          <w:rFonts w:ascii="TimesNewRomanPSMT" w:hAnsi="TimesNewRomanPSMT"/>
        </w:rPr>
      </w:r>
      <w:r w:rsidR="00CF1D81">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CF1D81">
        <w:rPr>
          <w:rFonts w:ascii="TimesNewRomanPSMT" w:hAnsi="TimesNewRomanPSMT"/>
        </w:rPr>
        <w:t>[37]</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Anirudh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CF1D81">
        <w:rPr>
          <w:rFonts w:ascii="TimesNewRomanPSMT" w:hAnsi="TimesNewRomanPSMT"/>
        </w:rPr>
        <w:instrText xml:space="preserve"> ADDIN EN.CITE &lt;EndNote&gt;&lt;Cite&gt;&lt;Author&gt;Mukherjee&lt;/Author&gt;&lt;Year&gt;2019&lt;/Year&gt;&lt;RecNum&gt;78&lt;/RecNum&gt;&lt;DisplayText&gt;[38]&lt;/DisplayText&gt;&lt;record&gt;&lt;rec-number&gt;78&lt;/rec-number&gt;&lt;foreign-keys&gt;&lt;key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CF1D81">
        <w:rPr>
          <w:rFonts w:ascii="TimesNewRomanPSMT" w:hAnsi="TimesNewRomanPSMT"/>
        </w:rPr>
        <w:t>[38]</w:t>
      </w:r>
      <w:r w:rsidR="003F4C1F">
        <w:rPr>
          <w:rFonts w:ascii="TimesNewRomanPSMT" w:hAnsi="TimesNewRomanPSMT"/>
        </w:rPr>
        <w:fldChar w:fldCharType="end"/>
      </w:r>
      <w:r w:rsidR="006907CE">
        <w:rPr>
          <w:rFonts w:ascii="TimesNewRomanPSMT" w:hAnsi="TimesNewRomanPSMT"/>
        </w:rPr>
        <w:t>.</w:t>
      </w:r>
    </w:p>
    <w:p w14:paraId="1671D37D" w14:textId="7C225F34"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60520C">
        <w:rPr>
          <w:rFonts w:ascii="TimesNewRomanPSMT" w:hAnsi="TimesNewRomanPSMT"/>
        </w:rPr>
        <w:instrText xml:space="preserve"> ADDIN EN.CITE &lt;EndNote&gt;&lt;Cite&gt;&lt;Author&gt;S</w:instrText>
      </w:r>
      <w:r w:rsidR="0060520C">
        <w:rPr>
          <w:rFonts w:ascii="TimesNewRomanPSMT" w:hAnsi="TimesNewRomanPSMT" w:hint="eastAsia"/>
        </w:rPr>
        <w:instrText>á</w:instrText>
      </w:r>
      <w:r w:rsidR="0060520C">
        <w:rPr>
          <w:rFonts w:ascii="TimesNewRomanPSMT" w:hAnsi="TimesNewRomanPSMT"/>
        </w:rPr>
        <w:instrText>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60520C">
        <w:rPr>
          <w:rFonts w:ascii="TimesNewRomanPSMT" w:hAnsi="TimesNewRomanPSMT" w:hint="eastAsia"/>
        </w:rPr>
        <w:instrText>ă</w:instrText>
      </w:r>
      <w:r w:rsidR="0060520C">
        <w:rPr>
          <w:rFonts w:ascii="TimesNewRomanPSMT" w:hAnsi="TimesNewRomanPSMT"/>
        </w:rPr>
        <w:instrText>n S&lt;/style&gt;&lt;style face="normal" font="default" size="100%"&gt;</w:instrText>
      </w:r>
      <w:r w:rsidR="0060520C">
        <w:rPr>
          <w:rFonts w:ascii="TimesNewRomanPSMT" w:hAnsi="TimesNewRomanPSMT" w:hint="eastAsia"/>
        </w:rPr>
        <w:instrText>á</w:instrText>
      </w:r>
      <w:r w:rsidR="0060520C">
        <w:rPr>
          <w:rFonts w:ascii="TimesNewRomanPSMT" w:hAnsi="TimesNewRomanPSMT"/>
        </w:rPr>
        <w:instrText>ng&lt;/style&gt;&lt;/author&gt;&lt;author&gt;&lt;style face="normal" font="default" size="100%"&gt;L</w:instrText>
      </w:r>
      <w:r w:rsidR="0060520C">
        <w:rPr>
          <w:rFonts w:ascii="TimesNewRomanPSMT" w:hAnsi="TimesNewRomanPSMT" w:hint="eastAsia"/>
        </w:rPr>
        <w:instrText>ê</w:instrText>
      </w:r>
      <w:r w:rsidR="0060520C">
        <w:rPr>
          <w:rFonts w:ascii="TimesNewRomanPSMT" w:hAnsi="TimesNewRomanPSMT"/>
        </w:rPr>
        <w:instrText xml:space="preserve"> Ng&lt;/style&gt;&lt;style face="normal" font="default" charset="163" size="100%"&gt;ọc H&lt;/style&gt;&lt;style face="normal" font="default" charset="238" size="100%"&gt;</w:instrText>
      </w:r>
      <w:r w:rsidR="0060520C">
        <w:rPr>
          <w:rFonts w:ascii="TimesNewRomanPSMT" w:hAnsi="TimesNewRomanPSMT" w:hint="eastAsia"/>
        </w:rPr>
        <w:instrText>ư</w:instrText>
      </w:r>
      <w:r w:rsidR="0060520C">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60520C">
        <w:rPr>
          <w:rFonts w:ascii="TimesNewRomanPSMT" w:hAnsi="TimesNewRomanPSMT" w:hint="eastAsia"/>
        </w:rPr>
        <w:instrText>à</w:instrText>
      </w:r>
      <w:r w:rsidR="0060520C">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60520C">
        <w:rPr>
          <w:rFonts w:ascii="TimesNewRomanPSMT" w:hAnsi="TimesNewRomanPSMT"/>
        </w:rPr>
        <w:t>[12]</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 </w:instrText>
      </w:r>
      <w:r w:rsidR="00CF1D81">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EN.CITE.DATA </w:instrText>
      </w:r>
      <w:r w:rsidR="00CF1D81">
        <w:rPr>
          <w:rFonts w:ascii="TimesNewRomanPSMT" w:hAnsi="TimesNewRomanPSMT"/>
        </w:rPr>
      </w:r>
      <w:r w:rsidR="00CF1D81">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CF1D81">
        <w:rPr>
          <w:rFonts w:ascii="TimesNewRomanPSMT" w:hAnsi="TimesNewRomanPSMT"/>
        </w:rPr>
        <w:t>[37]</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5" w:name="_Toc126527716"/>
      <w:r>
        <w:t>1.</w:t>
      </w:r>
      <w:r w:rsidR="008C0E05">
        <w:t>2</w:t>
      </w:r>
      <w:r>
        <w:t>.</w:t>
      </w:r>
      <w:r w:rsidR="008C0E05">
        <w:t>4</w:t>
      </w:r>
      <w:r>
        <w:t xml:space="preserve">. </w:t>
      </w:r>
      <w:r w:rsidR="001B303A">
        <w:t>Chẩn đoán xác định</w:t>
      </w:r>
      <w:r w:rsidR="00083BE5">
        <w:t xml:space="preserve"> lao phổi</w:t>
      </w:r>
      <w:bookmarkEnd w:id="35"/>
    </w:p>
    <w:p w14:paraId="6325C48E" w14:textId="1F36591E" w:rsidR="003060E8" w:rsidRDefault="003060E8" w:rsidP="003060E8">
      <w:r>
        <w:t>Chẩn đoán xác định lao phổi khi có tổn thương trên X</w:t>
      </w:r>
      <w:r w:rsidR="00407D1A">
        <w:t>-</w:t>
      </w:r>
      <w:r>
        <w:t>quang phổi nghi lao và một trong 2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36" w:name="_Toc126527717"/>
      <w:r>
        <w:lastRenderedPageBreak/>
        <w:t>1.</w:t>
      </w:r>
      <w:r w:rsidR="008C0E05">
        <w:t>2</w:t>
      </w:r>
      <w:r>
        <w:t>.</w:t>
      </w:r>
      <w:r w:rsidR="008C0E05">
        <w:t>5</w:t>
      </w:r>
      <w:r>
        <w:t>. Phân loại chẩn đoán dựa theo xét nghiệm soi đờm trực tiếp tìm AFB</w:t>
      </w:r>
      <w:bookmarkEnd w:id="36"/>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713CDB47"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cần thoả mãn 1 trong 2 điều kiện sau:</w:t>
      </w:r>
    </w:p>
    <w:p w14:paraId="68148EA8" w14:textId="45D809F6"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 xml:space="preserve">gene </w:t>
      </w:r>
      <w:r>
        <w:t xml:space="preserve">Xpert MTB/RIF. </w:t>
      </w:r>
    </w:p>
    <w:p w14:paraId="26C28AD4" w14:textId="628786A5"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(1) lâm sàng, (2) bất thường nghi lao trên X-quang phổi và (3) thêm 1 trong 2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37" w:name="_Toc126527718"/>
      <w:r>
        <w:t>1.</w:t>
      </w:r>
      <w:r w:rsidR="008C0E05">
        <w:t>2</w:t>
      </w:r>
      <w:r>
        <w:t>.</w:t>
      </w:r>
      <w:r w:rsidR="008C0E05">
        <w:t>6</w:t>
      </w:r>
      <w:r>
        <w:t>. Lao phổi kháng thuốc</w:t>
      </w:r>
      <w:bookmarkEnd w:id="37"/>
    </w:p>
    <w:p w14:paraId="35F32E10" w14:textId="54C45ED5" w:rsidR="008B4C32" w:rsidRDefault="008B4C32" w:rsidP="006479D7">
      <w:pPr>
        <w:pStyle w:val="Heading4"/>
      </w:pPr>
      <w:bookmarkStart w:id="38" w:name="_Toc126527719"/>
      <w:r>
        <w:t>1.</w:t>
      </w:r>
      <w:r w:rsidR="008C0E05">
        <w:t>2</w:t>
      </w:r>
      <w:r>
        <w:t>.</w:t>
      </w:r>
      <w:r w:rsidR="008C0E05">
        <w:t>6</w:t>
      </w:r>
      <w:r>
        <w:t>.1. Định nghĩa lao</w:t>
      </w:r>
      <w:r w:rsidR="00741298">
        <w:t xml:space="preserve"> phổi</w:t>
      </w:r>
      <w:r>
        <w:t xml:space="preserve"> kháng thuốc</w:t>
      </w:r>
      <w:bookmarkEnd w:id="38"/>
    </w:p>
    <w:p w14:paraId="5C0BD4A6" w14:textId="6BADEAA6"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1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dW0+NDA8L1JlY051bT48RGlzcGxheVRleHQ+WzM5LCA0MF08L0Rpc3BsYXlUZXh0PjxyZWNvcmQ+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CF1D81">
        <w:instrText xml:space="preserve"> ADDIN EN.CITE </w:instrText>
      </w:r>
      <w:r w:rsidR="00CF1D81">
        <w:fldChar w:fldCharType="begin">
          <w:fldData xml:space="preserve">PEVuZE5vdGU+PENpdGU+PEF1dGhvcj5naWE8L0F1dGhvcj48WWVhcj4yMDA5PC9ZZWFyPjxSZWNO
dW0+NDA8L1JlY051bT48RGlzcGxheVRleHQ+WzM5LCA0MF08L0Rpc3BsYXlUZXh0PjxyZWNvcmQ+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CF1D81">
        <w:instrText xml:space="preserve"> ADDIN EN.CITE.DATA </w:instrText>
      </w:r>
      <w:r w:rsidR="00CF1D81">
        <w:fldChar w:fldCharType="end"/>
      </w:r>
      <w:r w:rsidR="005158C5">
        <w:fldChar w:fldCharType="separate"/>
      </w:r>
      <w:r w:rsidR="00CF1D81">
        <w:t>[39, 40]</w:t>
      </w:r>
      <w:r w:rsidR="005158C5">
        <w:fldChar w:fldCharType="end"/>
      </w:r>
      <w:r w:rsidR="007B5F33" w:rsidRPr="005D14CF">
        <w:t>.</w:t>
      </w:r>
    </w:p>
    <w:p w14:paraId="4CCA0BF1" w14:textId="3588C787" w:rsidR="00122A11" w:rsidRDefault="00F77CB9" w:rsidP="006479D7">
      <w:pPr>
        <w:pStyle w:val="Heading4"/>
      </w:pPr>
      <w:bookmarkStart w:id="39" w:name="_Toc126527720"/>
      <w:r>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39"/>
    </w:p>
    <w:p w14:paraId="63C8E97B" w14:textId="35FFB882"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ZWFyPjxSZWNOdW0+NDI8L1JlY051bT48RGlzcGxheVRleHQ+WzEsIDEyLCA0MV08L0Rpc3BsYXlU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CF1D81">
        <w:instrText xml:space="preserve"> ADDIN EN.CITE </w:instrText>
      </w:r>
      <w:r w:rsidR="00CF1D81">
        <w:fldChar w:fldCharType="begin">
          <w:fldData xml:space="preserve">PEVuZE5vdGU+PENpdGU+PEF1dGhvcj5Pcmdhbml6YXRpb248L0F1dGhvcj48WWVhcj4yMDExPC9Z
ZWFyPjxSZWNOdW0+NDI8L1JlY051bT48RGlzcGxheVRleHQ+WzEsIDEyLCA0MV08L0Rpc3BsYXlU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CF1D81">
        <w:instrText xml:space="preserve"> ADDIN EN.CITE.DATA </w:instrText>
      </w:r>
      <w:r w:rsidR="00CF1D81">
        <w:fldChar w:fldCharType="end"/>
      </w:r>
      <w:r w:rsidR="00D62517">
        <w:fldChar w:fldCharType="separate"/>
      </w:r>
      <w:r w:rsidR="00CF1D81">
        <w:t>[1, 12, 41]</w:t>
      </w:r>
      <w:r w:rsidR="00D62517">
        <w:fldChar w:fldCharType="end"/>
      </w:r>
      <w:r>
        <w:t>:</w:t>
      </w:r>
    </w:p>
    <w:p w14:paraId="2113FB46" w14:textId="35F2C91F" w:rsidR="009E7A22" w:rsidRDefault="009E7A22" w:rsidP="00572E37">
      <w:r>
        <w:lastRenderedPageBreak/>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3C85858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Kanamycin, Amikacin, chứ không đồng thời cả 2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75AE6E00" w:rsidR="00FE0344" w:rsidRPr="00A55585" w:rsidRDefault="00FE0344" w:rsidP="00A55585">
      <w:pPr>
        <w:pStyle w:val="Heading3"/>
      </w:pPr>
      <w:bookmarkStart w:id="40" w:name="_Toc126527721"/>
      <w:r w:rsidRPr="00A55585">
        <w:t>1.</w:t>
      </w:r>
      <w:r w:rsidR="008C0E05" w:rsidRPr="00A55585">
        <w:t>2</w:t>
      </w:r>
      <w:r w:rsidRPr="00A55585">
        <w:t>.</w:t>
      </w:r>
      <w:r w:rsidR="00F64D42" w:rsidRPr="00A55585">
        <w:t>7</w:t>
      </w:r>
      <w:r w:rsidRPr="00A55585">
        <w:t xml:space="preserve">. Các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0"/>
    </w:p>
    <w:p w14:paraId="364FFAF3" w14:textId="4768F69A" w:rsidR="00E33518" w:rsidRDefault="00CF275C" w:rsidP="00E33518">
      <w:r>
        <w:t xml:space="preserve">Theo Nguyễn Văn Sáng, có một số yếu tố thuận lợi dễ gây bệnh lao phổi </w:t>
      </w:r>
      <w:r w:rsidR="00F11D11">
        <w:t xml:space="preserve">như </w:t>
      </w:r>
      <w:r w:rsidR="00E50A55">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652D6C">
        <w:t>[12]</w:t>
      </w:r>
      <w:r w:rsidR="00E50A55">
        <w:fldChar w:fldCharType="end"/>
      </w:r>
      <w:r>
        <w:t>:</w:t>
      </w:r>
    </w:p>
    <w:p w14:paraId="0C8618F2" w14:textId="78FA5306" w:rsidR="009A6798" w:rsidRDefault="006D622B" w:rsidP="00E33518">
      <w:r>
        <w:t xml:space="preserve">- </w:t>
      </w:r>
      <w:r w:rsidR="00255F11">
        <w:t>Ngu</w:t>
      </w:r>
      <w:r>
        <w:t>ời tiếp xúc gần với nguồn lây, nhất là trong thời gian dài và trực tiếp.</w:t>
      </w:r>
    </w:p>
    <w:p w14:paraId="71897AFB" w14:textId="15B71F52" w:rsidR="0029777A" w:rsidRDefault="0029777A" w:rsidP="00E33518">
      <w:r>
        <w:lastRenderedPageBreak/>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3D73549" w:rsidR="00A0439D" w:rsidRDefault="002542DA" w:rsidP="006D622B">
      <w:r>
        <w:t>- Một số công trình nghiên cứu đề cập vai trò của hệ HLA, Haptoglobulin,… trong cảm thụ với bệnh lao liên quan tới gen.</w:t>
      </w:r>
    </w:p>
    <w:p w14:paraId="1B7E05E1" w14:textId="39077F51" w:rsidR="001B303A" w:rsidRDefault="001B303A" w:rsidP="00C23165">
      <w:pPr>
        <w:pStyle w:val="Heading2"/>
      </w:pPr>
      <w:bookmarkStart w:id="41" w:name="_Toc126527722"/>
      <w:bookmarkStart w:id="42" w:name="_Toc133590773"/>
      <w:r>
        <w:t>1.</w:t>
      </w:r>
      <w:r w:rsidR="00A742A2">
        <w:t>3</w:t>
      </w:r>
      <w:r>
        <w:t xml:space="preserve">. Dinh dưỡng </w:t>
      </w:r>
      <w:r w:rsidR="007B115B">
        <w:t>bệnh nhân</w:t>
      </w:r>
      <w:r>
        <w:t xml:space="preserve"> lao phổi</w:t>
      </w:r>
      <w:bookmarkEnd w:id="41"/>
      <w:bookmarkEnd w:id="42"/>
    </w:p>
    <w:p w14:paraId="4CB451CB" w14:textId="7A771A03" w:rsidR="001B303A" w:rsidRDefault="001B303A" w:rsidP="00C23165">
      <w:pPr>
        <w:pStyle w:val="Heading3"/>
      </w:pPr>
      <w:bookmarkStart w:id="43" w:name="_Toc126527723"/>
      <w:r>
        <w:t>1.</w:t>
      </w:r>
      <w:r w:rsidR="00A742A2">
        <w:t>3</w:t>
      </w:r>
      <w:r>
        <w:t>.1. Khái niệm</w:t>
      </w:r>
      <w:r w:rsidR="008136D9">
        <w:t xml:space="preserve"> cơ bản về dinh dưỡng</w:t>
      </w:r>
      <w:bookmarkEnd w:id="43"/>
    </w:p>
    <w:p w14:paraId="3CB2B668" w14:textId="08C1F925"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ặc dù những người bị suy dinh dưỡng có thể bị thiếu hoặc thừa dinh dưỡng, nhưng</w:t>
      </w:r>
      <w:r w:rsidR="006327ED">
        <w:t xml:space="preserve"> </w:t>
      </w:r>
      <w:r w:rsidRPr="004F4FC9">
        <w:t>suy dinh dưỡng thường đồng nghĩa với</w:t>
      </w:r>
      <w:r w:rsidR="006327ED">
        <w:t xml:space="preserve"> sự thiếu hụt dinh dưỡng</w:t>
      </w:r>
      <w:r w:rsidR="00A10809">
        <w:t xml:space="preserve"> </w:t>
      </w:r>
      <w:r w:rsidR="00471273">
        <w:fldChar w:fldCharType="begin"/>
      </w:r>
      <w:r w:rsidR="00CF1D81">
        <w:instrText xml:space="preserve"> ADDIN EN.CITE &lt;EndNote&gt;&lt;Cite&gt;&lt;Author&gt;Elia&lt;/Author&gt;&lt;Year&gt;2017&lt;/Year&gt;&lt;RecNum&gt;43&lt;/RecNum&gt;&lt;DisplayText&gt;[42]&lt;/DisplayText&gt;&lt;record&gt;&lt;rec-number&gt;43&lt;/rec-number&gt;&lt;foreign-keys&gt;&lt;key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CF1D81">
        <w:t>[42]</w:t>
      </w:r>
      <w:r w:rsidR="00471273">
        <w:fldChar w:fldCharType="end"/>
      </w:r>
      <w:r w:rsidRPr="004F4FC9">
        <w:t>.</w:t>
      </w:r>
    </w:p>
    <w:p w14:paraId="2F0C8F92" w14:textId="4E63C34C"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44" w:name="_Toc126527724"/>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4"/>
    </w:p>
    <w:p w14:paraId="1F70B7C7" w14:textId="0205DB98"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269E8F3E"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 </w:instrText>
      </w:r>
      <w:r w:rsidR="00652D6C">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EN.CITE.DATA </w:instrText>
      </w:r>
      <w:r w:rsidR="00652D6C">
        <w:fldChar w:fldCharType="end"/>
      </w:r>
      <w:r w:rsidR="00A461F3">
        <w:fldChar w:fldCharType="separate"/>
      </w:r>
      <w:r w:rsidR="00652D6C">
        <w:t>[5, 7]</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w:t>
      </w:r>
      <w:r w:rsidR="008B4629" w:rsidRPr="008B4629">
        <w:lastRenderedPageBreak/>
        <w:t xml:space="preserve">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 </w:instrText>
      </w:r>
      <w:r w:rsidR="00652D6C">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EN.CITE.DATA </w:instrText>
      </w:r>
      <w:r w:rsidR="00652D6C">
        <w:fldChar w:fldCharType="end"/>
      </w:r>
      <w:r w:rsidR="00A461F3">
        <w:fldChar w:fldCharType="separate"/>
      </w:r>
      <w:r w:rsidR="00652D6C">
        <w:t>[5, 6]</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11C7C2E1" w:rsidR="00BE2C13" w:rsidRDefault="0059583B" w:rsidP="00BE2C13">
      <w:r>
        <w:t xml:space="preserve">Khi </w:t>
      </w:r>
      <w:r w:rsidR="008C5E9E">
        <w:t>đã bị suy dinh dưỡng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suy dinh dưỡng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4115E41E" w:rsidR="001B303A" w:rsidRDefault="001B303A" w:rsidP="00C23165">
      <w:pPr>
        <w:pStyle w:val="Heading2"/>
      </w:pPr>
      <w:bookmarkStart w:id="45" w:name="_Toc126527725"/>
      <w:bookmarkStart w:id="46" w:name="_Toc133590774"/>
      <w:r>
        <w:t>1.</w:t>
      </w:r>
      <w:r w:rsidR="005B5CB5">
        <w:t>4</w:t>
      </w:r>
      <w:r>
        <w:t xml:space="preserve">. </w:t>
      </w:r>
      <w:r w:rsidR="009E67D7">
        <w:t>P</w:t>
      </w:r>
      <w:r>
        <w:t>hương pháp đánh giá tình trạng dinh dưỡng của bệnh nhâ</w:t>
      </w:r>
      <w:r w:rsidR="00F655A3">
        <w:t>n</w:t>
      </w:r>
      <w:bookmarkEnd w:id="45"/>
      <w:bookmarkEnd w:id="46"/>
    </w:p>
    <w:p w14:paraId="463882B0" w14:textId="47AA73F9" w:rsidR="001B303A" w:rsidRDefault="00F95C56" w:rsidP="00D74ECF">
      <w:pPr>
        <w:pStyle w:val="Heading3"/>
      </w:pPr>
      <w:bookmarkStart w:id="47" w:name="_Toc126527726"/>
      <w:r>
        <w:t>1.</w:t>
      </w:r>
      <w:r w:rsidR="005B5CB5">
        <w:t>4</w:t>
      </w:r>
      <w:r>
        <w:t xml:space="preserve">.1. </w:t>
      </w:r>
      <w:r w:rsidR="001B303A">
        <w:t>Chỉ số khối cơ thể</w:t>
      </w:r>
      <w:bookmarkEnd w:id="47"/>
    </w:p>
    <w:p w14:paraId="072196F1" w14:textId="2002C0EA" w:rsidR="001B303A" w:rsidRDefault="00A61CED" w:rsidP="00A04469">
      <w:r w:rsidRPr="00A61CED">
        <w:t xml:space="preserve">Chỉ số khối cơ thể (BMI) là phương pháp sử dụng chiều cao và cân nặng của một người trưởng thành </w:t>
      </w:r>
      <w:r w:rsidR="00487D47">
        <w:t>đánh giá tình trạng dinh dưỡng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CF1D81">
        <w:instrText xml:space="preserve"> ADDIN EN.CITE &lt;EndNote&gt;&lt;Cite&gt;&lt;Author&gt;Zierle-Ghosh&lt;/Author&gt;&lt;Year&gt;2022&lt;/Year&gt;&lt;RecNum&gt;53&lt;/RecNum&gt;&lt;DisplayText&gt;[43]&lt;/DisplayText&gt;&lt;record&gt;&lt;rec-number&gt;53&lt;/rec-number&gt;&lt;foreign-keys&gt;&lt;key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CF1D81">
        <w:t>[43]</w:t>
      </w:r>
      <w:r w:rsidR="00A04469">
        <w:fldChar w:fldCharType="end"/>
      </w:r>
      <w:r w:rsidR="00A04469">
        <w:t>.</w:t>
      </w:r>
    </w:p>
    <w:p w14:paraId="4FC9AD4B" w14:textId="49512F90"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w:r w:rsidR="00EC5362">
        <w:t xml:space="preserve">BMI = </w:t>
      </w:r>
      <m:oMath>
        <m:f>
          <m:fPr>
            <m:ctrlPr>
              <w:rPr>
                <w:rFonts w:ascii="Cambria Math" w:hAnsi="Cambria Math"/>
                <w:sz w:val="36"/>
                <w:szCs w:val="36"/>
              </w:rPr>
            </m:ctrlPr>
          </m:fPr>
          <m:num>
            <m:r>
              <w:rPr>
                <w:rFonts w:ascii="Cambria Math" w:hAnsi="Cambria Math"/>
                <w:sz w:val="36"/>
                <w:szCs w:val="36"/>
              </w:rPr>
              <m:t>Cân nặng (kg)</m:t>
            </m:r>
          </m:num>
          <m:den>
            <m:sSup>
              <m:sSupPr>
                <m:ctrlPr>
                  <w:rPr>
                    <w:rFonts w:ascii="Cambria Math" w:hAnsi="Cambria Math"/>
                    <w:sz w:val="36"/>
                    <w:szCs w:val="36"/>
                  </w:rPr>
                </m:ctrlPr>
              </m:sSupPr>
              <m:e>
                <m:r>
                  <w:rPr>
                    <w:rFonts w:ascii="Cambria Math" w:hAnsi="Cambria Math"/>
                    <w:sz w:val="36"/>
                    <w:szCs w:val="36"/>
                  </w:rPr>
                  <m:t>Chiều cao</m:t>
                </m:r>
              </m:e>
              <m:sup>
                <m:r>
                  <m:rPr>
                    <m:sty m:val="p"/>
                  </m:rPr>
                  <w:rPr>
                    <w:rFonts w:ascii="Cambria Math" w:hAnsi="Cambria Math"/>
                    <w:sz w:val="36"/>
                    <w:szCs w:val="36"/>
                  </w:rPr>
                  <m:t>2</m:t>
                </m:r>
              </m:sup>
            </m:sSup>
            <m:r>
              <w:rPr>
                <w:rFonts w:ascii="Cambria Math" w:hAnsi="Cambria Math"/>
                <w:sz w:val="36"/>
                <w:szCs w:val="36"/>
              </w:rPr>
              <m:t>(m)</m:t>
            </m:r>
          </m:den>
        </m:f>
      </m:oMath>
    </w:p>
    <w:p w14:paraId="20C76113" w14:textId="3DDD9895" w:rsidR="008E0E68" w:rsidRDefault="00FF43E3" w:rsidP="00C23165">
      <w:r>
        <w:t>Đánh giá TTDD của người trưởng thành dựa vào</w:t>
      </w:r>
      <w:r w:rsidR="007C67D0">
        <w:t xml:space="preserve"> phân loại BMI</w:t>
      </w:r>
      <w:r w:rsidR="00101EE2">
        <w:t xml:space="preserve"> </w:t>
      </w:r>
      <w:r>
        <w:t>của</w:t>
      </w:r>
      <w:r w:rsidR="00101EE2">
        <w:t xml:space="preserve"> WHO</w:t>
      </w:r>
      <w:r>
        <w:t xml:space="preserve"> </w:t>
      </w:r>
      <w:r w:rsidR="007B0FED">
        <w:fldChar w:fldCharType="begin"/>
      </w:r>
      <w:r w:rsidR="00CF1D81">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CF1D81">
        <w:t>[44]</w:t>
      </w:r>
      <w:r w:rsidR="007B0FED">
        <w:fldChar w:fldCharType="end"/>
      </w:r>
      <w:r w:rsidR="00A974D1">
        <w:t>:</w:t>
      </w:r>
    </w:p>
    <w:p w14:paraId="1B0AB69C" w14:textId="71ED3C8F" w:rsidR="009829E7" w:rsidRDefault="009A69EB" w:rsidP="009829E7">
      <w:bookmarkStart w:id="48" w:name="_Toc126527727"/>
      <w:r>
        <w:t>-</w:t>
      </w:r>
      <w:r w:rsidR="009829E7">
        <w:t xml:space="preserve"> SDD độ III: BMI &lt;16</w:t>
      </w:r>
    </w:p>
    <w:p w14:paraId="050C3406" w14:textId="1EA01D94" w:rsidR="009829E7" w:rsidRDefault="009A69EB" w:rsidP="009829E7">
      <w:r>
        <w:t>-</w:t>
      </w:r>
      <w:r w:rsidR="009829E7">
        <w:t xml:space="preserve"> SDD độ II: BMI 16 – 16.99</w:t>
      </w:r>
    </w:p>
    <w:p w14:paraId="40348A3E" w14:textId="07AF450E" w:rsidR="009829E7" w:rsidRDefault="009A69EB" w:rsidP="009829E7">
      <w:r>
        <w:lastRenderedPageBreak/>
        <w:t>-</w:t>
      </w:r>
      <w:r w:rsidR="009829E7">
        <w:t xml:space="preserve"> SDD độ I: BMI 17 – 18,49</w:t>
      </w:r>
    </w:p>
    <w:p w14:paraId="3AA851FA" w14:textId="098703F0" w:rsidR="009829E7" w:rsidRDefault="009A69EB" w:rsidP="009829E7">
      <w:r>
        <w:t>-</w:t>
      </w:r>
      <w:r w:rsidR="009829E7">
        <w:t xml:space="preserve"> Bình thường: BMI 18,5 – 24.99</w:t>
      </w:r>
    </w:p>
    <w:p w14:paraId="665DBB69" w14:textId="453A8AD7" w:rsidR="009829E7" w:rsidRPr="00FE3A7D" w:rsidRDefault="009A69EB" w:rsidP="009829E7">
      <w:r>
        <w:t>-</w:t>
      </w:r>
      <w:r w:rsidR="009829E7">
        <w:t xml:space="preserve"> Thừa cân – Béo phì: BMI ≥25</w:t>
      </w:r>
    </w:p>
    <w:p w14:paraId="6C09ABD0" w14:textId="10C249CB" w:rsidR="005164E0" w:rsidRPr="00B2198E" w:rsidRDefault="00214456" w:rsidP="00D74ECF">
      <w:pPr>
        <w:pStyle w:val="Heading3"/>
      </w:pPr>
      <w:r>
        <w:t>1.</w:t>
      </w:r>
      <w:r w:rsidR="005B5CB5">
        <w:t>4</w:t>
      </w:r>
      <w:r>
        <w:t xml:space="preserve">.2. </w:t>
      </w:r>
      <w:r w:rsidR="005164E0">
        <w:t xml:space="preserve">Phương pháp </w:t>
      </w:r>
      <w:bookmarkEnd w:id="48"/>
      <w:r w:rsidR="002C7C9D">
        <w:t>đánh giá dinh dưỡng chủ quan SGA</w:t>
      </w:r>
    </w:p>
    <w:p w14:paraId="2EF638EE" w14:textId="7316EFBB" w:rsidR="003D688C" w:rsidRDefault="005D7A82" w:rsidP="008209D7">
      <w:r>
        <w:t>P</w:t>
      </w:r>
      <w:r w:rsidR="00213B74" w:rsidRPr="00213B74">
        <w:t xml:space="preserve">hương pháp đánh giá dinh dưỡng chủ quan </w:t>
      </w:r>
      <w:r w:rsidR="00213B74">
        <w:t>SGA (</w:t>
      </w:r>
      <w:r w:rsidR="00213B74" w:rsidRPr="00213B74">
        <w:t>Subjective Global Assessment of nutritional status</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CF1D81">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CF1D81">
        <w:t>[45]</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2B531336" w:rsidR="0098040F" w:rsidRDefault="0098040F" w:rsidP="0098040F">
      <w:r>
        <w:t xml:space="preserve">- Cân nặng: </w:t>
      </w:r>
      <w:r w:rsidR="0067494C">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(5%–10% trọng lượng cơ thể thông thường) và sụt cân trầm trọng (&gt;10% trọng lượng cơ thể bình thường). Khoảng thời gian đánh giá giảm cân là trong 6 tháng qua.</w:t>
      </w:r>
    </w:p>
    <w:p w14:paraId="0D0F9EA5" w14:textId="2CBDC809" w:rsidR="00B13F41" w:rsidRDefault="00B13F41" w:rsidP="004B4AC5">
      <w:r>
        <w:t xml:space="preserve">- </w:t>
      </w:r>
      <w:r w:rsidR="00561998">
        <w:t xml:space="preserve">Triệu chứng: </w:t>
      </w:r>
      <w:r w:rsidR="0067494C">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triệu chứng này </w:t>
      </w:r>
      <w:r w:rsidR="00E709DD">
        <w:t xml:space="preserve">cũng </w:t>
      </w:r>
      <w:r w:rsidR="00561998">
        <w:t xml:space="preserve">rất quan trọng. Nếu các triệu chứng tiêu hóa bình thường </w:t>
      </w:r>
      <w:r w:rsidR="00561998">
        <w:lastRenderedPageBreak/>
        <w:t>trong 2 tuần trước khi đánh giá, có khả năng tình trạng dinh dưỡng đã ổn định</w:t>
      </w:r>
      <w:r w:rsidR="004B4AC5">
        <w:t xml:space="preserve"> hoặc </w:t>
      </w:r>
      <w:r w:rsidR="00561998">
        <w:t>được cải thiện.</w:t>
      </w:r>
    </w:p>
    <w:p w14:paraId="00AA2252" w14:textId="3E8EE28A" w:rsidR="00E446A3" w:rsidRDefault="00E446A3" w:rsidP="00E446A3">
      <w:r>
        <w:t xml:space="preserve">- </w:t>
      </w:r>
      <w:r w:rsidR="004D4172">
        <w:t>Chức năng</w:t>
      </w:r>
      <w:r>
        <w:t xml:space="preserve"> </w:t>
      </w:r>
      <w:r w:rsidR="00734434">
        <w:t>v</w:t>
      </w:r>
      <w:r>
        <w:t>ận động:</w:t>
      </w:r>
      <w:r w:rsidR="008146C8">
        <w:t xml:space="preserve"> bệnh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2FF3D3B8" w:rsidR="0067494C" w:rsidRDefault="0067494C" w:rsidP="0067494C">
      <w:r>
        <w:t>- Nhu cầu trao đổi chất: các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77777777" w:rsidR="00BE1232" w:rsidRDefault="0057045E" w:rsidP="0057045E">
      <w:r>
        <w:t xml:space="preserve">- </w:t>
      </w:r>
      <w:r w:rsidR="003063D9">
        <w:t>Thăm khám</w:t>
      </w:r>
      <w:r>
        <w:t xml:space="preserve"> lâm sàng: </w:t>
      </w:r>
      <w:r w:rsidR="005879FD">
        <w:t>lượng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khu vực xung quanh vai, bao gồm cơ delta, bắp tay, cơ tam đầu, cơ ngực, cơ trên vai và cơ dưới vai. Không giống như mất khối lượng mỡ, teo cơ xảy ra do các nguyên nhân khác ngoài suy dinh dưỡng</w:t>
      </w:r>
      <w:r w:rsidR="003A4103">
        <w:t xml:space="preserve"> </w:t>
      </w:r>
      <w:r w:rsidR="00640AE6">
        <w:t>như</w:t>
      </w:r>
      <w:r>
        <w:t xml:space="preserve"> lão hóa, suy mòn và liên quan đến việc không </w:t>
      </w:r>
      <w:r w:rsidR="004F55F8">
        <w:t>vận động</w:t>
      </w:r>
      <w:r>
        <w:t>.</w:t>
      </w:r>
    </w:p>
    <w:p w14:paraId="1166EE37" w14:textId="473F0581" w:rsidR="00E32F43" w:rsidRDefault="004C7996" w:rsidP="00402859">
      <w:r w:rsidRPr="004C7996">
        <w:lastRenderedPageBreak/>
        <w:t xml:space="preserve">SGA phân loại </w:t>
      </w:r>
      <w:r>
        <w:t>thành 3 nhóm</w:t>
      </w:r>
      <w:r w:rsidRPr="004C7996">
        <w:t xml:space="preserve"> </w:t>
      </w:r>
      <w:r w:rsidR="00533FFC">
        <w:t>không suy dinh dưỡng</w:t>
      </w:r>
      <w:r w:rsidRPr="004C7996">
        <w:t xml:space="preserve"> (SGA A), </w:t>
      </w:r>
      <w:r>
        <w:t>SDD</w:t>
      </w:r>
      <w:r w:rsidRPr="004C7996">
        <w:t xml:space="preserve"> nhẹ/trung bình (SGA B) hoặc </w:t>
      </w:r>
      <w:r>
        <w:t>SDD</w:t>
      </w:r>
      <w:r w:rsidRPr="004C7996">
        <w:t xml:space="preserve"> </w:t>
      </w:r>
      <w:r w:rsidR="00842932">
        <w:t>nặng</w:t>
      </w:r>
      <w:r w:rsidRPr="004C7996">
        <w:t xml:space="preserve"> (SGA C)</w:t>
      </w:r>
      <w:r w:rsidR="00E32F43">
        <w:t xml:space="preserve"> </w:t>
      </w:r>
      <w:r w:rsidR="00D44E7D">
        <w:fldChar w:fldCharType="begin"/>
      </w:r>
      <w:r w:rsidR="00CF1D81">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CF1D81">
        <w:t>[45]</w:t>
      </w:r>
      <w:r w:rsidR="00D44E7D">
        <w:fldChar w:fldCharType="end"/>
      </w:r>
      <w:r w:rsidR="00E32F43">
        <w:t>:</w:t>
      </w:r>
    </w:p>
    <w:p w14:paraId="4B39D58A" w14:textId="78BD5B49" w:rsidR="00402859" w:rsidRDefault="00773844" w:rsidP="00935674">
      <w:r>
        <w:t xml:space="preserve">- </w:t>
      </w:r>
      <w:r w:rsidR="00D44E7D">
        <w:t xml:space="preserve">SGA </w:t>
      </w:r>
      <w:r w:rsidR="00402859">
        <w:t>A</w:t>
      </w:r>
      <w:r w:rsidR="00524BD2">
        <w:t>:</w:t>
      </w:r>
      <w:r w:rsidR="00402859">
        <w:t xml:space="preserve"> Giảm lượng thức ăn</w:t>
      </w:r>
      <w:r w:rsidR="00726817">
        <w:t>/L</w:t>
      </w:r>
      <w:r w:rsidR="00AF5278">
        <w:t>ượng</w:t>
      </w:r>
      <w:r w:rsidR="00402859">
        <w:t xml:space="preserve"> dinh dưỡng </w:t>
      </w:r>
      <w:r w:rsidR="00377C56">
        <w:t>đưa vào</w:t>
      </w:r>
      <w:r w:rsidR="00402859">
        <w:t xml:space="preserve"> tốt; &lt;5% giảm cân; không có/các triệu chứng </w:t>
      </w:r>
      <w:r w:rsidR="00FF5CBD">
        <w:t>không</w:t>
      </w:r>
      <w:r w:rsidR="00402859">
        <w:t xml:space="preserve"> ảnh hưởng đến lượng thức ăn</w:t>
      </w:r>
      <w:r w:rsidR="009529C5">
        <w:t xml:space="preserve"> đưa vào</w:t>
      </w:r>
      <w:r w:rsidR="00402859">
        <w:t xml:space="preserve">; không có </w:t>
      </w:r>
      <w:r w:rsidR="00C22EDF">
        <w:t xml:space="preserve">hạn chế </w:t>
      </w:r>
      <w:r w:rsidR="00303630">
        <w:t xml:space="preserve">chức năng </w:t>
      </w:r>
      <w:r w:rsidR="00C22EDF">
        <w:t>vận động</w:t>
      </w:r>
      <w:r w:rsidR="00402859">
        <w:t xml:space="preserve">; không bị thiếu hụt khối lượng mỡ hoặc cơ </w:t>
      </w:r>
      <w:r w:rsidR="00FA18DC">
        <w:t>HOẶC</w:t>
      </w:r>
      <w:r w:rsidR="0025195C">
        <w:t xml:space="preserve"> </w:t>
      </w:r>
      <w:r w:rsidR="00E73F27">
        <w:t>đáp ứng</w:t>
      </w:r>
      <w:r w:rsidR="00402859">
        <w:t xml:space="preserve"> một số tiêu chí </w:t>
      </w:r>
      <w:r w:rsidR="00911F42">
        <w:t>của</w:t>
      </w:r>
      <w:r w:rsidR="00402859">
        <w:t xml:space="preserve"> SGA B hoặc C nhưng gần đây đã ăn uống đầy đủ; tăng cân; cải thiện đáng kể các triệu chứng cho phép ăn uống đầy đủ; cải thiện đáng kể </w:t>
      </w:r>
      <w:r w:rsidR="00F86F73">
        <w:t xml:space="preserve">chức năng </w:t>
      </w:r>
      <w:r w:rsidR="00BA3DAB">
        <w:t>vận động</w:t>
      </w:r>
      <w:r w:rsidR="00402859">
        <w:t xml:space="preserve">; và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7E700CB6" w:rsidR="00402859" w:rsidRDefault="00773844" w:rsidP="00497E51">
      <w:r>
        <w:t xml:space="preserve">- SGB </w:t>
      </w:r>
      <w:r w:rsidR="00402859">
        <w:t>B</w:t>
      </w:r>
      <w:r w:rsidR="00524BD2">
        <w:t>:</w:t>
      </w:r>
      <w:r w:rsidR="00402859">
        <w:t xml:space="preserve"> S</w:t>
      </w:r>
      <w:r w:rsidR="00524BD2">
        <w:t>DD</w:t>
      </w:r>
      <w:r w:rsidR="00402859">
        <w:t xml:space="preserve"> nhẹ/trung bình giảm </w:t>
      </w:r>
      <w:r w:rsidR="003B1E8F">
        <w:t>lượng thức ăn</w:t>
      </w:r>
      <w:r w:rsidR="00726817">
        <w:t>/L</w:t>
      </w:r>
      <w:r w:rsidR="003B1E8F">
        <w:t>ượng dinh dưỡng đưa vào</w:t>
      </w:r>
      <w:r w:rsidR="00402859">
        <w:t xml:space="preserve">; </w:t>
      </w:r>
      <w:r w:rsidR="003B1E8F">
        <w:t>g</w:t>
      </w:r>
      <w:r w:rsidR="00402859">
        <w:t>iảm 5% - 10%</w:t>
      </w:r>
      <w:r w:rsidR="003B1E8F">
        <w:t xml:space="preserve"> cân nặng</w:t>
      </w:r>
      <w:r w:rsidR="00402859">
        <w:t xml:space="preserve">; một số triệu chứng </w:t>
      </w:r>
      <w:r w:rsidR="00137693">
        <w:t>ảnh hưởng đến lượng thức ăn đưa vào</w:t>
      </w:r>
      <w:r w:rsidR="00402859">
        <w:t xml:space="preserve">; </w:t>
      </w:r>
      <w:r w:rsidR="00303630">
        <w:t>hạn chế chức năng</w:t>
      </w:r>
      <w:r w:rsidR="00402859">
        <w:t xml:space="preserve"> vừa phải hoặc suy </w:t>
      </w:r>
      <w:r w:rsidR="00BC176F">
        <w:t>giảm</w:t>
      </w:r>
      <w:r w:rsidR="00402859">
        <w:t xml:space="preserve"> gần đây; giảm nhẹ/trung bình lượng mỡ và/hoặc khối lượng cơ </w:t>
      </w:r>
      <w:r w:rsidR="00E73F27">
        <w:t xml:space="preserve">HOẶC </w:t>
      </w:r>
      <w:r w:rsidR="00402859">
        <w:t>đáp ứng một số tiêu chí c</w:t>
      </w:r>
      <w:r w:rsidR="007B21E5">
        <w:t>ủa</w:t>
      </w:r>
      <w:r w:rsidR="00402859">
        <w:t xml:space="preserve"> SGA C nhưng cải thiện (nhưng không đầy đủ) lượng ăn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719EBD36" w:rsidR="002C7C9D" w:rsidRDefault="007866AD" w:rsidP="00402859">
      <w:r>
        <w:t xml:space="preserve">- SGA </w:t>
      </w:r>
      <w:r w:rsidR="00402859">
        <w:t>C</w:t>
      </w:r>
      <w:r w:rsidR="0091531F">
        <w:t>:</w:t>
      </w:r>
      <w:r w:rsidR="00402859">
        <w:t xml:space="preserve"> </w:t>
      </w:r>
      <w:r w:rsidR="0091531F">
        <w:t xml:space="preserve">SDD </w:t>
      </w:r>
      <w:r w:rsidR="00402859">
        <w:t xml:space="preserve">nặng thiếu hụt </w:t>
      </w:r>
      <w:r w:rsidR="00CD6F7F">
        <w:t>lượng thức ăn</w:t>
      </w:r>
      <w:r w:rsidR="00726817">
        <w:t>/L</w:t>
      </w:r>
      <w:r w:rsidR="00CD6F7F">
        <w:t xml:space="preserve">ượng dinh dưỡng đưa vào </w:t>
      </w:r>
      <w:r w:rsidR="00402859">
        <w:t xml:space="preserve">nghiêm trọng; </w:t>
      </w:r>
      <w:r w:rsidR="00391EBC">
        <w:t xml:space="preserve">đang giảm </w:t>
      </w:r>
      <w:r w:rsidR="00402859">
        <w:t>&gt;10% cân</w:t>
      </w:r>
      <w:r w:rsidR="00391EBC">
        <w:t xml:space="preserve"> nặng</w:t>
      </w:r>
      <w:r w:rsidR="00402859">
        <w:t>; các triệu chứng ảnh hưởng</w:t>
      </w:r>
      <w:r w:rsidR="00F53731">
        <w:t xml:space="preserve"> đáng kể</w:t>
      </w:r>
      <w:r w:rsidR="00402859">
        <w:t xml:space="preserve"> đến </w:t>
      </w:r>
      <w:r w:rsidR="003E7293">
        <w:t>lượng thức ăn</w:t>
      </w:r>
      <w:r w:rsidR="00726817">
        <w:t>/L</w:t>
      </w:r>
      <w:r w:rsidR="003E7293">
        <w:t>ượng dinh dưỡng đưa vào</w:t>
      </w:r>
      <w:r w:rsidR="00402859">
        <w:t>; suy giảm chức năng</w:t>
      </w:r>
      <w:r w:rsidR="00EF6327">
        <w:t xml:space="preserve"> vận động</w:t>
      </w:r>
      <w:r w:rsidR="00402859">
        <w:t xml:space="preserve"> nghiêm trọng </w:t>
      </w:r>
      <w:r w:rsidR="00A7100F">
        <w:t>HOẶC</w:t>
      </w:r>
      <w:r w:rsidR="00402859">
        <w:t xml:space="preserve"> </w:t>
      </w:r>
      <w:r w:rsidR="00F835AE">
        <w:t xml:space="preserve">gần đây </w:t>
      </w:r>
      <w:r w:rsidR="00402859">
        <w:t>suy giảm đáng kể; dấu hiệu giảm mỡ và/hoặc giảm cơ rõ ràng.</w:t>
      </w:r>
    </w:p>
    <w:p w14:paraId="5AE037D6" w14:textId="77777777" w:rsidR="00A3707E" w:rsidRDefault="002C7C9D" w:rsidP="00A3707E">
      <w:pPr>
        <w:pStyle w:val="Heading3"/>
      </w:pPr>
      <w:r w:rsidRPr="00A3707E">
        <w:t>1.4.3. Phương pháp hóa sinh</w:t>
      </w:r>
    </w:p>
    <w:p w14:paraId="156F0097" w14:textId="7B5D01A0" w:rsidR="00A3707E" w:rsidRDefault="00E054E4" w:rsidP="00A3707E">
      <w:r>
        <w:t>Phương pháp đ</w:t>
      </w:r>
      <w:r w:rsidR="007A5278" w:rsidRPr="007A5278">
        <w:t xml:space="preserve">ánh giá tình trạng dinh dưỡng bằng protein </w:t>
      </w:r>
      <w:r>
        <w:t>giúp</w:t>
      </w:r>
      <w:r w:rsidR="007A5278" w:rsidRPr="007A5278">
        <w:t xml:space="preserve"> xác định mức độ cung cấp và sử dụng </w:t>
      </w:r>
      <w:r w:rsidR="00BF4BA6">
        <w:t>P</w:t>
      </w:r>
      <w:r w:rsidR="007A5278" w:rsidRPr="007A5278">
        <w:t>rotein của cơ thể</w:t>
      </w:r>
      <w:r w:rsidR="007A5278">
        <w:t xml:space="preserve">. </w:t>
      </w:r>
      <w:r w:rsidR="00D23CBD">
        <w:t>P</w:t>
      </w:r>
      <w:r w:rsidR="00376F9B" w:rsidRPr="00376F9B">
        <w:t>rotein huyết thanh bình thường là 6</w:t>
      </w:r>
      <w:r w:rsidR="00376F9B">
        <w:t>0</w:t>
      </w:r>
      <w:r w:rsidR="00376F9B" w:rsidRPr="00376F9B">
        <w:t xml:space="preserve"> đến 8</w:t>
      </w:r>
      <w:r w:rsidR="00376F9B">
        <w:t>0</w:t>
      </w:r>
      <w:r w:rsidR="00376F9B" w:rsidRPr="00376F9B">
        <w:t xml:space="preserve"> g</w:t>
      </w:r>
      <w:r w:rsidR="00726817">
        <w:t>/L</w:t>
      </w:r>
      <w:r w:rsidR="00376F9B" w:rsidRPr="00376F9B">
        <w:t xml:space="preserve"> </w:t>
      </w:r>
      <w:r w:rsidR="00376F9B">
        <w:fldChar w:fldCharType="begin"/>
      </w:r>
      <w:r w:rsidR="00CF1D81">
        <w:instrText xml:space="preserve"> ADDIN EN.CITE &lt;EndNote&gt;&lt;Cite&gt;&lt;Author&gt;HK&lt;/Author&gt;&lt;Year&gt;1990&lt;/Year&gt;&lt;RecNum&gt;79&lt;/RecNum&gt;&lt;DisplayText&gt;[46]&lt;/DisplayText&gt;&lt;record&gt;&lt;rec-number&gt;79&lt;/rec-number&gt;&lt;foreign-keys&gt;&lt;key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CF1D81">
        <w:t>[46]</w:t>
      </w:r>
      <w:r w:rsidR="00376F9B">
        <w:fldChar w:fldCharType="end"/>
      </w:r>
      <w:r w:rsidR="003F72C2">
        <w:t xml:space="preserve">. Tuy nhiên đây là xét nghiệm không đặc hiệu vì ảnh hưởng </w:t>
      </w:r>
      <w:r w:rsidR="003F72C2">
        <w:lastRenderedPageBreak/>
        <w:t xml:space="preserve">bởi nhiều yếu tố như lượng thức ăn của người bệnh, chuyển hóa cơ bản, tình trạng nhiễm khuẩn, stress, giảm tổng hợp protein hay mất </w:t>
      </w:r>
      <w:r w:rsidR="00DA290B">
        <w:t>P</w:t>
      </w:r>
      <w:r w:rsidR="003F72C2">
        <w:t>rotein,…</w:t>
      </w:r>
      <w:r w:rsidR="000302E9">
        <w:t xml:space="preserve"> </w:t>
      </w:r>
      <w:r w:rsidR="000F1E21">
        <w:t>Trong n</w:t>
      </w:r>
      <w:r w:rsidR="002A5947">
        <w:t>ghiên cứu của</w:t>
      </w:r>
      <w:r w:rsidR="000302E9">
        <w:t xml:space="preserve"> Lê Thị Thủy </w:t>
      </w:r>
      <w:r w:rsidR="002A5947">
        <w:t xml:space="preserve">năm 2019 thấy rằng </w:t>
      </w:r>
      <w:r w:rsidR="000302E9">
        <w:t>24,2%</w:t>
      </w:r>
      <w:r w:rsidR="009F4ABA">
        <w:t xml:space="preserve"> người mắc lao</w:t>
      </w:r>
      <w:r w:rsidR="00171ED8">
        <w:t xml:space="preserve"> phổi</w:t>
      </w:r>
      <w:r w:rsidR="009F4ABA">
        <w:t xml:space="preserve"> bị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 </w:instrTex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EN.CITE.DATA </w:instrText>
      </w:r>
      <w:r w:rsidR="000302E9">
        <w:fldChar w:fldCharType="end"/>
      </w:r>
      <w:r w:rsidR="000302E9">
        <w:fldChar w:fldCharType="separate"/>
      </w:r>
      <w:r w:rsidR="000302E9">
        <w:t>[10]</w:t>
      </w:r>
      <w:r w:rsidR="000302E9">
        <w:fldChar w:fldCharType="end"/>
      </w:r>
      <w:r w:rsidR="000302E9">
        <w:t>.</w:t>
      </w:r>
    </w:p>
    <w:p w14:paraId="3C0C27E5" w14:textId="044A8562" w:rsidR="003F72C2" w:rsidRDefault="00AF2290" w:rsidP="00A3707E">
      <w:r>
        <w:t xml:space="preserve">Xét ngiệm </w:t>
      </w:r>
      <w:r w:rsidR="007A5278">
        <w:t>Albumin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Albumin khoảng 3 tuần và </w:t>
      </w:r>
      <w:r w:rsidR="00CC5C3C">
        <w:t xml:space="preserve">là </w:t>
      </w:r>
      <w:r w:rsidR="00CC5C3C" w:rsidRPr="00CC5C3C">
        <w:t xml:space="preserve">một trong những thành phần </w:t>
      </w:r>
      <w:r w:rsidR="00CC5C3C">
        <w:t>P</w:t>
      </w:r>
      <w:r w:rsidR="00CC5C3C" w:rsidRPr="00CC5C3C">
        <w:t>rotein quan trọng nhất của huyết thanh</w:t>
      </w:r>
      <w:r w:rsidR="00C45BB0">
        <w:t>.</w:t>
      </w:r>
      <w:r w:rsidR="00CC5C3C" w:rsidRPr="00CC5C3C">
        <w:t xml:space="preserve"> </w:t>
      </w:r>
      <w:r w:rsidR="00C45BB0">
        <w:t>V</w:t>
      </w:r>
      <w:r w:rsidR="00E4540D">
        <w:t xml:space="preserve">ậy nên Albumin huyết thanh giảm khá muộn </w:t>
      </w:r>
      <w:r w:rsidR="009329E2">
        <w:t xml:space="preserve">so với </w:t>
      </w:r>
      <w:r w:rsidR="00E4540D">
        <w:t xml:space="preserve">tình trạng giảm </w:t>
      </w:r>
      <w:r w:rsidR="004769C8">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w:t>
      </w:r>
      <w:r w:rsidR="00726817">
        <w:t>/L</w:t>
      </w:r>
      <w:r w:rsidR="006A7C4B">
        <w:t xml:space="preserve"> được coi là SDD </w:t>
      </w:r>
      <w:r w:rsidR="00DA0BCA">
        <w:fldChar w:fldCharType="begin">
          <w:fldData xml:space="preserve">PEVuZE5vdGU+PENpdGU+PEF1dGhvcj5FdmFuczwvQXV0aG9yPjxZZWFyPjIwMjE8L1llYXI+PFJl
Y051bT44MDwvUmVjTnVtPjxEaXNwbGF5VGV4dD5bNDddPC9EaXNwbGF5VGV4dD48cmVjb3JkPjxy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CF1D81">
        <w:instrText xml:space="preserve"> ADDIN EN.CITE </w:instrText>
      </w:r>
      <w:r w:rsidR="00CF1D81">
        <w:fldChar w:fldCharType="begin">
          <w:fldData xml:space="preserve">PEVuZE5vdGU+PENpdGU+PEF1dGhvcj5FdmFuczwvQXV0aG9yPjxZZWFyPjIwMjE8L1llYXI+PFJl
Y051bT44MDwvUmVjTnVtPjxEaXNwbGF5VGV4dD5bNDddPC9EaXNwbGF5VGV4dD48cmVjb3JkPjxy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CF1D81">
        <w:instrText xml:space="preserve"> ADDIN EN.CITE.DATA </w:instrText>
      </w:r>
      <w:r w:rsidR="00CF1D81">
        <w:fldChar w:fldCharType="end"/>
      </w:r>
      <w:r w:rsidR="00DA0BCA">
        <w:fldChar w:fldCharType="separate"/>
      </w:r>
      <w:r w:rsidR="00CF1D81">
        <w:t>[47]</w:t>
      </w:r>
      <w:r w:rsidR="00DA0BCA">
        <w:fldChar w:fldCharType="end"/>
      </w:r>
      <w:r w:rsidR="006A7C4B">
        <w:t>.</w:t>
      </w:r>
      <w:r w:rsidR="006441D9">
        <w:t xml:space="preserve"> </w:t>
      </w:r>
      <w:r w:rsidR="00646822">
        <w:t xml:space="preserve">Theo Lê Thị Thủy (2019), tỷ lệ người lao mắc SDD </w:t>
      </w:r>
      <w:r w:rsidR="00E52C39">
        <w:t>tính theo</w:t>
      </w:r>
      <w:r w:rsidR="00646822">
        <w:t xml:space="preserve"> </w:t>
      </w:r>
      <w:r w:rsidR="002474BC">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 </w:instrTex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EN.CITE.DATA </w:instrText>
      </w:r>
      <w:r w:rsidR="00646822">
        <w:fldChar w:fldCharType="end"/>
      </w:r>
      <w:r w:rsidR="00646822">
        <w:fldChar w:fldCharType="separate"/>
      </w:r>
      <w:r w:rsidR="00646822">
        <w:t>[10]</w:t>
      </w:r>
      <w:r w:rsidR="00646822">
        <w:fldChar w:fldCharType="end"/>
      </w:r>
      <w:r w:rsidR="006F2CE6">
        <w:t>.</w:t>
      </w:r>
    </w:p>
    <w:p w14:paraId="36AA491D" w14:textId="66CB0440" w:rsidR="005E14E4" w:rsidRPr="00A3707E" w:rsidRDefault="005E14E4" w:rsidP="00A3707E">
      <w:r w:rsidRPr="00A3707E">
        <w:br w:type="page"/>
      </w:r>
    </w:p>
    <w:p w14:paraId="70CD869A" w14:textId="6FC7664A" w:rsidR="00C73DBF" w:rsidRPr="00C73DBF" w:rsidRDefault="00C73DBF" w:rsidP="00C23165">
      <w:pPr>
        <w:pStyle w:val="Heading1"/>
      </w:pPr>
      <w:bookmarkStart w:id="49" w:name="_Toc126527728"/>
      <w:bookmarkStart w:id="50" w:name="_Toc133590775"/>
      <w:r>
        <w:lastRenderedPageBreak/>
        <w:t xml:space="preserve">- </w:t>
      </w:r>
      <w:r w:rsidRPr="00C73DBF">
        <w:t>ĐỐI TƯỢNG VÀ PHƯƠNG PHÁP NGHIÊN CỨU</w:t>
      </w:r>
      <w:bookmarkEnd w:id="49"/>
      <w:bookmarkEnd w:id="50"/>
    </w:p>
    <w:p w14:paraId="17B1AD52" w14:textId="1B34E2F5" w:rsidR="00C73DBF" w:rsidRPr="00C73DBF" w:rsidRDefault="00C73DBF" w:rsidP="00C23165">
      <w:pPr>
        <w:pStyle w:val="Heading2"/>
      </w:pPr>
      <w:bookmarkStart w:id="51" w:name="_Toc126527729"/>
      <w:bookmarkStart w:id="52" w:name="_Toc133590776"/>
      <w:r>
        <w:t>2.</w:t>
      </w:r>
      <w:r w:rsidRPr="00C73DBF">
        <w:t>1. Đối tượng</w:t>
      </w:r>
      <w:r w:rsidR="00D22FB3">
        <w:t>, thời gian và địa điểm</w:t>
      </w:r>
      <w:r w:rsidR="003C2417">
        <w:t xml:space="preserve"> nghiên cứu</w:t>
      </w:r>
      <w:bookmarkEnd w:id="51"/>
      <w:bookmarkEnd w:id="52"/>
    </w:p>
    <w:p w14:paraId="5B699654" w14:textId="7469966F" w:rsidR="00A178C3" w:rsidRDefault="00A178C3" w:rsidP="00FC32EF">
      <w:pPr>
        <w:pStyle w:val="Heading3"/>
      </w:pPr>
      <w:bookmarkStart w:id="53" w:name="_Toc126527730"/>
      <w:r>
        <w:t>2.1.1. Đối tượng nghiên cứu</w:t>
      </w:r>
      <w:bookmarkEnd w:id="53"/>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1F077D0D" w:rsidR="00313618" w:rsidRPr="00F92710" w:rsidRDefault="00C73DBF" w:rsidP="00C23165">
      <w:pPr>
        <w:rPr>
          <w:i/>
          <w:iCs/>
        </w:rPr>
      </w:pPr>
      <w:r w:rsidRPr="00F92710">
        <w:rPr>
          <w:i/>
          <w:iCs/>
        </w:rPr>
        <w:t xml:space="preserve">Tiêu chuẩn </w:t>
      </w:r>
      <w:r w:rsidR="002E7606" w:rsidRPr="00F92710">
        <w:rPr>
          <w:i/>
          <w:iCs/>
        </w:rPr>
        <w:t xml:space="preserve">lựa </w:t>
      </w:r>
      <w:r w:rsidRPr="00F92710">
        <w:rPr>
          <w:i/>
          <w:iCs/>
        </w:rPr>
        <w:t>chọn</w:t>
      </w:r>
      <w:r w:rsidR="009C20FF" w:rsidRPr="00F92710">
        <w:rPr>
          <w:i/>
          <w:iCs/>
        </w:rPr>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7D551C62" w:rsidR="000A7A3A" w:rsidRPr="00F92710" w:rsidRDefault="000A7A3A" w:rsidP="002E7606">
      <w:pPr>
        <w:rPr>
          <w:i/>
          <w:iCs/>
        </w:rPr>
      </w:pPr>
      <w:r w:rsidRPr="00F92710">
        <w:rPr>
          <w:i/>
          <w:iCs/>
        </w:rPr>
        <w:t>Tiêu chuẩn chẩn đoán:</w:t>
      </w:r>
    </w:p>
    <w:p w14:paraId="469AEFB0" w14:textId="3AD0F725" w:rsidR="002E7606" w:rsidRDefault="002359A2" w:rsidP="002E7606">
      <w:r>
        <w:t xml:space="preserve">- </w:t>
      </w:r>
      <w:r w:rsidR="002E7606">
        <w:t>Chẩn đoán xác định lao phổi khi có tổn thương trên X</w:t>
      </w:r>
      <w:r w:rsidR="00BD00DB">
        <w:t>-</w:t>
      </w:r>
      <w:r w:rsidR="002E7606">
        <w:t xml:space="preserve">quang phổi nghi lao và một trong </w:t>
      </w:r>
      <w:r w:rsidR="003441A7">
        <w:t>hai</w:t>
      </w:r>
      <w:r w:rsidR="002E7606">
        <w:t xml:space="preserve"> tiêu chuẩn sau</w:t>
      </w:r>
      <w:r w:rsidR="00B81DCB">
        <w:t xml:space="preserve"> </w:t>
      </w:r>
      <w:r w:rsidR="00B81DCB">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B81DCB">
        <w:fldChar w:fldCharType="separate"/>
      </w:r>
      <w:r w:rsidR="00652D6C">
        <w:t>[1]</w:t>
      </w:r>
      <w:r w:rsidR="00B81DCB">
        <w:fldChar w:fldCharType="end"/>
      </w:r>
      <w:r w:rsidR="002E7606">
        <w:t>:</w:t>
      </w:r>
    </w:p>
    <w:p w14:paraId="40EA0FEC" w14:textId="270FAEA8" w:rsidR="002E7606" w:rsidRDefault="009B2E6F" w:rsidP="002E7606">
      <w:r>
        <w:t xml:space="preserve">+ </w:t>
      </w:r>
      <w:r w:rsidR="002E7606">
        <w:t xml:space="preserve">Có bằng chứng về sự có mặt của </w:t>
      </w:r>
      <w:r w:rsidR="00CD430D">
        <w:t>trực khuẩn lao</w:t>
      </w:r>
      <w:r w:rsidR="002E7606">
        <w:t xml:space="preserve"> trong bệnh phẩm lâm sàng như đờm, dịch phế quản, dịch dạ dày và các bệnh phẩm khác.</w:t>
      </w:r>
    </w:p>
    <w:p w14:paraId="6E71BA88" w14:textId="2BFBBBF4" w:rsidR="002E7606" w:rsidRDefault="009B2E6F" w:rsidP="002E7606">
      <w:r>
        <w:t xml:space="preserve">+ </w:t>
      </w:r>
      <w:r w:rsidR="002E7606">
        <w:t xml:space="preserve">Khi có các triệu chứng lâm sàng, cận lâm sàng nhưng không xác định được </w:t>
      </w:r>
      <w:r w:rsidR="00CD430D">
        <w:t>trực khuẩn lao</w:t>
      </w:r>
      <w:r w:rsidR="002E7606">
        <w:t>, chẩn đoán lao vẫn có thể xác định bằng tổng hợp các dấu hiệu lâm sàng cận lâm sàng của thầy thuốc được đào tạo chuyên khoa lao quyết định.</w:t>
      </w:r>
    </w:p>
    <w:p w14:paraId="2928E8E9" w14:textId="77777777" w:rsidR="0007145D" w:rsidRDefault="009B2E6F" w:rsidP="0007145D">
      <w:r>
        <w:t xml:space="preserve">- </w:t>
      </w:r>
      <w:r w:rsidR="0007145D">
        <w:t>Chẩn đoán lao mới khi người bệnh chưa bao giờ dùng thuốc chống lao hoặc mới dùng thuốc chống lao dưới 1 tháng.</w:t>
      </w:r>
    </w:p>
    <w:p w14:paraId="0B5631AF" w14:textId="14080DA9" w:rsidR="00FD6785" w:rsidRDefault="00FD6785" w:rsidP="00FD6785">
      <w:r>
        <w:t xml:space="preserve">- </w:t>
      </w:r>
      <w:r w:rsidR="00CC17CF">
        <w:t>Phân loại</w:t>
      </w:r>
      <w:r>
        <w:t xml:space="preserve"> </w:t>
      </w:r>
      <w:r w:rsidR="00CC17CF">
        <w:t xml:space="preserve">TTDD </w:t>
      </w:r>
      <w:r w:rsidR="007047B7">
        <w:t>ở</w:t>
      </w:r>
      <w:r>
        <w:t xml:space="preserve"> người trưởng thành </w:t>
      </w:r>
      <w:r w:rsidR="00936657">
        <w:t>theo</w:t>
      </w:r>
      <w:r>
        <w:t xml:space="preserve"> BMI của WHO </w:t>
      </w:r>
      <w:r>
        <w:fldChar w:fldCharType="begin"/>
      </w:r>
      <w:r>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fldChar w:fldCharType="separate"/>
      </w:r>
      <w:r>
        <w:t>[44]</w:t>
      </w:r>
      <w:r>
        <w:fldChar w:fldCharType="end"/>
      </w:r>
      <w:r>
        <w:t>:</w:t>
      </w:r>
    </w:p>
    <w:p w14:paraId="04BCD088" w14:textId="5AD70305" w:rsidR="00FD6785" w:rsidRDefault="00472A9C" w:rsidP="00FD6785">
      <w:r>
        <w:t>+</w:t>
      </w:r>
      <w:r w:rsidR="00FD6785">
        <w:t xml:space="preserve"> SDD độ III: BMI &lt;16</w:t>
      </w:r>
    </w:p>
    <w:p w14:paraId="5A98AF98" w14:textId="418A068E" w:rsidR="00FD6785" w:rsidRDefault="00472A9C" w:rsidP="00FD6785">
      <w:r>
        <w:lastRenderedPageBreak/>
        <w:t>+</w:t>
      </w:r>
      <w:r w:rsidR="00FD6785">
        <w:t xml:space="preserve"> SDD độ II: BMI 16 – 16.99</w:t>
      </w:r>
    </w:p>
    <w:p w14:paraId="2E955148" w14:textId="5E7AABA7" w:rsidR="00FD6785" w:rsidRDefault="00472A9C" w:rsidP="00FD6785">
      <w:r>
        <w:t>+</w:t>
      </w:r>
      <w:r w:rsidR="00FD6785">
        <w:t xml:space="preserve"> SDD độ I: BMI 17 – 18,49</w:t>
      </w:r>
    </w:p>
    <w:p w14:paraId="315C02AF" w14:textId="6F9457A4" w:rsidR="00FD6785" w:rsidRDefault="00472A9C" w:rsidP="00FD6785">
      <w:r>
        <w:t>+</w:t>
      </w:r>
      <w:r w:rsidR="00FD6785">
        <w:t xml:space="preserve"> Bình thường: BMI 18,5 – 24.99</w:t>
      </w:r>
    </w:p>
    <w:p w14:paraId="31DFD103" w14:textId="2C56A8A9" w:rsidR="00FD6785" w:rsidRDefault="00472A9C" w:rsidP="00FD6785">
      <w:r>
        <w:t xml:space="preserve">+ </w:t>
      </w:r>
      <w:r w:rsidR="00FD6785">
        <w:t>Thừa cân – Béo phì: BMI ≥25</w:t>
      </w:r>
    </w:p>
    <w:p w14:paraId="27E562FA" w14:textId="6470161A" w:rsidR="00936657" w:rsidRDefault="00936657" w:rsidP="00936657">
      <w:r>
        <w:t xml:space="preserve">- Đánh giá </w:t>
      </w:r>
      <w:r w:rsidR="00CC17CF">
        <w:t>TTDD theo p</w:t>
      </w:r>
      <w:r w:rsidR="00CC17CF" w:rsidRPr="00CC17CF">
        <w:t>hương pháp đánh giá dinh dưỡng chủ quan SGA</w:t>
      </w:r>
      <w:r w:rsidRPr="004C7996">
        <w:t xml:space="preserve"> phân loại </w:t>
      </w:r>
      <w:r>
        <w:t>thành 3 nhóm</w:t>
      </w:r>
      <w:r w:rsidRPr="004C7996">
        <w:t xml:space="preserve"> </w:t>
      </w:r>
      <w:r>
        <w:fldChar w:fldCharType="begin"/>
      </w:r>
      <w:r>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fldChar w:fldCharType="separate"/>
      </w:r>
      <w:r>
        <w:t>[45]</w:t>
      </w:r>
      <w:r>
        <w:fldChar w:fldCharType="end"/>
      </w:r>
      <w:r>
        <w:t>:</w:t>
      </w:r>
    </w:p>
    <w:p w14:paraId="2612EB56" w14:textId="210F4475" w:rsidR="00936657" w:rsidRDefault="00936657" w:rsidP="00936657">
      <w:r>
        <w:t>+ SGA A: Giảm lượng thức ăn</w:t>
      </w:r>
      <w:r w:rsidR="00726817">
        <w:t>/L</w:t>
      </w:r>
      <w:r>
        <w:t>ượng dinh dưỡng đưa vào tốt; &lt;5% giảm cân; không có/các triệu chứng không ảnh hưởng đến lượng thức ăn đưa vào; không có hạn chế chức năng vận động; không bị thiếu hụt khối lượng mỡ hoặc cơ HOẶC đáp ứng một số tiêu chí của SGA B hoặc C nhưng gần đây đã ăn uống đầy đủ; tăng cân; cải thiện đáng kể các triệu chứng cho phép ăn uống đầy đủ; cải thiện đáng kể chức năng vận động; và thiếu hụt mãn tính về khối lượng mỡ và cơ nhưng gần đây cải thiện lâm sàng.</w:t>
      </w:r>
    </w:p>
    <w:p w14:paraId="3EDB05E7" w14:textId="6D2DC7A8" w:rsidR="00936657" w:rsidRDefault="00936657" w:rsidP="00936657">
      <w:r>
        <w:t xml:space="preserve">+ SGB </w:t>
      </w:r>
      <w:r w:rsidR="00A208BD">
        <w:t>B</w:t>
      </w:r>
      <w:r>
        <w:t>: SDD nhẹ/trung bình giảm lượng thức ăn</w:t>
      </w:r>
      <w:r w:rsidR="00726817">
        <w:t>/L</w:t>
      </w:r>
      <w:r>
        <w:t>ượng dinh dưỡng đưa vào; giảm 5% - 10% cân nặng; một số triệu chứng ảnh hưởng đến lượng thức ăn đưa vào; hạn chế chức năng vừa phải hoặc suy giảm gần đây; giảm nhẹ/trung bình lượng mỡ và/hoặc khối lượng cơ HOẶC đáp ứng một số tiêu chí của SGA C nhưng cải thiện (nhưng không đầy đủ) lượng ăn vào, gần đây cân nặng ổn định, giảm các triệu chứng ảnh hưởng đến tiêu hóa, ổn định chức năng vận động.</w:t>
      </w:r>
    </w:p>
    <w:p w14:paraId="29AF75D9" w14:textId="53C57A2A" w:rsidR="00FD6785" w:rsidRDefault="00936657" w:rsidP="00936657">
      <w:r>
        <w:t>+ SG</w:t>
      </w:r>
      <w:r w:rsidR="00A208BD">
        <w:t>A C</w:t>
      </w:r>
      <w:r>
        <w:t>: SDD nặng thiếu hụt lượng thức ăn</w:t>
      </w:r>
      <w:r w:rsidR="00726817">
        <w:t>/L</w:t>
      </w:r>
      <w:r>
        <w:t>ượng dinh dưỡng đưa vào nghiêm trọng; đang giảm &gt;10% cân nặng; các triệu chứng ảnh hưởng đáng kể đến lượng thức ăn</w:t>
      </w:r>
      <w:r w:rsidR="00726817">
        <w:t>/L</w:t>
      </w:r>
      <w:r>
        <w:t xml:space="preserve">ượng dinh dưỡng đưa vào; suy giảm chức năng vận động nghiêm </w:t>
      </w:r>
      <w:r>
        <w:lastRenderedPageBreak/>
        <w:t>trọng HOẶC gần đây suy giảm đáng kể; dấu hiệu giảm mỡ và/hoặc giảm cơ rõ ràng</w:t>
      </w:r>
      <w:r w:rsidR="00FA731B">
        <w:t>.</w:t>
      </w:r>
    </w:p>
    <w:p w14:paraId="527F2331" w14:textId="5CF7CAB8" w:rsidR="00C73DBF" w:rsidRPr="00A50DDD" w:rsidRDefault="00C73DBF" w:rsidP="0007145D">
      <w:pPr>
        <w:rPr>
          <w:i/>
          <w:iCs/>
        </w:rPr>
      </w:pPr>
      <w:r w:rsidRPr="00A50DDD">
        <w:rPr>
          <w:i/>
          <w:iCs/>
        </w:rPr>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54" w:name="_Toc126527731"/>
      <w:r>
        <w:t>2</w:t>
      </w:r>
      <w:r w:rsidR="00FC32EF">
        <w:t>.1</w:t>
      </w:r>
      <w:r w:rsidRPr="00C73DBF">
        <w:t>.</w:t>
      </w:r>
      <w:r>
        <w:t>2</w:t>
      </w:r>
      <w:r w:rsidRPr="00C73DBF">
        <w:t>. Địa điểm và thời gian nghiên cứu</w:t>
      </w:r>
      <w:bookmarkEnd w:id="54"/>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33EDD62E" w:rsidR="00C73DBF" w:rsidRPr="00C73DBF" w:rsidRDefault="00C73DBF" w:rsidP="00C23165">
      <w:r w:rsidRPr="00C73DBF">
        <w:t>Thời gian</w:t>
      </w:r>
      <w:r w:rsidR="00E178A3">
        <w:t>:</w:t>
      </w:r>
      <w:r w:rsidRPr="00C73DBF">
        <w:t xml:space="preserve"> </w:t>
      </w:r>
      <w:r w:rsidR="009E5F4D">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55" w:name="_Toc126527732"/>
      <w:bookmarkStart w:id="56" w:name="_Toc133590777"/>
      <w:r>
        <w:t>2</w:t>
      </w:r>
      <w:r w:rsidRPr="00C73DBF">
        <w:t>.</w:t>
      </w:r>
      <w:r w:rsidR="00852C5F">
        <w:t>2</w:t>
      </w:r>
      <w:r w:rsidRPr="00C73DBF">
        <w:t>. Phương pháp nghiên cứu</w:t>
      </w:r>
      <w:bookmarkEnd w:id="55"/>
      <w:bookmarkEnd w:id="56"/>
    </w:p>
    <w:p w14:paraId="65E6C258" w14:textId="59BE1557" w:rsidR="00C73DBF" w:rsidRPr="00C73DBF" w:rsidRDefault="00733CD6" w:rsidP="00C23165">
      <w:pPr>
        <w:pStyle w:val="Heading3"/>
      </w:pPr>
      <w:bookmarkStart w:id="57" w:name="_Toc126527733"/>
      <w:r>
        <w:t>2.</w:t>
      </w:r>
      <w:r w:rsidR="00C3458A">
        <w:t>2</w:t>
      </w:r>
      <w:r>
        <w:t>.1.</w:t>
      </w:r>
      <w:r w:rsidR="00C73DBF" w:rsidRPr="00C73DBF">
        <w:t xml:space="preserve"> Thiết k</w:t>
      </w:r>
      <w:r>
        <w:t>ế</w:t>
      </w:r>
      <w:r w:rsidR="00C73DBF" w:rsidRPr="00C73DBF">
        <w:t xml:space="preserve"> nghiên cứu</w:t>
      </w:r>
      <w:bookmarkEnd w:id="57"/>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58" w:name="_Toc126527734"/>
      <w:r>
        <w:t>2</w:t>
      </w:r>
      <w:r w:rsidR="00C73DBF" w:rsidRPr="00C73DBF">
        <w:t>.</w:t>
      </w:r>
      <w:r w:rsidR="003775AB">
        <w:t>2</w:t>
      </w:r>
      <w:r w:rsidR="00C73DBF" w:rsidRPr="00C73DBF">
        <w:t>.2. Cỡ mẫu và phương pháp ch</w:t>
      </w:r>
      <w:r w:rsidR="00ED1263">
        <w:t>ọ</w:t>
      </w:r>
      <w:r w:rsidR="00C73DBF" w:rsidRPr="00C73DBF">
        <w:t>n mẫu</w:t>
      </w:r>
      <w:bookmarkEnd w:id="58"/>
    </w:p>
    <w:p w14:paraId="0E5ADEF0" w14:textId="594E3A69"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AC2D6D" w:rsidRPr="005D14CF">
        <w:rPr>
          <w:lang w:val="vi-VN" w:eastAsia="zh-CN"/>
        </w:rPr>
        <w:t>theo kỹ thuật không xác suất với mẫu thuận tiện.</w:t>
      </w:r>
    </w:p>
    <w:p w14:paraId="12180E73" w14:textId="6DE22F3B" w:rsidR="00FA61E4" w:rsidRPr="00FA61E4" w:rsidRDefault="00FA61E4" w:rsidP="00FA61E4">
      <w:r>
        <w:t xml:space="preserve">Cỡ mẫu: </w:t>
      </w:r>
      <w:r w:rsidR="005E785F">
        <w:t>250</w:t>
      </w:r>
      <w:r>
        <w:t xml:space="preserve"> hồ sơ bệnh án đủ tiêu chuẩn nghiên cứu</w:t>
      </w:r>
      <w:r w:rsidRPr="00B75088">
        <w:t>.</w:t>
      </w:r>
    </w:p>
    <w:p w14:paraId="3ABAC1D6" w14:textId="44BCA02B" w:rsidR="006650AC" w:rsidRDefault="006650AC" w:rsidP="006650AC">
      <w:pPr>
        <w:pStyle w:val="Heading3"/>
      </w:pPr>
      <w:bookmarkStart w:id="59" w:name="_Toc126527735"/>
      <w:r>
        <w:t>2</w:t>
      </w:r>
      <w:r w:rsidRPr="00525EFF">
        <w:t>.</w:t>
      </w:r>
      <w:r w:rsidR="005E3027">
        <w:t>2</w:t>
      </w:r>
      <w:r w:rsidRPr="00525EFF">
        <w:t>.</w:t>
      </w:r>
      <w:r>
        <w:t>3</w:t>
      </w:r>
      <w:r w:rsidRPr="00525EFF">
        <w:t xml:space="preserve">. </w:t>
      </w:r>
      <w:r>
        <w:t>Biến số - chỉ số nghiên cứu</w:t>
      </w:r>
      <w:bookmarkEnd w:id="59"/>
    </w:p>
    <w:p w14:paraId="4029AA93" w14:textId="591BD501" w:rsidR="005E3027" w:rsidRDefault="005E3027" w:rsidP="00A73146">
      <w:pPr>
        <w:pStyle w:val="Heading4"/>
      </w:pPr>
      <w:bookmarkStart w:id="60" w:name="_Toc126527736"/>
      <w:r>
        <w:t xml:space="preserve">2.2.3.1. Một số thông tin chung của </w:t>
      </w:r>
      <w:r w:rsidR="00CF536B">
        <w:t>bệnh nhân</w:t>
      </w:r>
      <w:r>
        <w:t xml:space="preserve"> nghiên cứu</w:t>
      </w:r>
      <w:bookmarkEnd w:id="60"/>
    </w:p>
    <w:p w14:paraId="55861534" w14:textId="0151D46F" w:rsidR="00DA4C77" w:rsidRDefault="00DA4C77" w:rsidP="00DA4C77">
      <w:r>
        <w:t xml:space="preserve">Tuổi: được chia thành các nhóm </w:t>
      </w:r>
      <w:r w:rsidR="00253037">
        <w:t>15</w:t>
      </w:r>
      <w:r>
        <w:t>-29, 30-39, 40-49, 50-59</w:t>
      </w:r>
      <w:r w:rsidR="006D4ED1">
        <w:t xml:space="preserve"> và</w:t>
      </w:r>
      <w:r>
        <w:t xml:space="preserve"> ≥60.</w:t>
      </w:r>
    </w:p>
    <w:p w14:paraId="13E845CF" w14:textId="1CAD83D9" w:rsidR="00DA4C77" w:rsidRDefault="00DA4C77" w:rsidP="00DA4C77">
      <w:r>
        <w:t>Giới: nam, nữ.</w:t>
      </w:r>
    </w:p>
    <w:p w14:paraId="50CAC87A" w14:textId="52D9C9F8" w:rsidR="00DA4C77" w:rsidRDefault="00DA4C77" w:rsidP="00DA4C77">
      <w:r>
        <w:t>Địa chỉ: thành thị, nông thôn</w:t>
      </w:r>
      <w:r w:rsidR="009D36D2">
        <w:t>, hải đảo</w:t>
      </w:r>
      <w:r>
        <w:t>.</w:t>
      </w:r>
    </w:p>
    <w:p w14:paraId="709E0074" w14:textId="5569009A" w:rsidR="00DA4C77" w:rsidRDefault="00DA4C77" w:rsidP="00DA4C77">
      <w:r>
        <w:t>Nghề nghiệp: chia 7 nhóm nghề (nông dân, công nhân, lao động tự do, hưu trí, cán bộ</w:t>
      </w:r>
      <w:r w:rsidR="00B16495">
        <w:t xml:space="preserve"> </w:t>
      </w:r>
      <w:r>
        <w:t>công chức, học sinh</w:t>
      </w:r>
      <w:r w:rsidR="00E33518">
        <w:t xml:space="preserve"> </w:t>
      </w:r>
      <w:r>
        <w:t>- sinh viên, nội trợ).</w:t>
      </w:r>
    </w:p>
    <w:p w14:paraId="01F6458B" w14:textId="04950593" w:rsidR="00874D53" w:rsidRDefault="00DA4C77" w:rsidP="00874D53">
      <w:r>
        <w:lastRenderedPageBreak/>
        <w:t>Tiền sử</w:t>
      </w:r>
      <w:r w:rsidR="00B9026C">
        <w:t xml:space="preserve"> bản thân</w:t>
      </w:r>
      <w:r>
        <w:t>: đái tháo đường, tăng huyết áp, viêm dạ dày,</w:t>
      </w:r>
      <w:r w:rsidR="00B9026C">
        <w:t xml:space="preserve"> HIV,</w:t>
      </w:r>
      <w:r>
        <w:t xml:space="preserve"> </w:t>
      </w:r>
      <w:r w:rsidR="00B9026C">
        <w:t xml:space="preserve">dùng </w:t>
      </w:r>
      <w:r w:rsidR="00007014">
        <w:t>C</w:t>
      </w:r>
      <w:r w:rsidR="00B9026C">
        <w:t xml:space="preserve">orticoid kéo dài, </w:t>
      </w:r>
      <w:r w:rsidR="00007014">
        <w:t>G</w:t>
      </w:r>
      <w:r w:rsidR="00B9026C">
        <w:t>út, viêm phế quản mạn, COVID-19.</w:t>
      </w:r>
    </w:p>
    <w:p w14:paraId="1E8AAA92" w14:textId="4865B135" w:rsidR="00B06A08" w:rsidRDefault="00ED0E2A" w:rsidP="0060061E">
      <w:r>
        <w:t>Tiền sử gia đình có người bị mắc lao, tiền sử xã hội tiếp xúc với người bệnh lao.</w:t>
      </w:r>
    </w:p>
    <w:p w14:paraId="7DD39CC4" w14:textId="57B80F20" w:rsidR="001B00D6" w:rsidRDefault="001B00D6" w:rsidP="00A73146">
      <w:pPr>
        <w:pStyle w:val="Heading4"/>
      </w:pPr>
      <w:bookmarkStart w:id="61" w:name="_Toc126527737"/>
      <w:r>
        <w:t xml:space="preserve">2.2.3.2. Triệu chứng lâm sàng của </w:t>
      </w:r>
      <w:r w:rsidR="00CF536B">
        <w:t>bệnh nhân</w:t>
      </w:r>
      <w:r>
        <w:t xml:space="preserve"> nghiên cứu</w:t>
      </w:r>
      <w:bookmarkEnd w:id="61"/>
    </w:p>
    <w:p w14:paraId="7582F610" w14:textId="252E2842" w:rsidR="00BF74E2" w:rsidRDefault="00BF74E2" w:rsidP="00BF74E2">
      <w:r>
        <w:t>Lý do vào viện:</w:t>
      </w:r>
      <w:r w:rsidR="00F3021F">
        <w:t xml:space="preserve"> mệt mỏi, gầy sút cân, sốt, ho khan,</w:t>
      </w:r>
      <w:r>
        <w:t xml:space="preserve"> ho khạc đờm, ho ra máu, đau ngực, khó th</w:t>
      </w:r>
      <w:r w:rsidR="00F3021F">
        <w:t>ở.</w:t>
      </w:r>
    </w:p>
    <w:p w14:paraId="34775394" w14:textId="1291ACBF" w:rsidR="00BF74E2" w:rsidRDefault="00BF74E2" w:rsidP="00617673">
      <w:r>
        <w:t xml:space="preserve">Thời gian chẩn đoán bệnh: </w:t>
      </w:r>
      <w:r w:rsidR="00B24D22">
        <w:t>t</w:t>
      </w:r>
      <w:r>
        <w:t>hời gian từ khi có triệu chứng đến khi được</w:t>
      </w:r>
      <w:r w:rsidR="00617673">
        <w:t xml:space="preserve"> </w:t>
      </w:r>
      <w:r>
        <w:t>chẩn đoán bệnh được chia thành trước 2 tháng, từ 2 đến 6 tháng và trên 6 tháng</w:t>
      </w:r>
      <w:r w:rsidR="00FB7487">
        <w:t>.</w:t>
      </w:r>
    </w:p>
    <w:p w14:paraId="7FE35561" w14:textId="4EA907FD" w:rsidR="006361D2" w:rsidRDefault="006361D2" w:rsidP="006361D2">
      <w:r>
        <w:t>Triệu chứng toàn thân:</w:t>
      </w:r>
    </w:p>
    <w:p w14:paraId="4F4F6472" w14:textId="483798EC" w:rsidR="006361D2" w:rsidRDefault="003B4831" w:rsidP="006361D2">
      <w:r>
        <w:t>-</w:t>
      </w:r>
      <w:r w:rsidR="006361D2">
        <w:t xml:space="preserve"> Triệu chứng sốt: Mức độ không sốt ≤ </w:t>
      </w:r>
      <w:r w:rsidR="006361D2" w:rsidRPr="003A311D">
        <w:t>37</w:t>
      </w:r>
      <w:r w:rsidR="001D4288">
        <w:t xml:space="preserve"> </w:t>
      </w:r>
      <w:r w:rsidR="006361D2">
        <w:rPr>
          <w:vertAlign w:val="superscript"/>
        </w:rPr>
        <w:t>o</w:t>
      </w:r>
      <w:r w:rsidR="006361D2">
        <w:t>C, sốt nhẹ 37,1</w:t>
      </w:r>
      <w:r w:rsidR="00A831EA">
        <w:t xml:space="preserve"> </w:t>
      </w:r>
      <w:r w:rsidR="006E6A1F">
        <w:t>đến</w:t>
      </w:r>
      <w:r w:rsidR="00A831EA">
        <w:t xml:space="preserve"> </w:t>
      </w:r>
      <w:r w:rsidR="00837175">
        <w:t>≤</w:t>
      </w:r>
      <w:r w:rsidR="006361D2">
        <w:t>38</w:t>
      </w:r>
      <w:r w:rsidR="001D4288">
        <w:t xml:space="preserve"> </w:t>
      </w:r>
      <w:r w:rsidR="006361D2">
        <w:rPr>
          <w:vertAlign w:val="superscript"/>
        </w:rPr>
        <w:t>o</w:t>
      </w:r>
      <w:r w:rsidR="006361D2">
        <w:t>C, sốt vừa 38,1</w:t>
      </w:r>
      <w:r w:rsidR="00EF5A1E">
        <w:t xml:space="preserve"> </w:t>
      </w:r>
      <w:r w:rsidR="006E6A1F">
        <w:t>đến</w:t>
      </w:r>
      <w:r w:rsidR="00EF5A1E">
        <w:t xml:space="preserve"> </w:t>
      </w:r>
      <w:r w:rsidR="00837175">
        <w:t>≤</w:t>
      </w:r>
      <w:r w:rsidR="006361D2">
        <w:t>39</w:t>
      </w:r>
      <w:r w:rsidR="001D4288">
        <w:t xml:space="preserve"> </w:t>
      </w:r>
      <w:r w:rsidR="006361D2">
        <w:rPr>
          <w:vertAlign w:val="superscript"/>
        </w:rPr>
        <w:t>o</w:t>
      </w:r>
      <w:r w:rsidR="006361D2">
        <w:t>C, sốt cao &gt;39</w:t>
      </w:r>
      <w:r w:rsidR="006361D2" w:rsidRPr="003A311D">
        <w:rPr>
          <w:vertAlign w:val="superscript"/>
        </w:rPr>
        <w:t xml:space="preserve"> </w:t>
      </w:r>
      <w:r w:rsidR="006361D2">
        <w:rPr>
          <w:vertAlign w:val="superscript"/>
        </w:rPr>
        <w:t>o</w:t>
      </w:r>
      <w:r w:rsidR="006361D2">
        <w:t xml:space="preserve">C </w:t>
      </w:r>
      <w:r w:rsidR="00BA2150">
        <w:fldChar w:fldCharType="begin"/>
      </w:r>
      <w:r w:rsidR="00CF1D81">
        <w:instrText xml:space="preserve"> ADDIN EN.CITE &lt;EndNote&gt;&lt;Cite&gt;&lt;Author&gt;Lanh&lt;/Author&gt;&lt;Year&gt;2012&lt;/Year&gt;&lt;RecNum&gt;57&lt;/RecNum&gt;&lt;DisplayText&gt;[48]&lt;/DisplayText&gt;&lt;record&gt;&lt;rec-number&gt;57&lt;/rec-number&gt;&lt;foreign-keys&gt;&lt;key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BA2150">
        <w:fldChar w:fldCharType="separate"/>
      </w:r>
      <w:r w:rsidR="00CF1D81">
        <w:t>[48]</w:t>
      </w:r>
      <w:r w:rsidR="00BA2150">
        <w:fldChar w:fldCharType="end"/>
      </w:r>
      <w:r w:rsidR="006361D2">
        <w:t>.</w:t>
      </w:r>
    </w:p>
    <w:p w14:paraId="33CD4D25" w14:textId="182E2657" w:rsidR="006361D2" w:rsidRDefault="003B4831" w:rsidP="006361D2">
      <w:r>
        <w:t>-</w:t>
      </w:r>
      <w:r w:rsidR="006361D2">
        <w:t xml:space="preserve"> Triệu chứng mệt</w:t>
      </w:r>
      <w:r w:rsidR="00417804">
        <w:t xml:space="preserve"> mỏi,</w:t>
      </w:r>
      <w:r w:rsidR="006361D2">
        <w:t xml:space="preserve"> ăn kém</w:t>
      </w:r>
      <w:r w:rsidR="00C5590F">
        <w:t>,</w:t>
      </w:r>
      <w:r w:rsidR="006361D2">
        <w:t xml:space="preserve"> gầy sút cân so với bình thường khi chưa bị bệnh.</w:t>
      </w:r>
    </w:p>
    <w:p w14:paraId="01B05AB4" w14:textId="6FFE56E7" w:rsidR="0014203F" w:rsidRDefault="00AA5DCB" w:rsidP="0014203F">
      <w:r>
        <w:t>- Triệu chứng da niêm mạc: bình thường, vàng, nhợt, xạm.</w:t>
      </w:r>
    </w:p>
    <w:p w14:paraId="13EC98B4" w14:textId="18B2F437" w:rsidR="000C18F9" w:rsidRDefault="003B4831" w:rsidP="009F6216">
      <w:r>
        <w:t>-</w:t>
      </w:r>
      <w:r w:rsidR="006361D2">
        <w:t xml:space="preserve"> </w:t>
      </w:r>
      <w:r w:rsidR="00DC27AF">
        <w:t xml:space="preserve">Phân loại </w:t>
      </w:r>
      <w:r w:rsidR="00F834D1">
        <w:t>TTDD</w:t>
      </w:r>
      <w:r w:rsidR="00DC27AF">
        <w:t xml:space="preserve"> theo</w:t>
      </w:r>
      <w:r w:rsidR="00180475">
        <w:t xml:space="preserve"> BMI</w:t>
      </w:r>
      <w:r w:rsidR="00F21C0E">
        <w:t xml:space="preserve"> </w:t>
      </w:r>
      <w:r w:rsidR="00F21C0E">
        <w:fldChar w:fldCharType="begin"/>
      </w:r>
      <w:r w:rsidR="00CF1D81">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F21C0E">
        <w:fldChar w:fldCharType="separate"/>
      </w:r>
      <w:r w:rsidR="00CF1D81">
        <w:t>[44]</w:t>
      </w:r>
      <w:r w:rsidR="00F21C0E">
        <w:fldChar w:fldCharType="end"/>
      </w:r>
      <w:r w:rsidR="00F21C0E">
        <w:t>:</w:t>
      </w:r>
      <w:r w:rsidR="009F6216">
        <w:t xml:space="preserve"> </w:t>
      </w:r>
      <w:r w:rsidR="000C18F9">
        <w:t>SDD độ III</w:t>
      </w:r>
      <w:r w:rsidR="00952168">
        <w:t xml:space="preserve"> BMI &lt;16</w:t>
      </w:r>
      <w:r w:rsidR="009F6216">
        <w:t xml:space="preserve">; </w:t>
      </w:r>
      <w:r w:rsidR="000C18F9">
        <w:t>SDD độ II</w:t>
      </w:r>
      <w:r w:rsidR="00952168">
        <w:t xml:space="preserve"> BMI 16 </w:t>
      </w:r>
      <w:r w:rsidR="0042568B">
        <w:t>đến</w:t>
      </w:r>
      <w:r w:rsidR="00952168">
        <w:t xml:space="preserve"> 16.99</w:t>
      </w:r>
      <w:r w:rsidR="009F6216">
        <w:t xml:space="preserve">; </w:t>
      </w:r>
      <w:r w:rsidR="000C18F9">
        <w:t>SDD độ I</w:t>
      </w:r>
      <w:r w:rsidR="00952168">
        <w:t xml:space="preserve"> BMI 17 </w:t>
      </w:r>
      <w:r w:rsidR="0042568B">
        <w:t>đến</w:t>
      </w:r>
      <w:r w:rsidR="00952168">
        <w:t xml:space="preserve"> 18,49</w:t>
      </w:r>
      <w:r w:rsidR="009F6216">
        <w:t>; b</w:t>
      </w:r>
      <w:r w:rsidR="000C18F9">
        <w:t>ình thường</w:t>
      </w:r>
      <w:r w:rsidR="00952168">
        <w:t xml:space="preserve"> BMI 18,5 </w:t>
      </w:r>
      <w:r w:rsidR="0042568B">
        <w:t>đến</w:t>
      </w:r>
      <w:r w:rsidR="00952168">
        <w:t xml:space="preserve"> 24.99</w:t>
      </w:r>
      <w:r w:rsidR="009F6216">
        <w:t>; t</w:t>
      </w:r>
      <w:r w:rsidR="000C18F9">
        <w:t xml:space="preserve">hừa cân – </w:t>
      </w:r>
      <w:r w:rsidR="009F6216">
        <w:t>b</w:t>
      </w:r>
      <w:r w:rsidR="000C18F9">
        <w:t>éo phì</w:t>
      </w:r>
      <w:r w:rsidR="00952168">
        <w:t xml:space="preserve"> BMI ≥25</w:t>
      </w:r>
      <w:r w:rsidR="009F6216">
        <w:t>.</w:t>
      </w:r>
    </w:p>
    <w:p w14:paraId="0B366AA6" w14:textId="6EE6ADCA" w:rsidR="009F6216" w:rsidRDefault="009F6216" w:rsidP="009F6216">
      <w:r>
        <w:t xml:space="preserve">- Phân loại </w:t>
      </w:r>
      <w:r w:rsidR="00755356">
        <w:t>SDD</w:t>
      </w:r>
      <w:r>
        <w:t xml:space="preserve"> theo </w:t>
      </w:r>
      <w:r w:rsidRPr="004C7996">
        <w:t xml:space="preserve">SGA phân loại </w:t>
      </w:r>
      <w:r>
        <w:t>thành 3 nhóm</w:t>
      </w:r>
      <w:r w:rsidRPr="004C7996">
        <w:t xml:space="preserve"> </w:t>
      </w:r>
      <w:r>
        <w:t>không suy dinh dưỡng</w:t>
      </w:r>
      <w:r w:rsidRPr="004C7996">
        <w:t xml:space="preserve"> (SGA A), </w:t>
      </w:r>
      <w:r>
        <w:t>SDD</w:t>
      </w:r>
      <w:r w:rsidRPr="004C7996">
        <w:t xml:space="preserve"> nhẹ/trung bình (SGA B) hoặc </w:t>
      </w:r>
      <w:r>
        <w:t>SDD</w:t>
      </w:r>
      <w:r w:rsidRPr="004C7996">
        <w:t xml:space="preserve"> </w:t>
      </w:r>
      <w:r>
        <w:t>nặng</w:t>
      </w:r>
      <w:r w:rsidRPr="004C7996">
        <w:t xml:space="preserve"> (SGA C)</w:t>
      </w:r>
      <w:r>
        <w:t xml:space="preserve"> </w:t>
      </w:r>
      <w:r>
        <w:fldChar w:fldCharType="begin"/>
      </w:r>
      <w:r>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fldChar w:fldCharType="separate"/>
      </w:r>
      <w:r>
        <w:t>[45]</w:t>
      </w:r>
      <w:r>
        <w:fldChar w:fldCharType="end"/>
      </w:r>
      <w:r w:rsidR="00726817">
        <w:t>.</w:t>
      </w:r>
    </w:p>
    <w:p w14:paraId="41AA222B" w14:textId="41A61B8D" w:rsidR="009F6216" w:rsidRPr="00FE3A7D" w:rsidRDefault="009F6216" w:rsidP="009F6216"/>
    <w:p w14:paraId="60CE36EC" w14:textId="512B566A" w:rsidR="00BF74E2" w:rsidRDefault="00BF74E2" w:rsidP="00F21C0E">
      <w:r>
        <w:lastRenderedPageBreak/>
        <w:t>Triệu chứng cơ năng:</w:t>
      </w:r>
    </w:p>
    <w:p w14:paraId="621DD3A0" w14:textId="3D82E0E9" w:rsidR="00BF74E2" w:rsidRDefault="003B4831" w:rsidP="00BF74E2">
      <w:r>
        <w:t>-</w:t>
      </w:r>
      <w:r w:rsidR="00BF74E2">
        <w:t xml:space="preserve"> Ho: đặc điểm ho (ho khan, ho có đờm, ho ra máu)</w:t>
      </w:r>
      <w:r w:rsidR="00EA360F">
        <w:t>.</w:t>
      </w:r>
    </w:p>
    <w:p w14:paraId="6EF50932" w14:textId="53EC5E1A" w:rsidR="00F476D6" w:rsidRDefault="003B4831" w:rsidP="00A01313">
      <w:r>
        <w:t>-</w:t>
      </w:r>
      <w:r w:rsidR="00BF74E2">
        <w:t xml:space="preserve"> </w:t>
      </w:r>
      <w:r w:rsidR="005C7EEE">
        <w:t>Mức độ</w:t>
      </w:r>
      <w:r w:rsidR="00BF74E2">
        <w:t xml:space="preserve"> ho ra máu</w:t>
      </w:r>
      <w:r w:rsidR="00A01313">
        <w:t xml:space="preserve"> và thời gian ho máu</w:t>
      </w:r>
      <w:r w:rsidR="00BF74E2">
        <w:t xml:space="preserve"> </w:t>
      </w:r>
      <w:r w:rsidR="008F05B5">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8F05B5">
        <w:fldChar w:fldCharType="separate"/>
      </w:r>
      <w:r w:rsidR="00652D6C">
        <w:t>[12]</w:t>
      </w:r>
      <w:r w:rsidR="008F05B5">
        <w:fldChar w:fldCharType="end"/>
      </w:r>
      <w:r w:rsidR="005C7EEE">
        <w:t xml:space="preserve">: </w:t>
      </w:r>
      <w:r w:rsidR="00CE5786">
        <w:t>h</w:t>
      </w:r>
      <w:r w:rsidR="00BF74E2">
        <w:t>o ra máu nhẹ</w:t>
      </w:r>
      <w:r w:rsidR="00CE5786">
        <w:t xml:space="preserve"> (</w:t>
      </w:r>
      <w:r w:rsidR="00BF74E2">
        <w:t>số lượng máu ho ra ít, chỉ vài ml đến dưới 50 ml trong 24</w:t>
      </w:r>
      <w:r w:rsidR="00CE5786">
        <w:t xml:space="preserve"> </w:t>
      </w:r>
      <w:r w:rsidR="00BF74E2">
        <w:t>giờ</w:t>
      </w:r>
      <w:r w:rsidR="00CE5786">
        <w:t>), h</w:t>
      </w:r>
      <w:r w:rsidR="00BF74E2">
        <w:t>o ra máu trung bình</w:t>
      </w:r>
      <w:r w:rsidR="00CE5786">
        <w:t xml:space="preserve"> (</w:t>
      </w:r>
      <w:r w:rsidR="00BF74E2">
        <w:t>số lượng máu ho ra từ 50ml đến dưới 200 ml trong</w:t>
      </w:r>
      <w:r w:rsidR="00CE5786">
        <w:t xml:space="preserve"> </w:t>
      </w:r>
      <w:r w:rsidR="00BF74E2">
        <w:t>24 giờ</w:t>
      </w:r>
      <w:r w:rsidR="00CE5786">
        <w:t>), h</w:t>
      </w:r>
      <w:r w:rsidR="00BF74E2">
        <w:t>o ra máu nặng</w:t>
      </w:r>
      <w:r w:rsidR="00CE5786">
        <w:t xml:space="preserve"> (</w:t>
      </w:r>
      <w:r w:rsidR="00BF74E2">
        <w:t>số lượng máu ho ra trên 200 ml trong 24 giờ</w:t>
      </w:r>
      <w:r w:rsidR="00CE5786">
        <w:t>)</w:t>
      </w:r>
      <w:r w:rsidR="00BF74E2">
        <w:t>.</w:t>
      </w:r>
    </w:p>
    <w:p w14:paraId="50337F77" w14:textId="25E1F3CE" w:rsidR="00BF74E2" w:rsidRDefault="00816600" w:rsidP="007823F4">
      <w:r>
        <w:t xml:space="preserve">- </w:t>
      </w:r>
      <w:r w:rsidR="00D71F64">
        <w:t>Triệu chứng k</w:t>
      </w:r>
      <w:r>
        <w:t>hó thở</w:t>
      </w:r>
      <w:r w:rsidR="007823F4">
        <w:t>, đ</w:t>
      </w:r>
      <w:r w:rsidR="00BF74E2">
        <w:t>au ngực.</w:t>
      </w:r>
    </w:p>
    <w:p w14:paraId="4B292A12" w14:textId="64D493C3" w:rsidR="00BF74E2" w:rsidRPr="00BF74E2" w:rsidRDefault="00BF74E2" w:rsidP="006E7D08">
      <w:r>
        <w:t xml:space="preserve">Triệu chứng thực thể hô hấp: hội chứng </w:t>
      </w:r>
      <w:r w:rsidR="00AC47DA">
        <w:t>3</w:t>
      </w:r>
      <w:r>
        <w:t xml:space="preserve"> giảm,</w:t>
      </w:r>
      <w:r w:rsidR="006E7D08">
        <w:t xml:space="preserve"> </w:t>
      </w:r>
      <w:r>
        <w:t>hội chứng đông đặc,</w:t>
      </w:r>
      <w:r w:rsidR="00AC47DA">
        <w:t xml:space="preserve"> sự biến dạng lồng ngực, </w:t>
      </w:r>
      <w:r>
        <w:t>các tiếng phổi bệnh lý</w:t>
      </w:r>
      <w:r w:rsidR="00AC47DA">
        <w:t xml:space="preserve"> (ran ẩm, ran nổ, ran rít, ran ngáy)</w:t>
      </w:r>
      <w:r w:rsidR="003320BB">
        <w:t>.</w:t>
      </w:r>
    </w:p>
    <w:p w14:paraId="18C38CA8" w14:textId="178D254D" w:rsidR="00CF536B" w:rsidRDefault="00CF536B" w:rsidP="00A73146">
      <w:pPr>
        <w:pStyle w:val="Heading4"/>
      </w:pPr>
      <w:bookmarkStart w:id="62" w:name="_Toc126527738"/>
      <w:r>
        <w:t xml:space="preserve">2.2.3.3. </w:t>
      </w:r>
      <w:r w:rsidR="00BF74E2">
        <w:t>Đặc điểm</w:t>
      </w:r>
      <w:r>
        <w:t xml:space="preserve"> cận lâm sàng của bệnh nhân nghiên cứu</w:t>
      </w:r>
      <w:bookmarkEnd w:id="62"/>
    </w:p>
    <w:p w14:paraId="35709F39" w14:textId="635342E3" w:rsidR="00A81B5B" w:rsidRDefault="00A81B5B" w:rsidP="00A81B5B">
      <w:r>
        <w:t xml:space="preserve">Xét nghiệm gene Xpert MTB/RIF: </w:t>
      </w:r>
      <w:r w:rsidR="00FC177B">
        <w:t>x</w:t>
      </w:r>
      <w:r>
        <w:t>ét nghiệm giúp chẩn đoán xác định lao phổi nhờ tìm đoạn gen IS 6110, đặc biệt là tìm đoạn gene rpoB trong chẩn đoán vi khuẩn lao kháng RMP được thực hiện tại khoa Xét nghiệm Bệnh viện Phổi Hải Phòng. Kết quả trả về là không có MTB, có MTB không kháng RMP, có MTB kháng RMP.</w:t>
      </w:r>
    </w:p>
    <w:p w14:paraId="1E818FC8" w14:textId="73B45838" w:rsidR="00B911CA" w:rsidRDefault="00B911CA" w:rsidP="001E2712">
      <w:r>
        <w:t xml:space="preserve">Nuôi cấy vi khuẩn lao và làm kháng sinh đồ: </w:t>
      </w:r>
      <w:r w:rsidR="00FC177B">
        <w:t>n</w:t>
      </w:r>
      <w:r>
        <w:t xml:space="preserve">uôi cấy đờm tìm vi khuẩn lao và định danh bằng kỹ thuật </w:t>
      </w:r>
      <w:r w:rsidR="00967EBC">
        <w:t>BACTEC MGIT</w:t>
      </w:r>
      <w:r>
        <w:t xml:space="preserve"> trên hệ thống </w:t>
      </w:r>
      <w:r w:rsidR="00967EBC">
        <w:t>BACTEC MGIT</w:t>
      </w:r>
      <w:r>
        <w:t xml:space="preserve"> 960 tại khoa Xét nghiệm Bệnh viện Phổi Hải</w:t>
      </w:r>
      <w:r w:rsidR="001E2712">
        <w:t xml:space="preserve"> </w:t>
      </w:r>
      <w:r>
        <w:t>Phòng</w:t>
      </w:r>
      <w:r w:rsidR="00FC177B">
        <w:t>.</w:t>
      </w:r>
      <w:r>
        <w:t xml:space="preserve"> Xác định tính nhạy cảm của các chủng vi khuẩn MTB được phân lập trên hệ</w:t>
      </w:r>
      <w:r w:rsidR="001E2712">
        <w:t xml:space="preserve"> </w:t>
      </w:r>
      <w:r>
        <w:t xml:space="preserve">thống </w:t>
      </w:r>
      <w:r w:rsidR="00967EBC">
        <w:t>BACTEC MGIT</w:t>
      </w:r>
      <w:r>
        <w:t xml:space="preserve"> 960 tại khoa Vi sinh và Labo lao chuẩn quốc gia – Bệnh</w:t>
      </w:r>
      <w:r w:rsidR="001E2712">
        <w:t xml:space="preserve"> </w:t>
      </w:r>
      <w:r>
        <w:t>viện Phổi Trung Ương. Kết quả sẽ trả lời nhạy hay kháng với các thuốc R</w:t>
      </w:r>
      <w:r w:rsidR="00691BE3">
        <w:t>MP</w:t>
      </w:r>
      <w:r>
        <w:t>,</w:t>
      </w:r>
      <w:r w:rsidR="00D55BC7">
        <w:t xml:space="preserve"> S</w:t>
      </w:r>
      <w:r w:rsidR="00691BE3">
        <w:t>M</w:t>
      </w:r>
      <w:r w:rsidR="00D55BC7">
        <w:t>,</w:t>
      </w:r>
      <w:r>
        <w:t xml:space="preserve"> </w:t>
      </w:r>
      <w:r w:rsidR="00691BE3">
        <w:t>IN</w:t>
      </w:r>
      <w:r>
        <w:t>H,</w:t>
      </w:r>
      <w:r w:rsidR="001E2712">
        <w:t xml:space="preserve"> </w:t>
      </w:r>
      <w:r>
        <w:t>E</w:t>
      </w:r>
      <w:r w:rsidR="00691BE3">
        <w:t>MB</w:t>
      </w:r>
      <w:r>
        <w:t>.</w:t>
      </w:r>
    </w:p>
    <w:p w14:paraId="71A4C1C2" w14:textId="7ECEE37A" w:rsidR="00EC0B9B" w:rsidRDefault="00662E7F" w:rsidP="00EC0B9B">
      <w:r>
        <w:t xml:space="preserve">Phân loại </w:t>
      </w:r>
      <w:r w:rsidR="00E80EC3">
        <w:t xml:space="preserve">tổn thương trên </w:t>
      </w:r>
      <w:r w:rsidR="00B911CA">
        <w:t>X</w:t>
      </w:r>
      <w:r w:rsidR="00326054">
        <w:t>-</w:t>
      </w:r>
      <w:r w:rsidR="00B911CA">
        <w:t>quang phổi thường quy</w:t>
      </w:r>
      <w:r w:rsidR="00EC0B9B">
        <w:t xml:space="preserve"> hay gặp</w:t>
      </w:r>
      <w:r w:rsidR="00E80EC3">
        <w:t xml:space="preserve"> </w:t>
      </w:r>
      <w:r w:rsidR="00EC0B9B">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D418EC">
        <w:instrText xml:space="preserve"> ADDIN EN.CITE </w:instrText>
      </w:r>
      <w:r w:rsidR="00D418EC">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D418EC">
        <w:instrText xml:space="preserve"> ADDIN EN.CITE.DATA </w:instrText>
      </w:r>
      <w:r w:rsidR="00D418EC">
        <w:fldChar w:fldCharType="end"/>
      </w:r>
      <w:r w:rsidR="00EC0B9B">
        <w:fldChar w:fldCharType="separate"/>
      </w:r>
      <w:r w:rsidR="00D418EC">
        <w:t>[12, 33, 34]</w:t>
      </w:r>
      <w:r w:rsidR="00EC0B9B">
        <w:fldChar w:fldCharType="end"/>
      </w:r>
      <w:r w:rsidR="00EC0B9B">
        <w:t>:</w:t>
      </w:r>
    </w:p>
    <w:p w14:paraId="15F1B72F" w14:textId="52E281B0" w:rsidR="0087620D" w:rsidRDefault="00EC0B9B" w:rsidP="00EC0B9B">
      <w:r>
        <w:lastRenderedPageBreak/>
        <w:t xml:space="preserve">- Nốt: </w:t>
      </w:r>
      <w:r w:rsidR="0087620D" w:rsidRPr="0087620D">
        <w:rPr>
          <w:rFonts w:ascii="TimesNewRomanPSMT" w:hAnsi="TimesNewRomanPSMT"/>
        </w:rPr>
        <w:t>có đậm độ khác nhau, đường kính ≤10 mm</w:t>
      </w:r>
      <w:r w:rsidR="0087620D">
        <w:t>.</w:t>
      </w:r>
    </w:p>
    <w:p w14:paraId="0FD7E74B" w14:textId="18530418" w:rsidR="00EC0B9B" w:rsidRPr="00E86D6D" w:rsidRDefault="00EC0B9B" w:rsidP="00EC0B9B">
      <w:pPr>
        <w:rPr>
          <w:rFonts w:ascii="TimesNewRomanPSMT" w:hAnsi="TimesNewRomanPSMT"/>
          <w:noProof w:val="0"/>
        </w:rPr>
      </w:pPr>
      <w:r>
        <w:t xml:space="preserve">- Thâm nhiễm: </w:t>
      </w:r>
      <w:r w:rsidRPr="00A27476">
        <w:rPr>
          <w:rFonts w:ascii="TimesNewRomanPSMT" w:hAnsi="TimesNewRomanPSMT"/>
        </w:rPr>
        <w:t>đám mờ đồng đều</w:t>
      </w:r>
      <w:r w:rsidR="007D708C">
        <w:rPr>
          <w:rFonts w:ascii="TimesNewRomanPSMT" w:hAnsi="TimesNewRomanPSMT"/>
        </w:rPr>
        <w:t>,</w:t>
      </w:r>
      <w:r w:rsidRPr="00A27476">
        <w:rPr>
          <w:rFonts w:ascii="TimesNewRomanPSMT" w:hAnsi="TimesNewRomanPSMT"/>
        </w:rPr>
        <w:t xml:space="preserve"> </w:t>
      </w:r>
      <w:r>
        <w:t>đường kính</w:t>
      </w:r>
      <w:r w:rsidR="00051C4C">
        <w:t xml:space="preserve"> &gt;</w:t>
      </w:r>
      <w:r>
        <w:t>10 mm.</w:t>
      </w:r>
    </w:p>
    <w:p w14:paraId="68D0EE60" w14:textId="78E6A190" w:rsidR="00EC0B9B" w:rsidRDefault="00EC0B9B" w:rsidP="00EC0B9B">
      <w:r>
        <w:t>- Hang: một hình sáng bờ khép kín kích thước to nhỏ khác nhau. Phân loại hang lao dựa trên kích thước, hang nhỏ &lt;2 cm, hang trung bình từ 2 cm đến &lt;4 cm, hang lớn từ 4 cm đến &lt;6 cm, hang khổng lồ ≥6 cm.</w:t>
      </w:r>
    </w:p>
    <w:p w14:paraId="42D10500" w14:textId="3A2AE17A" w:rsidR="0044545B" w:rsidRDefault="0044545B" w:rsidP="00EC0B9B">
      <w:pPr>
        <w:rPr>
          <w:rFonts w:ascii="TimesNewRomanPSMT" w:hAnsi="TimesNewRomanPSMT"/>
        </w:rPr>
      </w:pPr>
      <w:r>
        <w:t xml:space="preserve">- </w:t>
      </w:r>
      <w:r>
        <w:rPr>
          <w:rFonts w:ascii="TimesNewRomanPSMT" w:hAnsi="TimesNewRomanPSMT"/>
        </w:rPr>
        <w:t>X</w:t>
      </w:r>
      <w:r w:rsidRPr="0044545B">
        <w:rPr>
          <w:rFonts w:ascii="TimesNewRomanPSMT" w:hAnsi="TimesNewRomanPSMT"/>
        </w:rPr>
        <w:t>ơ: là những đường mờ</w:t>
      </w:r>
      <w:r>
        <w:rPr>
          <w:rFonts w:ascii="TimesNewRomanPSMT" w:hAnsi="TimesNewRomanPSMT"/>
        </w:rPr>
        <w:t xml:space="preserve"> </w:t>
      </w:r>
      <w:r w:rsidRPr="0044545B">
        <w:rPr>
          <w:rFonts w:ascii="TimesNewRomanPSMT" w:hAnsi="TimesNewRomanPSMT"/>
        </w:rPr>
        <w:t>có thể gây co kéo rốn phổi và các tổ chức xung quanh, rộng từ 0,5</w:t>
      </w:r>
      <w:r w:rsidR="00487F45">
        <w:rPr>
          <w:rFonts w:ascii="TimesNewRomanPSMT" w:hAnsi="TimesNewRomanPSMT"/>
        </w:rPr>
        <w:t xml:space="preserve"> đến </w:t>
      </w:r>
      <w:r w:rsidRPr="0044545B">
        <w:rPr>
          <w:rFonts w:ascii="TimesNewRomanPSMT" w:hAnsi="TimesNewRomanPSMT"/>
        </w:rPr>
        <w:t>1</w:t>
      </w:r>
      <w:r w:rsidR="002136A1">
        <w:rPr>
          <w:rFonts w:ascii="TimesNewRomanPSMT" w:hAnsi="TimesNewRomanPSMT"/>
        </w:rPr>
        <w:t xml:space="preserve"> </w:t>
      </w:r>
      <w:r w:rsidRPr="0044545B">
        <w:rPr>
          <w:rFonts w:ascii="TimesNewRomanPSMT" w:hAnsi="TimesNewRomanPSMT"/>
        </w:rPr>
        <w:t>mm thẳng hoặc cong</w:t>
      </w:r>
      <w:r>
        <w:rPr>
          <w:rFonts w:ascii="TimesNewRomanPSMT" w:hAnsi="TimesNewRomanPSMT"/>
        </w:rPr>
        <w:t>.</w:t>
      </w:r>
    </w:p>
    <w:p w14:paraId="2A0CED6F" w14:textId="1EBB3DCF" w:rsidR="00CB5911" w:rsidRDefault="00CB5911" w:rsidP="00EC0B9B">
      <w:pPr>
        <w:rPr>
          <w:rFonts w:ascii="TimesNewRomanPSMT" w:hAnsi="TimesNewRomanPSMT"/>
        </w:rPr>
      </w:pPr>
      <w:r w:rsidRPr="00CB5911">
        <w:rPr>
          <w:rFonts w:ascii="TimesNewRomanPSMT" w:hAnsi="TimesNewRomanPSMT"/>
        </w:rPr>
        <w:t>- Vôi hoá: là những nốt có đậm độ cao như xương</w:t>
      </w:r>
      <w:r>
        <w:rPr>
          <w:rFonts w:ascii="TimesNewRomanPSMT" w:hAnsi="TimesNewRomanPSMT"/>
        </w:rPr>
        <w:t>.</w:t>
      </w:r>
    </w:p>
    <w:p w14:paraId="674DAB70" w14:textId="61D74CBD" w:rsidR="00B911CA" w:rsidRDefault="00B911CA" w:rsidP="00B911CA">
      <w:r>
        <w:t>Phân mức độ lan rộng của tổn thương</w:t>
      </w:r>
      <w:r w:rsidR="00791EF3">
        <w:t xml:space="preserve"> trên X-quang phổi thường quy</w:t>
      </w:r>
      <w:r>
        <w:t xml:space="preserve"> </w:t>
      </w:r>
      <w:r w:rsidR="00F478E4">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478E4">
        <w:fldChar w:fldCharType="separate"/>
      </w:r>
      <w:r w:rsidR="00AE7B14">
        <w:t>[33]</w:t>
      </w:r>
      <w:r w:rsidR="00F478E4">
        <w:fldChar w:fldCharType="end"/>
      </w:r>
      <w:r>
        <w:t>:</w:t>
      </w:r>
    </w:p>
    <w:p w14:paraId="11815563" w14:textId="77777777" w:rsidR="00791EF3" w:rsidRDefault="00791EF3" w:rsidP="00791EF3">
      <w:r>
        <w:t>- Độ I: tổn thương tối thiểu không hang, độ lan rộng của tổn thương không vượt quá khối lượng tổ chức phổi nằm trên khớp ức sườn thứ hai và gai sống lưng thứ tư.</w:t>
      </w:r>
    </w:p>
    <w:p w14:paraId="29B56319" w14:textId="2A44F437" w:rsidR="00791EF3" w:rsidRDefault="00791EF3" w:rsidP="00791EF3">
      <w:r>
        <w:t>- Độ II: tổn thương vừa phải, tổn thương gián đoạn rải r</w:t>
      </w:r>
      <w:r w:rsidR="00D307F5">
        <w:t>á</w:t>
      </w:r>
      <w:r>
        <w:t>c, không vượt quá khối lượng một phổi hoặc đậm độ đồng nhất không vượt quá 1/3 khối lượng 1 phổi, tổng đường kính các hang &lt;4 cm.</w:t>
      </w:r>
    </w:p>
    <w:p w14:paraId="3E7D8F4F" w14:textId="342C9719" w:rsidR="00791EF3" w:rsidRDefault="00791EF3" w:rsidP="00A709F9">
      <w:r>
        <w:t>- Độ III: tổn thương rất quan trọng, rộng hơn độ II, tổng đường kính hang &gt;4 cm.</w:t>
      </w:r>
    </w:p>
    <w:p w14:paraId="181343AF" w14:textId="58E50991" w:rsidR="00B911CA" w:rsidRDefault="00B911CA" w:rsidP="00100CF9">
      <w:r>
        <w:t xml:space="preserve">Đánh giá về vị trí tổn thương trên </w:t>
      </w:r>
      <w:r w:rsidR="00454CDA">
        <w:t>X-</w:t>
      </w:r>
      <w:r>
        <w:t>quang phổi: theo Đỗ Đức Hiển lấy đường ngang đi qua rốn phổi chia thành: vùng trên, vùng dưới, cả trên và dưới</w:t>
      </w:r>
      <w:r w:rsidR="00013952">
        <w:t xml:space="preserve"> </w:t>
      </w:r>
      <w:r w:rsidR="00013952">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3952">
        <w:fldChar w:fldCharType="separate"/>
      </w:r>
      <w:r w:rsidR="00AE7B14">
        <w:t>[33]</w:t>
      </w:r>
      <w:r w:rsidR="00013952">
        <w:fldChar w:fldCharType="end"/>
      </w:r>
      <w:r>
        <w:t>.</w:t>
      </w:r>
    </w:p>
    <w:p w14:paraId="361858BB" w14:textId="1818489C" w:rsidR="00B911CA" w:rsidRDefault="00B911CA" w:rsidP="00B911CA">
      <w:r>
        <w:t>Các xét nghiệm thăm dò khác:</w:t>
      </w:r>
    </w:p>
    <w:p w14:paraId="149C684C" w14:textId="34C44511" w:rsidR="00B911CA" w:rsidRDefault="003669BB" w:rsidP="00C81695">
      <w:r>
        <w:lastRenderedPageBreak/>
        <w:t xml:space="preserve">- </w:t>
      </w:r>
      <w:r w:rsidR="00186BFD">
        <w:t>Phân loại m</w:t>
      </w:r>
      <w:r w:rsidR="00B911CA">
        <w:t>ức độ thiếu máu theo nồng độ huyết sắc tố</w:t>
      </w:r>
      <w:r w:rsidR="00E10716">
        <w:t xml:space="preserve"> Hemoglobin</w:t>
      </w:r>
      <w:r w:rsidR="00C81695">
        <w:t xml:space="preserve"> (Hb)</w:t>
      </w:r>
      <w:r w:rsidR="00B911CA">
        <w:t xml:space="preserve"> </w:t>
      </w:r>
      <w:r w:rsidR="00213BAA">
        <w:fldChar w:fldCharType="begin"/>
      </w:r>
      <w:r w:rsidR="00CF1D81">
        <w:instrText xml:space="preserve"> ADDIN EN.CITE &lt;EndNote&gt;&lt;Cite&gt;&lt;Author&gt;tế&lt;/Author&gt;&lt;Year&gt;2022&lt;/Year&gt;&lt;RecNum&gt;60&lt;/RecNum&gt;&lt;DisplayText&gt;[49]&lt;/DisplayText&gt;&lt;record&gt;&lt;rec-number&gt;60&lt;/rec-number&gt;&lt;foreign-keys&gt;&lt;key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CF1D81">
        <w:t>[49]</w:t>
      </w:r>
      <w:r w:rsidR="00213BAA">
        <w:fldChar w:fldCharType="end"/>
      </w:r>
      <w:r w:rsidR="00D17D29">
        <w:t>:</w:t>
      </w:r>
      <w:r w:rsidR="00C81695">
        <w:t xml:space="preserve"> t</w:t>
      </w:r>
      <w:r w:rsidR="00B911CA">
        <w:t>hiếu máu nặng</w:t>
      </w:r>
      <w:r w:rsidR="007F3DB9">
        <w:t xml:space="preserve"> </w:t>
      </w:r>
      <w:r w:rsidR="00C81695">
        <w:t>Hb</w:t>
      </w:r>
      <w:r w:rsidR="007F3DB9">
        <w:t xml:space="preserve"> </w:t>
      </w:r>
      <w:r w:rsidR="005274D3">
        <w:t>&lt;</w:t>
      </w:r>
      <w:r w:rsidR="00B911CA">
        <w:t>60 g</w:t>
      </w:r>
      <w:r w:rsidR="00726817">
        <w:t>/L</w:t>
      </w:r>
      <w:r w:rsidR="00C81695">
        <w:t>; t</w:t>
      </w:r>
      <w:r w:rsidR="00B911CA">
        <w:t>hiếu máu vừa</w:t>
      </w:r>
      <w:r w:rsidR="007F3DB9">
        <w:t xml:space="preserve"> </w:t>
      </w:r>
      <w:r w:rsidR="007702D7">
        <w:t>H</w:t>
      </w:r>
      <w:r w:rsidR="00C81695">
        <w:t>b</w:t>
      </w:r>
      <w:r w:rsidR="00B911CA">
        <w:t xml:space="preserve"> 60</w:t>
      </w:r>
      <w:r w:rsidR="004C19D2">
        <w:t xml:space="preserve"> </w:t>
      </w:r>
      <w:r w:rsidR="00C81695">
        <w:t>đến</w:t>
      </w:r>
      <w:r w:rsidR="007F3DB9">
        <w:t xml:space="preserve"> </w:t>
      </w:r>
      <w:r w:rsidR="005274D3">
        <w:t>&lt;</w:t>
      </w:r>
      <w:r w:rsidR="00B911CA">
        <w:t>90 g</w:t>
      </w:r>
      <w:r w:rsidR="00726817">
        <w:t>/L</w:t>
      </w:r>
      <w:r w:rsidR="00C81695">
        <w:t>; t</w:t>
      </w:r>
      <w:r w:rsidR="00B911CA">
        <w:t>hiếu máu nhẹ</w:t>
      </w:r>
      <w:r w:rsidR="007F3DB9">
        <w:t xml:space="preserve"> </w:t>
      </w:r>
      <w:r w:rsidR="007702D7">
        <w:t>H</w:t>
      </w:r>
      <w:r w:rsidR="00C81695">
        <w:t>b</w:t>
      </w:r>
      <w:r w:rsidR="007702D7">
        <w:t xml:space="preserve"> </w:t>
      </w:r>
      <w:r w:rsidR="00B911CA">
        <w:t xml:space="preserve">90 </w:t>
      </w:r>
      <w:r w:rsidR="00C81695">
        <w:t>đến</w:t>
      </w:r>
      <w:r w:rsidR="007F3DB9">
        <w:t xml:space="preserve"> </w:t>
      </w:r>
      <w:r w:rsidR="005274D3">
        <w:t>&lt;</w:t>
      </w:r>
      <w:r w:rsidR="00B911CA">
        <w:t>120 g</w:t>
      </w:r>
      <w:r w:rsidR="00726817">
        <w:t>/L</w:t>
      </w:r>
      <w:r w:rsidR="00C81695">
        <w:t>; k</w:t>
      </w:r>
      <w:r w:rsidR="00B911CA">
        <w:t>hông thiếu máu</w:t>
      </w:r>
      <w:r w:rsidR="00CA414C">
        <w:t xml:space="preserve"> </w:t>
      </w:r>
      <w:r w:rsidR="007702D7">
        <w:t>H</w:t>
      </w:r>
      <w:r w:rsidR="00C81695">
        <w:t>b</w:t>
      </w:r>
      <w:r w:rsidR="00CA414C">
        <w:t xml:space="preserve"> </w:t>
      </w:r>
      <w:r w:rsidR="0084672B">
        <w:t>≥</w:t>
      </w:r>
      <w:r w:rsidR="00B911CA">
        <w:t>120 g</w:t>
      </w:r>
      <w:r w:rsidR="00726817">
        <w:t>/L</w:t>
      </w:r>
      <w:r w:rsidR="00B911CA">
        <w:t>.</w:t>
      </w:r>
    </w:p>
    <w:p w14:paraId="47A08F93" w14:textId="60739166" w:rsidR="008F4FAD" w:rsidRDefault="003669BB" w:rsidP="00C81695">
      <w:r>
        <w:t xml:space="preserve">- </w:t>
      </w:r>
      <w:r w:rsidR="0067786E">
        <w:t>Phân loại m</w:t>
      </w:r>
      <w:r w:rsidR="00B911CA">
        <w:t>ức độ nhiễm trùng theo số lượng bạch cầu</w:t>
      </w:r>
      <w:r w:rsidR="008F4FAD">
        <w:t xml:space="preserve"> </w:t>
      </w:r>
      <w:r w:rsidR="008F4FAD">
        <w:fldChar w:fldCharType="begin"/>
      </w:r>
      <w:r w:rsidR="00CF1D81">
        <w:instrText xml:space="preserve"> ADDIN EN.CITE &lt;EndNote&gt;&lt;Cite&gt;&lt;Author&gt;Anh&lt;/Author&gt;&lt;Year&gt;2013&lt;/Year&gt;&lt;RecNum&gt;61&lt;/RecNum&gt;&lt;DisplayText&gt;[50]&lt;/DisplayText&gt;&lt;record&gt;&lt;rec-number&gt;61&lt;/rec-number&gt;&lt;foreign-keys&gt;&lt;key app="EN" db-id="ew0r25e5ieawfueddv3pf0sbaxx0fsraa9ft" timestamp="1677685184"&gt;61&lt;/key&gt;&lt;/foreign-keys&gt;&lt;ref-type name="Book"&gt;6&lt;/ref-type&gt;&lt;contributors&gt;&lt;authors&gt;&lt;author&gt;&lt;style face="normal" font="default" size="100%"&gt;Nguy&lt;/style&gt;&lt;style face="normal" font="default" charset="163" size="100%"&gt;ễn &lt;/style&gt;&lt;style face="normal" font="default" charset="238" size="100%"&gt;Đ&lt;/style&gt;&lt;style face="normal" font="default" charset="163" size="100%"&gt;ạt Anh&lt;/style&gt;&lt;/author&gt;&lt;author&gt;&lt;style face="normal" font="default" charset="163" size="100%"&gt;Nguyễn Thị H&lt;/style&gt;&lt;style face="normal" font="default" charset="238" size="100%"&gt;ương&lt;/style&gt;&lt;/author&gt;&lt;/authors&gt;&lt;/contributors&gt;&lt;titles&gt;&lt;title&gt;&lt;style face="normal" font="default" size="100%"&gt;Các xét nghi&lt;/style&gt;&lt;style face="normal" font="default" charset="163" size="100%"&gt;ệm th&lt;/style&gt;&lt;style face="normal" font="default" charset="238" size="100%"&gt;ư&lt;/style&gt;&lt;style face="normal" font="default" charset="163" size="100%"&gt;ờng quy ứng dụng trong thực h&lt;/style&gt;&lt;style face="normal" font="default" size="100%"&gt;ành lâm sàng&lt;/style&gt;&lt;/title&gt;&lt;/titles&gt;&lt;dates&gt;&lt;year&gt;2013&lt;/year&gt;&lt;/dates&gt;&lt;publisher&gt;&lt;style face="normal" font="default" size="100%"&gt;Nhà xu&lt;/style&gt;&lt;style face="normal" font="default" charset="163" size="100%"&gt;ất bản Y học&lt;/style&gt;&lt;/publisher&gt;&lt;urls&gt;&lt;/urls&gt;&lt;language&gt;vie&lt;/language&gt;&lt;/record&gt;&lt;/Cite&gt;&lt;/EndNote&gt;</w:instrText>
      </w:r>
      <w:r w:rsidR="008F4FAD">
        <w:fldChar w:fldCharType="separate"/>
      </w:r>
      <w:r w:rsidR="00CF1D81">
        <w:t>[50]</w:t>
      </w:r>
      <w:r w:rsidR="008F4FAD">
        <w:fldChar w:fldCharType="end"/>
      </w:r>
      <w:r w:rsidR="00B911CA">
        <w:t>:</w:t>
      </w:r>
      <w:r w:rsidR="00C81695">
        <w:t xml:space="preserve"> g</w:t>
      </w:r>
      <w:r w:rsidR="008F4FAD">
        <w:t>iảm số lượng bạch cầu &lt;4 G</w:t>
      </w:r>
      <w:r w:rsidR="00726817">
        <w:t>/L</w:t>
      </w:r>
      <w:r w:rsidR="00C81695">
        <w:t>; b</w:t>
      </w:r>
      <w:r w:rsidR="00B911CA">
        <w:t>ình</w:t>
      </w:r>
      <w:r w:rsidR="00D17D29">
        <w:t xml:space="preserve"> </w:t>
      </w:r>
      <w:r w:rsidR="00B911CA">
        <w:t>thường</w:t>
      </w:r>
      <w:r w:rsidR="008F4FAD">
        <w:t xml:space="preserve"> số lượng bạch cầu</w:t>
      </w:r>
      <w:r w:rsidR="00B911CA">
        <w:t xml:space="preserve"> 4 </w:t>
      </w:r>
      <w:r w:rsidR="00C81695">
        <w:t>đến</w:t>
      </w:r>
      <w:r w:rsidR="004C19D2">
        <w:t xml:space="preserve"> </w:t>
      </w:r>
      <w:r w:rsidR="00B911CA">
        <w:t>10 G</w:t>
      </w:r>
      <w:r w:rsidR="00726817">
        <w:t>/L</w:t>
      </w:r>
      <w:r w:rsidR="00C81695">
        <w:t>;</w:t>
      </w:r>
      <w:r w:rsidR="00B911CA">
        <w:t xml:space="preserve"> </w:t>
      </w:r>
      <w:r w:rsidR="00C81695">
        <w:t>t</w:t>
      </w:r>
      <w:r w:rsidR="00B911CA">
        <w:t>ăng</w:t>
      </w:r>
      <w:r w:rsidR="008F4FAD">
        <w:t xml:space="preserve"> số lượng bạch cầu</w:t>
      </w:r>
      <w:r w:rsidR="007F4838">
        <w:t xml:space="preserve"> </w:t>
      </w:r>
      <w:r w:rsidR="00B911CA">
        <w:t>&gt;10 G</w:t>
      </w:r>
      <w:r w:rsidR="00726817">
        <w:t>/L</w:t>
      </w:r>
      <w:r w:rsidR="00B911CA">
        <w:t xml:space="preserve"> </w:t>
      </w:r>
    </w:p>
    <w:p w14:paraId="12711ADC" w14:textId="4AD309FF" w:rsidR="00720ED1" w:rsidRDefault="00720ED1" w:rsidP="00D17D29">
      <w:r>
        <w:t xml:space="preserve">- </w:t>
      </w:r>
      <w:r w:rsidR="00C279B8">
        <w:t>Tỷ lệ</w:t>
      </w:r>
      <w:r w:rsidR="008973AE">
        <w:t xml:space="preserve"> bạch cầu</w:t>
      </w:r>
      <w:r w:rsidR="00C279B8">
        <w:t xml:space="preserve"> trung tính (NEU) và tỷ lệ bạch cầu Lympho</w:t>
      </w:r>
      <w:r w:rsidR="008973AE">
        <w:t>.</w:t>
      </w:r>
    </w:p>
    <w:p w14:paraId="76D34DA9" w14:textId="43A28B68" w:rsidR="0021161E" w:rsidRDefault="00720ED1" w:rsidP="00D17D29">
      <w:r>
        <w:t xml:space="preserve">- </w:t>
      </w:r>
      <w:r w:rsidR="00C21042">
        <w:t xml:space="preserve">Hóa sinh máu: </w:t>
      </w:r>
      <w:r w:rsidR="004A26C7">
        <w:t>đ</w:t>
      </w:r>
      <w:r w:rsidR="002546B3">
        <w:t>ịnh lượng A</w:t>
      </w:r>
      <w:r w:rsidR="00C21042">
        <w:t xml:space="preserve">lbumin, </w:t>
      </w:r>
      <w:r w:rsidR="002546B3">
        <w:t>P</w:t>
      </w:r>
      <w:r w:rsidR="00C21042">
        <w:t>rotein,</w:t>
      </w:r>
      <w:r w:rsidR="00B94808">
        <w:t xml:space="preserve"> men gan (</w:t>
      </w:r>
      <w:r w:rsidR="00C21042">
        <w:t>SGOT, SGPT</w:t>
      </w:r>
      <w:r w:rsidR="00B94808">
        <w:t>), chức năng thận (</w:t>
      </w:r>
      <w:r w:rsidR="002546B3">
        <w:t>U</w:t>
      </w:r>
      <w:r w:rsidR="00B94808">
        <w:t xml:space="preserve">re, </w:t>
      </w:r>
      <w:r w:rsidR="002546B3">
        <w:t>C</w:t>
      </w:r>
      <w:r w:rsidR="00B94808">
        <w:t>reatinin)</w:t>
      </w:r>
      <w:r w:rsidR="0021161E">
        <w:t>.</w:t>
      </w:r>
    </w:p>
    <w:p w14:paraId="35A6F4E4" w14:textId="3367B952" w:rsidR="00B75088" w:rsidRDefault="00B9405E" w:rsidP="00C23165">
      <w:pPr>
        <w:pStyle w:val="Heading3"/>
      </w:pPr>
      <w:bookmarkStart w:id="63" w:name="_Toc126527739"/>
      <w:r>
        <w:t>2.</w:t>
      </w:r>
      <w:r w:rsidR="003775AB">
        <w:t>2</w:t>
      </w:r>
      <w:r w:rsidR="00B75088" w:rsidRPr="00B75088">
        <w:t>.</w:t>
      </w:r>
      <w:r w:rsidR="002A0BD0">
        <w:t>4</w:t>
      </w:r>
      <w:r w:rsidR="00B75088" w:rsidRPr="00B75088">
        <w:t xml:space="preserve">. Phương pháp thu thập </w:t>
      </w:r>
      <w:r w:rsidR="00413016">
        <w:t>thông tin</w:t>
      </w:r>
      <w:bookmarkEnd w:id="63"/>
    </w:p>
    <w:p w14:paraId="2D3D44D9" w14:textId="61795C86" w:rsidR="00164A05" w:rsidRPr="00164A05" w:rsidRDefault="00D901F8" w:rsidP="00D901F8">
      <w:r>
        <w:t>Thu thập thông tin từ hồ sơ bệnh án lao phổi mới lưu tại phòng Kế hoạch tổng hợp Bệnh viện Phổi Hải Phòng 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dư, nghề nghiệp, lý do vào viện, tiền sử bệnh khác, </w:t>
      </w:r>
      <w:r w:rsidR="008F33D1">
        <w:t xml:space="preserve">tiền sử gia đình, tiền sử xã hội, </w:t>
      </w:r>
      <w:r w:rsidRPr="005D14CF">
        <w:rPr>
          <w:lang w:val="vi-VN"/>
        </w:rPr>
        <w:t xml:space="preserve">triệu chứng cơ năng, triệu chứng toàn thân, triệu chứng thực thể, </w:t>
      </w:r>
      <w:r w:rsidR="00AF6731">
        <w:t xml:space="preserve">đặc điểm </w:t>
      </w:r>
      <w:r w:rsidRPr="005D14CF">
        <w:rPr>
          <w:lang w:val="vi-VN"/>
        </w:rPr>
        <w:t>X</w:t>
      </w:r>
      <w:r w:rsidR="00AF6731">
        <w:t>-</w:t>
      </w:r>
      <w:r w:rsidRPr="005D14CF">
        <w:rPr>
          <w:lang w:val="vi-VN"/>
        </w:rPr>
        <w:t xml:space="preserve">quang, kháng sinh đồ. Ghi chép kết quả tỉ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64" w:name="_Toc126527740"/>
      <w:r w:rsidRPr="00525EFF">
        <w:t>2.</w:t>
      </w:r>
      <w:r w:rsidR="00097AB9">
        <w:t>2</w:t>
      </w:r>
      <w:r w:rsidR="00555C79">
        <w:t>.</w:t>
      </w:r>
      <w:r w:rsidRPr="00525EFF">
        <w:t xml:space="preserve">5. Sai số </w:t>
      </w:r>
      <w:r w:rsidR="0049153A">
        <w:t>và khống chế sai số</w:t>
      </w:r>
      <w:bookmarkEnd w:id="64"/>
    </w:p>
    <w:p w14:paraId="0305B7A5" w14:textId="2A4784DB" w:rsidR="00097AB9" w:rsidRDefault="00DC04AC" w:rsidP="00E3091F">
      <w:pPr>
        <w:pStyle w:val="Heading4"/>
      </w:pPr>
      <w:bookmarkStart w:id="65" w:name="_Toc126527741"/>
      <w:r>
        <w:t>2.2.5.1. Sai số</w:t>
      </w:r>
      <w:r w:rsidR="002C6CDF">
        <w:t xml:space="preserve"> trong nghiên cứu</w:t>
      </w:r>
      <w:bookmarkEnd w:id="65"/>
    </w:p>
    <w:p w14:paraId="251276FD" w14:textId="2CFC75FE" w:rsidR="00E3091F" w:rsidRDefault="00E3091F" w:rsidP="00E3091F">
      <w:r>
        <w:t>Sai số ngẫu nhiên: sai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66" w:name="_Toc126527742"/>
      <w:r>
        <w:lastRenderedPageBreak/>
        <w:t>2.2.5.2. Biện pháp khống chế sai số</w:t>
      </w:r>
      <w:bookmarkEnd w:id="66"/>
    </w:p>
    <w:p w14:paraId="52C879F6" w14:textId="3B482BAF" w:rsidR="00A57497" w:rsidRDefault="00A57497" w:rsidP="00A57497">
      <w:r>
        <w:t xml:space="preserve">Biện pháp khắc phục sai số ngẫu nhiên: </w:t>
      </w:r>
      <w:r w:rsidR="002446AE">
        <w:t>d</w:t>
      </w:r>
      <w:r>
        <w:t>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67" w:name="_Toc126527743"/>
      <w:r>
        <w:t>2</w:t>
      </w:r>
      <w:r w:rsidR="00525EFF" w:rsidRPr="00525EFF">
        <w:t>.</w:t>
      </w:r>
      <w:r w:rsidR="00097AB9">
        <w:t>2</w:t>
      </w:r>
      <w:r>
        <w:t>.</w:t>
      </w:r>
      <w:r w:rsidR="00525EFF" w:rsidRPr="00525EFF">
        <w:t xml:space="preserve">6. </w:t>
      </w:r>
      <w:r w:rsidR="004D5B63">
        <w:t>Phương pháp xử lý, phân tích số liệu</w:t>
      </w:r>
      <w:bookmarkEnd w:id="67"/>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2533F207" w:rsidR="0055567B" w:rsidRDefault="00525EFF" w:rsidP="00D3407A">
      <w:r w:rsidRPr="00525EFF">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2D5504">
        <w:t>, tính và so sánh hai trị số trung bình bằng test T</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p</w:t>
      </w:r>
      <w:r w:rsidR="00201C94">
        <w:t xml:space="preserve"> </w:t>
      </w:r>
      <w:r w:rsidRPr="00525EFF">
        <w:t>&lt;0</w:t>
      </w:r>
      <w:r w:rsidR="00F349AF">
        <w:t>,</w:t>
      </w:r>
      <w:r w:rsidRPr="00525EFF">
        <w:t>05</w:t>
      </w:r>
      <w:r w:rsidR="006C4507">
        <w:t>.</w:t>
      </w:r>
    </w:p>
    <w:p w14:paraId="692B63B2" w14:textId="66D930D8" w:rsidR="00525EFF" w:rsidRPr="00525EFF" w:rsidRDefault="0055567B" w:rsidP="00C23165">
      <w:pPr>
        <w:pStyle w:val="Heading3"/>
      </w:pPr>
      <w:bookmarkStart w:id="68" w:name="_Toc126527744"/>
      <w:r>
        <w:t>2.</w:t>
      </w:r>
      <w:r w:rsidR="00097AB9">
        <w:t>2</w:t>
      </w:r>
      <w:r w:rsidR="00525EFF" w:rsidRPr="00525EFF">
        <w:t>.7. Đạo đức nghiên cứu</w:t>
      </w:r>
      <w:bookmarkEnd w:id="68"/>
    </w:p>
    <w:p w14:paraId="7584CBF3" w14:textId="3FF0704A"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trường Đại học Y Dược Hải Phòng xét duyệt và sự cho phép của </w:t>
      </w:r>
      <w:r w:rsidR="003F6F2B">
        <w:rPr>
          <w:lang w:eastAsia="zh-CN"/>
        </w:rPr>
        <w:t>Ban l</w:t>
      </w:r>
      <w:r w:rsidRPr="005D14CF">
        <w:rPr>
          <w:lang w:val="vi-VN" w:eastAsia="zh-CN"/>
        </w:rPr>
        <w:t>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5AA5FB51" w14:textId="0DE0F6BB" w:rsidR="009212D1" w:rsidRPr="00DD0884" w:rsidRDefault="00525EFF" w:rsidP="00DD0884">
      <w:pPr>
        <w:tabs>
          <w:tab w:val="left" w:pos="284"/>
        </w:tabs>
        <w:spacing w:after="0"/>
        <w:ind w:firstLine="567"/>
        <w:rPr>
          <w:lang w:val="nb-NO"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3CFBA2A7" w14:textId="4FAC1294" w:rsidR="00525EFF" w:rsidRDefault="00E95696" w:rsidP="00C23165">
      <w:pPr>
        <w:pStyle w:val="Heading1"/>
      </w:pPr>
      <w:bookmarkStart w:id="69" w:name="_Toc126527745"/>
      <w:bookmarkStart w:id="70" w:name="_Toc133590778"/>
      <w:r>
        <w:lastRenderedPageBreak/>
        <w:t xml:space="preserve">– </w:t>
      </w:r>
      <w:bookmarkStart w:id="71" w:name="_Hlk133567599"/>
      <w:r>
        <w:t>KẾT QUẢ</w:t>
      </w:r>
      <w:bookmarkEnd w:id="69"/>
      <w:bookmarkEnd w:id="70"/>
    </w:p>
    <w:p w14:paraId="5C7F1388" w14:textId="746DE2DF" w:rsidR="00490F67" w:rsidRDefault="005D70BA" w:rsidP="00C23165">
      <w:pPr>
        <w:pStyle w:val="Heading2"/>
      </w:pPr>
      <w:bookmarkStart w:id="72" w:name="_Toc126527746"/>
      <w:bookmarkStart w:id="73" w:name="_Toc133590779"/>
      <w:r>
        <w:t xml:space="preserve">3.1. </w:t>
      </w:r>
      <w:r w:rsidR="00490F67">
        <w:t>Đặc điểm chung của đối tượng nghiên cứu</w:t>
      </w:r>
      <w:bookmarkEnd w:id="73"/>
    </w:p>
    <w:p w14:paraId="712481EB" w14:textId="76D91BF0" w:rsidR="00007F57" w:rsidRDefault="00007F57" w:rsidP="00007F57">
      <w:pPr>
        <w:pStyle w:val="Heading3"/>
      </w:pPr>
      <w:r>
        <w:t>3.1.1. Phân bố theo nhóm tuổi</w:t>
      </w:r>
      <w:r w:rsidR="008E306D">
        <w:t xml:space="preserve"> và giới</w:t>
      </w:r>
    </w:p>
    <w:p w14:paraId="2099146D" w14:textId="2D67DCE8" w:rsidR="00007F57" w:rsidRDefault="000A1A5C" w:rsidP="000A1A5C">
      <w:pPr>
        <w:pStyle w:val="Caption"/>
      </w:pPr>
      <w:bookmarkStart w:id="74" w:name="_Toc133590744"/>
      <w:r>
        <w:t xml:space="preserve">Bảng </w:t>
      </w:r>
      <w:r>
        <w:fldChar w:fldCharType="begin"/>
      </w:r>
      <w:r>
        <w:instrText xml:space="preserve"> STYLEREF 1 \s </w:instrText>
      </w:r>
      <w:r>
        <w:fldChar w:fldCharType="separate"/>
      </w:r>
      <w:r>
        <w:t>3</w:t>
      </w:r>
      <w:r>
        <w:fldChar w:fldCharType="end"/>
      </w:r>
      <w:r>
        <w:t>.</w:t>
      </w:r>
      <w:r>
        <w:fldChar w:fldCharType="begin"/>
      </w:r>
      <w:r>
        <w:instrText xml:space="preserve"> SEQ Bảng \* ARABIC \s 1 </w:instrText>
      </w:r>
      <w:r>
        <w:fldChar w:fldCharType="separate"/>
      </w:r>
      <w:r>
        <w:t>1</w:t>
      </w:r>
      <w:r>
        <w:fldChar w:fldCharType="end"/>
      </w:r>
      <w:r w:rsidR="00007F57">
        <w:t>. Phân bố theo nhóm tuổi</w:t>
      </w:r>
      <w:r w:rsidR="008E306D">
        <w:t xml:space="preserve"> và giới</w:t>
      </w:r>
      <w:bookmarkEnd w:id="74"/>
    </w:p>
    <w:tbl>
      <w:tblPr>
        <w:tblStyle w:val="Style1"/>
        <w:tblW w:w="5000" w:type="pct"/>
        <w:tblLook w:val="01E0" w:firstRow="1" w:lastRow="1" w:firstColumn="1" w:lastColumn="1" w:noHBand="0" w:noVBand="0"/>
      </w:tblPr>
      <w:tblGrid>
        <w:gridCol w:w="2426"/>
        <w:gridCol w:w="1709"/>
        <w:gridCol w:w="1709"/>
        <w:gridCol w:w="1891"/>
        <w:gridCol w:w="1376"/>
      </w:tblGrid>
      <w:tr w:rsidR="00A203F7" w:rsidRPr="004847C4" w14:paraId="1C902B1C" w14:textId="77777777" w:rsidTr="00431008">
        <w:trPr>
          <w:trHeight w:val="480"/>
        </w:trPr>
        <w:tc>
          <w:tcPr>
            <w:tcW w:w="1331" w:type="pct"/>
            <w:vMerge w:val="restart"/>
            <w:tcBorders>
              <w:tl2br w:val="single" w:sz="4" w:space="0" w:color="auto"/>
            </w:tcBorders>
          </w:tcPr>
          <w:p w14:paraId="6392179C" w14:textId="77FC0F45" w:rsidR="00A203F7" w:rsidRPr="00EC682C" w:rsidRDefault="00A203F7" w:rsidP="00C425FE">
            <w:pPr>
              <w:tabs>
                <w:tab w:val="left" w:pos="284"/>
              </w:tabs>
              <w:spacing w:after="0" w:line="360" w:lineRule="auto"/>
              <w:jc w:val="right"/>
              <w:rPr>
                <w:b/>
              </w:rPr>
            </w:pPr>
            <w:r>
              <w:rPr>
                <w:b/>
              </w:rPr>
              <w:t>Bệnh nhân</w:t>
            </w:r>
          </w:p>
          <w:p w14:paraId="76A09655" w14:textId="77777777" w:rsidR="00A203F7" w:rsidRPr="004847C4" w:rsidRDefault="00A203F7" w:rsidP="00C425FE">
            <w:pPr>
              <w:tabs>
                <w:tab w:val="left" w:pos="284"/>
              </w:tabs>
              <w:spacing w:after="0" w:line="360" w:lineRule="auto"/>
              <w:rPr>
                <w:b/>
                <w:lang w:val="vi-VN"/>
              </w:rPr>
            </w:pPr>
            <w:r w:rsidRPr="004847C4">
              <w:rPr>
                <w:b/>
                <w:lang w:val="vi-VN"/>
              </w:rPr>
              <w:t>Tuổi</w:t>
            </w:r>
          </w:p>
        </w:tc>
        <w:tc>
          <w:tcPr>
            <w:tcW w:w="2914" w:type="pct"/>
            <w:gridSpan w:val="3"/>
          </w:tcPr>
          <w:p w14:paraId="1F61D143" w14:textId="28FF1CE1" w:rsidR="00A203F7" w:rsidRPr="00B91414" w:rsidRDefault="00A203F7" w:rsidP="00A526FD">
            <w:pPr>
              <w:tabs>
                <w:tab w:val="left" w:pos="284"/>
              </w:tabs>
              <w:spacing w:after="0" w:line="360" w:lineRule="auto"/>
              <w:jc w:val="center"/>
              <w:rPr>
                <w:b/>
              </w:rPr>
            </w:pPr>
            <w:r>
              <w:rPr>
                <w:b/>
              </w:rPr>
              <w:t>Giới</w:t>
            </w:r>
          </w:p>
        </w:tc>
        <w:tc>
          <w:tcPr>
            <w:tcW w:w="755" w:type="pct"/>
            <w:vMerge w:val="restart"/>
            <w:vAlign w:val="center"/>
          </w:tcPr>
          <w:p w14:paraId="1F8DC375" w14:textId="432175DA" w:rsidR="00A203F7" w:rsidRPr="004847C4" w:rsidRDefault="00A203F7" w:rsidP="00064742">
            <w:pPr>
              <w:tabs>
                <w:tab w:val="left" w:pos="284"/>
              </w:tabs>
              <w:spacing w:after="0" w:line="360" w:lineRule="auto"/>
              <w:jc w:val="center"/>
              <w:rPr>
                <w:b/>
                <w:lang w:val="vi-VN"/>
              </w:rPr>
            </w:pPr>
            <w:r w:rsidRPr="004847C4">
              <w:rPr>
                <w:b/>
                <w:lang w:val="vi-VN"/>
              </w:rPr>
              <w:t>p</w:t>
            </w:r>
          </w:p>
        </w:tc>
      </w:tr>
      <w:tr w:rsidR="00064742" w:rsidRPr="004847C4" w14:paraId="2AC10091" w14:textId="77777777" w:rsidTr="001F5E21">
        <w:trPr>
          <w:trHeight w:val="606"/>
        </w:trPr>
        <w:tc>
          <w:tcPr>
            <w:tcW w:w="1331" w:type="pct"/>
            <w:vMerge/>
            <w:tcBorders>
              <w:tl2br w:val="single" w:sz="4" w:space="0" w:color="auto"/>
            </w:tcBorders>
          </w:tcPr>
          <w:p w14:paraId="61D28F36" w14:textId="77777777" w:rsidR="00323A16" w:rsidRPr="004847C4" w:rsidRDefault="00323A16" w:rsidP="00C425FE">
            <w:pPr>
              <w:tabs>
                <w:tab w:val="left" w:pos="284"/>
              </w:tabs>
              <w:spacing w:after="0" w:line="360" w:lineRule="auto"/>
              <w:jc w:val="right"/>
              <w:rPr>
                <w:lang w:val="vi-VN"/>
              </w:rPr>
            </w:pPr>
          </w:p>
        </w:tc>
        <w:tc>
          <w:tcPr>
            <w:tcW w:w="938" w:type="pct"/>
          </w:tcPr>
          <w:p w14:paraId="02AF93CC" w14:textId="413F834A" w:rsidR="00323A16" w:rsidRPr="00296058" w:rsidRDefault="00336595" w:rsidP="00064742">
            <w:pPr>
              <w:tabs>
                <w:tab w:val="left" w:pos="284"/>
              </w:tabs>
              <w:spacing w:after="0" w:line="360" w:lineRule="auto"/>
              <w:jc w:val="center"/>
              <w:rPr>
                <w:b/>
              </w:rPr>
            </w:pPr>
            <w:r>
              <w:rPr>
                <w:b/>
              </w:rPr>
              <w:t>Nam</w:t>
            </w:r>
            <w:r w:rsidR="00064742">
              <w:rPr>
                <w:b/>
              </w:rPr>
              <w:t xml:space="preserve"> </w:t>
            </w:r>
            <w:r w:rsidR="00296058">
              <w:rPr>
                <w:b/>
              </w:rPr>
              <w:t>(</w:t>
            </w:r>
            <w:r w:rsidR="00323A16">
              <w:rPr>
                <w:b/>
              </w:rPr>
              <w:t xml:space="preserve">n, </w:t>
            </w:r>
            <w:r w:rsidR="00323A16" w:rsidRPr="004847C4">
              <w:rPr>
                <w:b/>
                <w:lang w:val="vi-VN"/>
              </w:rPr>
              <w:t>%</w:t>
            </w:r>
            <w:r w:rsidR="00296058">
              <w:rPr>
                <w:b/>
              </w:rPr>
              <w:t>)</w:t>
            </w:r>
          </w:p>
        </w:tc>
        <w:tc>
          <w:tcPr>
            <w:tcW w:w="938" w:type="pct"/>
          </w:tcPr>
          <w:p w14:paraId="4EE80340" w14:textId="5A26EBDD" w:rsidR="00323A16" w:rsidRPr="00336595" w:rsidRDefault="00336595" w:rsidP="00064742">
            <w:pPr>
              <w:tabs>
                <w:tab w:val="left" w:pos="284"/>
              </w:tabs>
              <w:spacing w:after="0" w:line="360" w:lineRule="auto"/>
              <w:jc w:val="center"/>
              <w:rPr>
                <w:b/>
              </w:rPr>
            </w:pPr>
            <w:r>
              <w:rPr>
                <w:b/>
              </w:rPr>
              <w:t>Nữ</w:t>
            </w:r>
            <w:r w:rsidR="00064742">
              <w:rPr>
                <w:b/>
              </w:rPr>
              <w:t xml:space="preserve"> </w:t>
            </w:r>
            <w:r>
              <w:rPr>
                <w:b/>
              </w:rPr>
              <w:t>(</w:t>
            </w:r>
            <w:r w:rsidR="00323A16" w:rsidRPr="004847C4">
              <w:rPr>
                <w:b/>
                <w:lang w:val="vi-VN"/>
              </w:rPr>
              <w:t>n</w:t>
            </w:r>
            <w:r>
              <w:rPr>
                <w:b/>
              </w:rPr>
              <w:t xml:space="preserve">, </w:t>
            </w:r>
            <w:r w:rsidR="00323A16" w:rsidRPr="004847C4">
              <w:rPr>
                <w:b/>
                <w:lang w:val="vi-VN"/>
              </w:rPr>
              <w:t>%</w:t>
            </w:r>
            <w:r>
              <w:rPr>
                <w:b/>
              </w:rPr>
              <w:t>)</w:t>
            </w:r>
          </w:p>
        </w:tc>
        <w:tc>
          <w:tcPr>
            <w:tcW w:w="1038" w:type="pct"/>
          </w:tcPr>
          <w:p w14:paraId="45472A88" w14:textId="281227BF" w:rsidR="00323A16" w:rsidRPr="0024604A" w:rsidRDefault="00A203F7" w:rsidP="00064742">
            <w:pPr>
              <w:tabs>
                <w:tab w:val="left" w:pos="284"/>
              </w:tabs>
              <w:spacing w:after="0" w:line="360" w:lineRule="auto"/>
              <w:jc w:val="center"/>
              <w:rPr>
                <w:b/>
              </w:rPr>
            </w:pPr>
            <w:r>
              <w:rPr>
                <w:b/>
              </w:rPr>
              <w:t>Chung</w:t>
            </w:r>
            <w:r w:rsidR="00064742">
              <w:rPr>
                <w:b/>
              </w:rPr>
              <w:t xml:space="preserve"> </w:t>
            </w:r>
            <w:r w:rsidR="0024604A">
              <w:rPr>
                <w:b/>
              </w:rPr>
              <w:t>(</w:t>
            </w:r>
            <w:r w:rsidR="00323A16" w:rsidRPr="004847C4">
              <w:rPr>
                <w:b/>
                <w:lang w:val="vi-VN"/>
              </w:rPr>
              <w:t>n</w:t>
            </w:r>
            <w:r w:rsidR="0024604A">
              <w:rPr>
                <w:b/>
              </w:rPr>
              <w:t xml:space="preserve">, </w:t>
            </w:r>
            <w:r w:rsidR="00323A16" w:rsidRPr="004847C4">
              <w:rPr>
                <w:b/>
                <w:lang w:val="vi-VN"/>
              </w:rPr>
              <w:t>%</w:t>
            </w:r>
            <w:r w:rsidR="0024604A">
              <w:rPr>
                <w:b/>
              </w:rPr>
              <w:t>)</w:t>
            </w:r>
          </w:p>
        </w:tc>
        <w:tc>
          <w:tcPr>
            <w:tcW w:w="755" w:type="pct"/>
            <w:vMerge/>
          </w:tcPr>
          <w:p w14:paraId="5637839D" w14:textId="77777777" w:rsidR="00323A16" w:rsidRPr="004847C4" w:rsidRDefault="00323A16" w:rsidP="00C425FE">
            <w:pPr>
              <w:tabs>
                <w:tab w:val="left" w:pos="284"/>
              </w:tabs>
              <w:spacing w:after="0" w:line="360" w:lineRule="auto"/>
              <w:jc w:val="center"/>
              <w:rPr>
                <w:lang w:val="vi-VN"/>
              </w:rPr>
            </w:pPr>
          </w:p>
        </w:tc>
      </w:tr>
      <w:tr w:rsidR="00B95E1E" w:rsidRPr="004847C4" w14:paraId="4FBD0433" w14:textId="77777777" w:rsidTr="001F5E21">
        <w:trPr>
          <w:trHeight w:val="483"/>
        </w:trPr>
        <w:tc>
          <w:tcPr>
            <w:tcW w:w="1331" w:type="pct"/>
          </w:tcPr>
          <w:p w14:paraId="493F8F0B" w14:textId="79AFDF01" w:rsidR="00B95E1E" w:rsidRPr="004847C4" w:rsidRDefault="00B95E1E" w:rsidP="00323A16">
            <w:pPr>
              <w:tabs>
                <w:tab w:val="left" w:pos="284"/>
              </w:tabs>
              <w:spacing w:after="0" w:line="360" w:lineRule="auto"/>
              <w:jc w:val="center"/>
              <w:rPr>
                <w:lang w:val="vi-VN"/>
              </w:rPr>
            </w:pPr>
            <w:r>
              <w:t>15 – 29 tuổi</w:t>
            </w:r>
          </w:p>
        </w:tc>
        <w:tc>
          <w:tcPr>
            <w:tcW w:w="938" w:type="pct"/>
          </w:tcPr>
          <w:p w14:paraId="39CD6A7F" w14:textId="30316BAE" w:rsidR="00B95E1E" w:rsidRPr="00A526FD" w:rsidRDefault="00B95E1E" w:rsidP="00A526FD">
            <w:pPr>
              <w:tabs>
                <w:tab w:val="left" w:pos="284"/>
              </w:tabs>
              <w:spacing w:after="0" w:line="360" w:lineRule="auto"/>
              <w:jc w:val="center"/>
            </w:pPr>
            <w:r>
              <w:t>19 (7</w:t>
            </w:r>
            <w:r w:rsidRPr="004847C4">
              <w:rPr>
                <w:lang w:val="vi-VN"/>
              </w:rPr>
              <w:t>,</w:t>
            </w:r>
            <w:r>
              <w:t>6%)</w:t>
            </w:r>
          </w:p>
        </w:tc>
        <w:tc>
          <w:tcPr>
            <w:tcW w:w="938" w:type="pct"/>
          </w:tcPr>
          <w:p w14:paraId="50A04087" w14:textId="412F8266" w:rsidR="00B95E1E" w:rsidRPr="00A526FD" w:rsidRDefault="00B95E1E" w:rsidP="00A526FD">
            <w:pPr>
              <w:tabs>
                <w:tab w:val="left" w:pos="284"/>
              </w:tabs>
              <w:spacing w:after="0" w:line="360" w:lineRule="auto"/>
              <w:jc w:val="center"/>
            </w:pPr>
            <w:r>
              <w:t>15 (6</w:t>
            </w:r>
            <w:r w:rsidRPr="004847C4">
              <w:rPr>
                <w:lang w:val="vi-VN"/>
              </w:rPr>
              <w:t>,</w:t>
            </w:r>
            <w:r>
              <w:t>0%)</w:t>
            </w:r>
          </w:p>
        </w:tc>
        <w:tc>
          <w:tcPr>
            <w:tcW w:w="1038" w:type="pct"/>
          </w:tcPr>
          <w:p w14:paraId="3B5CFDDD" w14:textId="6A80F253" w:rsidR="00B95E1E" w:rsidRPr="004847C4" w:rsidRDefault="00B95E1E" w:rsidP="00A203F7">
            <w:pPr>
              <w:tabs>
                <w:tab w:val="left" w:pos="284"/>
              </w:tabs>
              <w:spacing w:after="0" w:line="360" w:lineRule="auto"/>
              <w:jc w:val="center"/>
              <w:rPr>
                <w:lang w:val="vi-VN"/>
              </w:rPr>
            </w:pPr>
            <w:r>
              <w:t>34</w:t>
            </w:r>
            <w:r>
              <w:t xml:space="preserve"> (</w:t>
            </w:r>
            <w:r>
              <w:t>13.6</w:t>
            </w:r>
            <w:r>
              <w:t>%)</w:t>
            </w:r>
          </w:p>
        </w:tc>
        <w:tc>
          <w:tcPr>
            <w:tcW w:w="755" w:type="pct"/>
            <w:vMerge w:val="restart"/>
            <w:vAlign w:val="center"/>
          </w:tcPr>
          <w:p w14:paraId="39719312" w14:textId="321D31D1" w:rsidR="00B95E1E" w:rsidRPr="00B95E1E" w:rsidRDefault="00FC4E37" w:rsidP="00B95E1E">
            <w:pPr>
              <w:tabs>
                <w:tab w:val="left" w:pos="284"/>
              </w:tabs>
              <w:spacing w:after="0" w:line="360" w:lineRule="auto"/>
              <w:jc w:val="center"/>
            </w:pPr>
            <w:r>
              <w:t xml:space="preserve">p </w:t>
            </w:r>
            <w:r w:rsidR="00B95E1E">
              <w:t>=</w:t>
            </w:r>
            <w:r>
              <w:t xml:space="preserve"> </w:t>
            </w:r>
            <w:r w:rsidR="00B95E1E" w:rsidRPr="004847C4">
              <w:rPr>
                <w:lang w:val="vi-VN"/>
              </w:rPr>
              <w:t>0,</w:t>
            </w:r>
            <w:r w:rsidR="00B95E1E">
              <w:t>026</w:t>
            </w:r>
          </w:p>
          <w:p w14:paraId="7983C8D8" w14:textId="6A649726" w:rsidR="00B95E1E" w:rsidRPr="004847C4" w:rsidRDefault="00B95E1E" w:rsidP="00B95E1E">
            <w:pPr>
              <w:tabs>
                <w:tab w:val="left" w:pos="284"/>
              </w:tabs>
              <w:spacing w:after="0" w:line="360" w:lineRule="auto"/>
              <w:jc w:val="center"/>
              <w:rPr>
                <w:lang w:val="vi-VN"/>
              </w:rPr>
            </w:pPr>
          </w:p>
        </w:tc>
      </w:tr>
      <w:tr w:rsidR="00B95E1E" w:rsidRPr="004847C4" w14:paraId="5DB5FA59" w14:textId="77777777" w:rsidTr="001F5E21">
        <w:trPr>
          <w:trHeight w:val="483"/>
        </w:trPr>
        <w:tc>
          <w:tcPr>
            <w:tcW w:w="1331" w:type="pct"/>
            <w:hideMark/>
          </w:tcPr>
          <w:p w14:paraId="2156EA93" w14:textId="24860599" w:rsidR="00B95E1E" w:rsidRPr="004847C4" w:rsidRDefault="00B95E1E" w:rsidP="00323A16">
            <w:pPr>
              <w:tabs>
                <w:tab w:val="left" w:pos="284"/>
              </w:tabs>
              <w:spacing w:after="0" w:line="360" w:lineRule="auto"/>
              <w:jc w:val="center"/>
              <w:rPr>
                <w:lang w:val="vi-VN"/>
              </w:rPr>
            </w:pPr>
            <w:r>
              <w:t>30</w:t>
            </w:r>
            <w:r w:rsidRPr="00203D68">
              <w:t xml:space="preserve"> – </w:t>
            </w:r>
            <w:r>
              <w:t>3</w:t>
            </w:r>
            <w:r w:rsidRPr="00203D68">
              <w:t>9 tuổi</w:t>
            </w:r>
          </w:p>
        </w:tc>
        <w:tc>
          <w:tcPr>
            <w:tcW w:w="938" w:type="pct"/>
          </w:tcPr>
          <w:p w14:paraId="118F3A0D" w14:textId="28F921F1" w:rsidR="00B95E1E" w:rsidRPr="004847C4" w:rsidRDefault="00B95E1E" w:rsidP="00323A16">
            <w:pPr>
              <w:tabs>
                <w:tab w:val="left" w:pos="284"/>
              </w:tabs>
              <w:spacing w:after="0" w:line="360" w:lineRule="auto"/>
              <w:jc w:val="center"/>
              <w:rPr>
                <w:lang w:val="vi-VN"/>
              </w:rPr>
            </w:pPr>
            <w:r>
              <w:t>20</w:t>
            </w:r>
            <w:r>
              <w:t xml:space="preserve"> (</w:t>
            </w:r>
            <w:r>
              <w:t>8%</w:t>
            </w:r>
            <w:r>
              <w:t>)</w:t>
            </w:r>
          </w:p>
        </w:tc>
        <w:tc>
          <w:tcPr>
            <w:tcW w:w="938" w:type="pct"/>
          </w:tcPr>
          <w:p w14:paraId="6D3C8110" w14:textId="68246171" w:rsidR="00B95E1E" w:rsidRPr="004847C4" w:rsidRDefault="00B95E1E" w:rsidP="00323A16">
            <w:pPr>
              <w:tabs>
                <w:tab w:val="left" w:pos="284"/>
              </w:tabs>
              <w:spacing w:after="0" w:line="360" w:lineRule="auto"/>
              <w:jc w:val="center"/>
              <w:rPr>
                <w:lang w:val="vi-VN"/>
              </w:rPr>
            </w:pPr>
            <w:r>
              <w:t>12</w:t>
            </w:r>
            <w:r>
              <w:t xml:space="preserve"> (</w:t>
            </w:r>
            <w:r>
              <w:t>3.8%</w:t>
            </w:r>
            <w:r>
              <w:t>)</w:t>
            </w:r>
          </w:p>
        </w:tc>
        <w:tc>
          <w:tcPr>
            <w:tcW w:w="1038" w:type="pct"/>
          </w:tcPr>
          <w:p w14:paraId="64A50382" w14:textId="5773B6C4" w:rsidR="00B95E1E" w:rsidRPr="004847C4" w:rsidRDefault="00B95E1E" w:rsidP="00A5365B">
            <w:pPr>
              <w:tabs>
                <w:tab w:val="left" w:pos="284"/>
              </w:tabs>
              <w:spacing w:after="0" w:line="360" w:lineRule="auto"/>
              <w:jc w:val="center"/>
              <w:rPr>
                <w:lang w:val="vi-VN"/>
              </w:rPr>
            </w:pPr>
            <w:r>
              <w:t>32</w:t>
            </w:r>
            <w:r>
              <w:t xml:space="preserve"> (</w:t>
            </w:r>
            <w:r>
              <w:t>12.8</w:t>
            </w:r>
            <w:r>
              <w:t>%)</w:t>
            </w:r>
          </w:p>
        </w:tc>
        <w:tc>
          <w:tcPr>
            <w:tcW w:w="755" w:type="pct"/>
            <w:vMerge/>
          </w:tcPr>
          <w:p w14:paraId="298490DB" w14:textId="1416601A" w:rsidR="00B95E1E" w:rsidRPr="004847C4" w:rsidRDefault="00B95E1E" w:rsidP="00323A16">
            <w:pPr>
              <w:tabs>
                <w:tab w:val="left" w:pos="284"/>
              </w:tabs>
              <w:spacing w:after="0" w:line="360" w:lineRule="auto"/>
              <w:rPr>
                <w:lang w:val="vi-VN"/>
              </w:rPr>
            </w:pPr>
          </w:p>
        </w:tc>
      </w:tr>
      <w:tr w:rsidR="00B95E1E" w:rsidRPr="005D14CF" w14:paraId="171B76D4" w14:textId="77777777" w:rsidTr="001F5E21">
        <w:trPr>
          <w:trHeight w:val="483"/>
        </w:trPr>
        <w:tc>
          <w:tcPr>
            <w:tcW w:w="1331" w:type="pct"/>
            <w:hideMark/>
          </w:tcPr>
          <w:p w14:paraId="29520B8A" w14:textId="2029BD90" w:rsidR="00B95E1E" w:rsidRPr="004847C4" w:rsidRDefault="00B95E1E" w:rsidP="00323A16">
            <w:pPr>
              <w:tabs>
                <w:tab w:val="left" w:pos="284"/>
              </w:tabs>
              <w:spacing w:after="0" w:line="360" w:lineRule="auto"/>
              <w:jc w:val="center"/>
              <w:rPr>
                <w:lang w:val="vi-VN"/>
              </w:rPr>
            </w:pPr>
            <w:r>
              <w:t>40</w:t>
            </w:r>
            <w:r w:rsidRPr="00203D68">
              <w:t xml:space="preserve"> – </w:t>
            </w:r>
            <w:r>
              <w:t>4</w:t>
            </w:r>
            <w:r w:rsidRPr="00203D68">
              <w:t>9 tuổi</w:t>
            </w:r>
          </w:p>
        </w:tc>
        <w:tc>
          <w:tcPr>
            <w:tcW w:w="938" w:type="pct"/>
          </w:tcPr>
          <w:p w14:paraId="260871C1" w14:textId="2110F677" w:rsidR="00B95E1E" w:rsidRPr="005D14CF" w:rsidRDefault="00B95E1E" w:rsidP="00323A16">
            <w:pPr>
              <w:tabs>
                <w:tab w:val="left" w:pos="284"/>
              </w:tabs>
              <w:spacing w:after="0" w:line="360" w:lineRule="auto"/>
              <w:jc w:val="center"/>
            </w:pPr>
            <w:r>
              <w:t>41</w:t>
            </w:r>
            <w:r>
              <w:t xml:space="preserve"> (</w:t>
            </w:r>
            <w:r>
              <w:t>16.4%</w:t>
            </w:r>
            <w:r>
              <w:t>)</w:t>
            </w:r>
          </w:p>
        </w:tc>
        <w:tc>
          <w:tcPr>
            <w:tcW w:w="938" w:type="pct"/>
          </w:tcPr>
          <w:p w14:paraId="1330F1BF" w14:textId="2491B58C" w:rsidR="00B95E1E" w:rsidRPr="005D14CF" w:rsidRDefault="00B95E1E" w:rsidP="00323A16">
            <w:pPr>
              <w:tabs>
                <w:tab w:val="left" w:pos="284"/>
              </w:tabs>
              <w:spacing w:after="0" w:line="360" w:lineRule="auto"/>
              <w:jc w:val="center"/>
            </w:pPr>
            <w:r>
              <w:t>13</w:t>
            </w:r>
            <w:r>
              <w:t xml:space="preserve"> (</w:t>
            </w:r>
            <w:r>
              <w:t>5.2%</w:t>
            </w:r>
            <w:r>
              <w:t>)</w:t>
            </w:r>
          </w:p>
        </w:tc>
        <w:tc>
          <w:tcPr>
            <w:tcW w:w="1038" w:type="pct"/>
          </w:tcPr>
          <w:p w14:paraId="2096D1DA" w14:textId="25F07EF7" w:rsidR="00B95E1E" w:rsidRPr="005D14CF" w:rsidRDefault="00B95E1E" w:rsidP="006D7350">
            <w:pPr>
              <w:tabs>
                <w:tab w:val="left" w:pos="284"/>
              </w:tabs>
              <w:spacing w:after="0" w:line="360" w:lineRule="auto"/>
              <w:jc w:val="center"/>
            </w:pPr>
            <w:r>
              <w:t>54</w:t>
            </w:r>
            <w:r>
              <w:t xml:space="preserve"> (</w:t>
            </w:r>
            <w:r>
              <w:t>21.6</w:t>
            </w:r>
            <w:r>
              <w:t>%)</w:t>
            </w:r>
          </w:p>
        </w:tc>
        <w:tc>
          <w:tcPr>
            <w:tcW w:w="755" w:type="pct"/>
            <w:vMerge/>
          </w:tcPr>
          <w:p w14:paraId="54FD5E67" w14:textId="2B3CC4E4" w:rsidR="00B95E1E" w:rsidRPr="005D14CF" w:rsidRDefault="00B95E1E" w:rsidP="00323A16">
            <w:pPr>
              <w:tabs>
                <w:tab w:val="left" w:pos="284"/>
              </w:tabs>
              <w:spacing w:after="0" w:line="360" w:lineRule="auto"/>
            </w:pPr>
          </w:p>
        </w:tc>
      </w:tr>
      <w:tr w:rsidR="00B95E1E" w:rsidRPr="005D14CF" w14:paraId="51A083EB" w14:textId="77777777" w:rsidTr="001F5E21">
        <w:trPr>
          <w:trHeight w:val="483"/>
        </w:trPr>
        <w:tc>
          <w:tcPr>
            <w:tcW w:w="1331" w:type="pct"/>
            <w:hideMark/>
          </w:tcPr>
          <w:p w14:paraId="13AA5B97" w14:textId="26624E69" w:rsidR="00B95E1E" w:rsidRPr="005D14CF" w:rsidRDefault="00B95E1E" w:rsidP="00323A16">
            <w:pPr>
              <w:tabs>
                <w:tab w:val="left" w:pos="284"/>
              </w:tabs>
              <w:spacing w:after="0" w:line="360" w:lineRule="auto"/>
              <w:jc w:val="center"/>
            </w:pPr>
            <w:r>
              <w:t>50</w:t>
            </w:r>
            <w:r w:rsidRPr="00203D68">
              <w:t xml:space="preserve"> – </w:t>
            </w:r>
            <w:r>
              <w:t>5</w:t>
            </w:r>
            <w:r w:rsidRPr="00203D68">
              <w:t>9 tuổi</w:t>
            </w:r>
          </w:p>
        </w:tc>
        <w:tc>
          <w:tcPr>
            <w:tcW w:w="938" w:type="pct"/>
          </w:tcPr>
          <w:p w14:paraId="51239C5E" w14:textId="5FB19E22" w:rsidR="00B95E1E" w:rsidRPr="005D14CF" w:rsidRDefault="00B95E1E" w:rsidP="00323A16">
            <w:pPr>
              <w:tabs>
                <w:tab w:val="left" w:pos="284"/>
              </w:tabs>
              <w:spacing w:after="0" w:line="360" w:lineRule="auto"/>
              <w:jc w:val="center"/>
            </w:pPr>
            <w:r>
              <w:t>41</w:t>
            </w:r>
            <w:r>
              <w:t xml:space="preserve"> (</w:t>
            </w:r>
            <w:r>
              <w:t>16.4%</w:t>
            </w:r>
            <w:r>
              <w:t>)</w:t>
            </w:r>
          </w:p>
        </w:tc>
        <w:tc>
          <w:tcPr>
            <w:tcW w:w="938" w:type="pct"/>
          </w:tcPr>
          <w:p w14:paraId="58AAD2A8" w14:textId="03E20C91" w:rsidR="00B95E1E" w:rsidRPr="005D14CF" w:rsidRDefault="00B95E1E" w:rsidP="00323A16">
            <w:pPr>
              <w:tabs>
                <w:tab w:val="left" w:pos="284"/>
              </w:tabs>
              <w:spacing w:after="0" w:line="360" w:lineRule="auto"/>
              <w:jc w:val="center"/>
            </w:pPr>
            <w:r>
              <w:t>7</w:t>
            </w:r>
            <w:r>
              <w:t xml:space="preserve"> (</w:t>
            </w:r>
            <w:r>
              <w:t>2.8%</w:t>
            </w:r>
            <w:r>
              <w:t>)</w:t>
            </w:r>
          </w:p>
        </w:tc>
        <w:tc>
          <w:tcPr>
            <w:tcW w:w="1038" w:type="pct"/>
          </w:tcPr>
          <w:p w14:paraId="06B4E50F" w14:textId="7F9B3EC4" w:rsidR="00B95E1E" w:rsidRPr="005D14CF" w:rsidRDefault="00B95E1E" w:rsidP="00A04D0A">
            <w:pPr>
              <w:tabs>
                <w:tab w:val="left" w:pos="284"/>
              </w:tabs>
              <w:spacing w:after="0" w:line="360" w:lineRule="auto"/>
              <w:jc w:val="center"/>
            </w:pPr>
            <w:r>
              <w:t>48</w:t>
            </w:r>
            <w:r>
              <w:t xml:space="preserve"> (</w:t>
            </w:r>
            <w:r>
              <w:t>19.2</w:t>
            </w:r>
            <w:r>
              <w:t>%)</w:t>
            </w:r>
          </w:p>
        </w:tc>
        <w:tc>
          <w:tcPr>
            <w:tcW w:w="755" w:type="pct"/>
            <w:vMerge/>
          </w:tcPr>
          <w:p w14:paraId="64C41683" w14:textId="7CB3CA9E" w:rsidR="00B95E1E" w:rsidRPr="005D14CF" w:rsidRDefault="00B95E1E" w:rsidP="00323A16">
            <w:pPr>
              <w:tabs>
                <w:tab w:val="left" w:pos="284"/>
              </w:tabs>
              <w:spacing w:after="0" w:line="360" w:lineRule="auto"/>
            </w:pPr>
          </w:p>
        </w:tc>
      </w:tr>
      <w:tr w:rsidR="00B95E1E" w:rsidRPr="005D14CF" w14:paraId="3600C205" w14:textId="77777777" w:rsidTr="001F5E21">
        <w:trPr>
          <w:trHeight w:val="483"/>
        </w:trPr>
        <w:tc>
          <w:tcPr>
            <w:tcW w:w="1331" w:type="pct"/>
            <w:hideMark/>
          </w:tcPr>
          <w:p w14:paraId="15F1B088" w14:textId="1B1BF85C" w:rsidR="00B95E1E" w:rsidRPr="005D14CF" w:rsidRDefault="00B95E1E" w:rsidP="00323A16">
            <w:pPr>
              <w:tabs>
                <w:tab w:val="left" w:pos="284"/>
              </w:tabs>
              <w:spacing w:after="0" w:line="360" w:lineRule="auto"/>
              <w:jc w:val="center"/>
            </w:pPr>
            <w:r>
              <w:t>≥60</w:t>
            </w:r>
            <w:r w:rsidRPr="00203D68">
              <w:t xml:space="preserve"> tuổi</w:t>
            </w:r>
          </w:p>
        </w:tc>
        <w:tc>
          <w:tcPr>
            <w:tcW w:w="938" w:type="pct"/>
          </w:tcPr>
          <w:p w14:paraId="58936722" w14:textId="125F2DA3" w:rsidR="00B95E1E" w:rsidRPr="005D14CF" w:rsidRDefault="00B95E1E" w:rsidP="00323A16">
            <w:pPr>
              <w:tabs>
                <w:tab w:val="left" w:pos="284"/>
              </w:tabs>
              <w:spacing w:after="0" w:line="360" w:lineRule="auto"/>
              <w:jc w:val="center"/>
            </w:pPr>
            <w:r>
              <w:t>62</w:t>
            </w:r>
            <w:r>
              <w:t xml:space="preserve"> (</w:t>
            </w:r>
            <w:r>
              <w:t>24.8%</w:t>
            </w:r>
            <w:r>
              <w:t>)</w:t>
            </w:r>
          </w:p>
        </w:tc>
        <w:tc>
          <w:tcPr>
            <w:tcW w:w="938" w:type="pct"/>
          </w:tcPr>
          <w:p w14:paraId="56C9BEBE" w14:textId="0C6055D9" w:rsidR="00B95E1E" w:rsidRPr="005D14CF" w:rsidRDefault="00B95E1E" w:rsidP="00323A16">
            <w:pPr>
              <w:tabs>
                <w:tab w:val="left" w:pos="284"/>
              </w:tabs>
              <w:spacing w:after="0" w:line="360" w:lineRule="auto"/>
              <w:jc w:val="center"/>
            </w:pPr>
            <w:r>
              <w:t>20</w:t>
            </w:r>
            <w:r>
              <w:t xml:space="preserve"> (</w:t>
            </w:r>
            <w:r>
              <w:t>8.0%</w:t>
            </w:r>
            <w:r>
              <w:t>)</w:t>
            </w:r>
          </w:p>
        </w:tc>
        <w:tc>
          <w:tcPr>
            <w:tcW w:w="1038" w:type="pct"/>
          </w:tcPr>
          <w:p w14:paraId="7325A6A9" w14:textId="029B453B" w:rsidR="00B95E1E" w:rsidRPr="005D14CF" w:rsidRDefault="00B95E1E" w:rsidP="00531479">
            <w:pPr>
              <w:tabs>
                <w:tab w:val="left" w:pos="284"/>
              </w:tabs>
              <w:spacing w:after="0" w:line="360" w:lineRule="auto"/>
              <w:jc w:val="center"/>
            </w:pPr>
            <w:r>
              <w:t>82</w:t>
            </w:r>
            <w:r>
              <w:t xml:space="preserve"> (</w:t>
            </w:r>
            <w:r>
              <w:t>32.8</w:t>
            </w:r>
            <w:r>
              <w:t>5%)</w:t>
            </w:r>
          </w:p>
        </w:tc>
        <w:tc>
          <w:tcPr>
            <w:tcW w:w="755" w:type="pct"/>
            <w:vMerge/>
          </w:tcPr>
          <w:p w14:paraId="06779E4E" w14:textId="3D52EACE" w:rsidR="00B95E1E" w:rsidRPr="005D14CF" w:rsidRDefault="00B95E1E" w:rsidP="00323A16">
            <w:pPr>
              <w:tabs>
                <w:tab w:val="left" w:pos="284"/>
              </w:tabs>
              <w:spacing w:after="0" w:line="360" w:lineRule="auto"/>
            </w:pPr>
          </w:p>
        </w:tc>
      </w:tr>
      <w:tr w:rsidR="00B95E1E" w:rsidRPr="005D14CF" w14:paraId="2E81ADA5" w14:textId="77777777" w:rsidTr="001F5E21">
        <w:trPr>
          <w:trHeight w:val="483"/>
        </w:trPr>
        <w:tc>
          <w:tcPr>
            <w:tcW w:w="1331" w:type="pct"/>
            <w:hideMark/>
          </w:tcPr>
          <w:p w14:paraId="56200FAF" w14:textId="5BB6B108" w:rsidR="00B95E1E" w:rsidRPr="005D14CF" w:rsidRDefault="00B95E1E" w:rsidP="00323A16">
            <w:pPr>
              <w:tabs>
                <w:tab w:val="left" w:pos="284"/>
              </w:tabs>
              <w:spacing w:after="0" w:line="360" w:lineRule="auto"/>
              <w:jc w:val="center"/>
            </w:pPr>
            <w:r>
              <w:t>Tổng</w:t>
            </w:r>
          </w:p>
        </w:tc>
        <w:tc>
          <w:tcPr>
            <w:tcW w:w="938" w:type="pct"/>
          </w:tcPr>
          <w:p w14:paraId="27068C8F" w14:textId="48EDB7F8" w:rsidR="00B95E1E" w:rsidRPr="005D14CF" w:rsidRDefault="000515B4" w:rsidP="00323A16">
            <w:pPr>
              <w:tabs>
                <w:tab w:val="left" w:pos="284"/>
              </w:tabs>
              <w:spacing w:after="0" w:line="360" w:lineRule="auto"/>
              <w:jc w:val="center"/>
            </w:pPr>
            <w:r>
              <w:t>183 (</w:t>
            </w:r>
            <w:r w:rsidR="00B95E1E">
              <w:t>73.2%</w:t>
            </w:r>
            <w:r>
              <w:t>)</w:t>
            </w:r>
          </w:p>
        </w:tc>
        <w:tc>
          <w:tcPr>
            <w:tcW w:w="938" w:type="pct"/>
          </w:tcPr>
          <w:p w14:paraId="414B1793" w14:textId="43650CDA" w:rsidR="00B95E1E" w:rsidRPr="005D14CF" w:rsidRDefault="000515B4" w:rsidP="00323A16">
            <w:pPr>
              <w:tabs>
                <w:tab w:val="left" w:pos="284"/>
              </w:tabs>
              <w:spacing w:after="0" w:line="360" w:lineRule="auto"/>
              <w:jc w:val="center"/>
            </w:pPr>
            <w:r>
              <w:t>67 (</w:t>
            </w:r>
            <w:r w:rsidR="00B95E1E">
              <w:t>26.8%</w:t>
            </w:r>
            <w:r>
              <w:t>)</w:t>
            </w:r>
          </w:p>
        </w:tc>
        <w:tc>
          <w:tcPr>
            <w:tcW w:w="1038" w:type="pct"/>
          </w:tcPr>
          <w:p w14:paraId="78D44322" w14:textId="4DB2C7C7" w:rsidR="00B95E1E" w:rsidRPr="005D14CF" w:rsidRDefault="00B95E1E" w:rsidP="00323A16">
            <w:pPr>
              <w:tabs>
                <w:tab w:val="left" w:pos="284"/>
              </w:tabs>
              <w:spacing w:after="0" w:line="360" w:lineRule="auto"/>
              <w:jc w:val="center"/>
            </w:pPr>
            <w:r>
              <w:t>100%</w:t>
            </w:r>
          </w:p>
        </w:tc>
        <w:tc>
          <w:tcPr>
            <w:tcW w:w="755" w:type="pct"/>
            <w:vMerge/>
          </w:tcPr>
          <w:p w14:paraId="02205C4D" w14:textId="721CE172" w:rsidR="00B95E1E" w:rsidRPr="005D14CF" w:rsidRDefault="00B95E1E" w:rsidP="00323A16">
            <w:pPr>
              <w:tabs>
                <w:tab w:val="left" w:pos="284"/>
              </w:tabs>
              <w:spacing w:after="0" w:line="360" w:lineRule="auto"/>
            </w:pPr>
          </w:p>
        </w:tc>
      </w:tr>
      <w:tr w:rsidR="006F1A76" w:rsidRPr="005D14CF" w14:paraId="0A66D7F7" w14:textId="77777777" w:rsidTr="001F5E21">
        <w:trPr>
          <w:trHeight w:val="483"/>
        </w:trPr>
        <w:tc>
          <w:tcPr>
            <w:tcW w:w="1331" w:type="pct"/>
          </w:tcPr>
          <w:p w14:paraId="51F4C0FA" w14:textId="0AB26FA1" w:rsidR="006F1A76" w:rsidRDefault="006F1A76" w:rsidP="006F1A76">
            <w:pPr>
              <w:tabs>
                <w:tab w:val="left" w:pos="284"/>
              </w:tabs>
              <w:spacing w:after="0"/>
              <w:jc w:val="center"/>
            </w:pPr>
            <w:r>
              <w:t>Tuổi trung bình</w:t>
            </w:r>
          </w:p>
        </w:tc>
        <w:tc>
          <w:tcPr>
            <w:tcW w:w="938" w:type="pct"/>
          </w:tcPr>
          <w:p w14:paraId="359C1B13" w14:textId="5E9A6061" w:rsidR="006F1A76" w:rsidRDefault="00E55840" w:rsidP="006F1A76">
            <w:pPr>
              <w:tabs>
                <w:tab w:val="left" w:pos="284"/>
              </w:tabs>
              <w:spacing w:after="0"/>
              <w:jc w:val="center"/>
            </w:pPr>
            <w:r>
              <w:t>51.5</w:t>
            </w:r>
            <w:r w:rsidR="006F1A76">
              <w:t xml:space="preserve"> </w:t>
            </w:r>
            <w:r w:rsidR="006F1A76" w:rsidRPr="001E3A22">
              <w:t>±</w:t>
            </w:r>
            <w:r w:rsidR="006F1A76">
              <w:t xml:space="preserve"> </w:t>
            </w:r>
            <w:r>
              <w:t>15.01</w:t>
            </w:r>
          </w:p>
        </w:tc>
        <w:tc>
          <w:tcPr>
            <w:tcW w:w="938" w:type="pct"/>
          </w:tcPr>
          <w:p w14:paraId="40C78317" w14:textId="44EE1AC1" w:rsidR="006F1A76" w:rsidRDefault="006F1A76" w:rsidP="006F1A76">
            <w:pPr>
              <w:tabs>
                <w:tab w:val="left" w:pos="284"/>
              </w:tabs>
              <w:spacing w:after="0"/>
              <w:jc w:val="center"/>
            </w:pPr>
            <w:r>
              <w:t>46.</w:t>
            </w:r>
            <w:r w:rsidR="00E55840">
              <w:t>8</w:t>
            </w:r>
            <w:r>
              <w:t xml:space="preserve"> </w:t>
            </w:r>
            <w:r w:rsidRPr="001E3A22">
              <w:t>±</w:t>
            </w:r>
            <w:r>
              <w:t xml:space="preserve"> </w:t>
            </w:r>
            <w:r w:rsidR="00E55840">
              <w:t>20.43</w:t>
            </w:r>
          </w:p>
        </w:tc>
        <w:tc>
          <w:tcPr>
            <w:tcW w:w="1038" w:type="pct"/>
          </w:tcPr>
          <w:p w14:paraId="40FCE55E" w14:textId="6067863B" w:rsidR="006F1A76" w:rsidRDefault="006F1A76" w:rsidP="006F1A76">
            <w:pPr>
              <w:tabs>
                <w:tab w:val="left" w:pos="284"/>
              </w:tabs>
              <w:spacing w:after="0"/>
              <w:jc w:val="center"/>
            </w:pPr>
            <w:r>
              <w:t xml:space="preserve">39.54 </w:t>
            </w:r>
            <w:r w:rsidRPr="001E3A22">
              <w:t>±</w:t>
            </w:r>
            <w:r>
              <w:t xml:space="preserve"> 7.441</w:t>
            </w:r>
          </w:p>
        </w:tc>
        <w:tc>
          <w:tcPr>
            <w:tcW w:w="755" w:type="pct"/>
            <w:vMerge/>
          </w:tcPr>
          <w:p w14:paraId="40F82316" w14:textId="77777777" w:rsidR="006F1A76" w:rsidRDefault="006F1A76" w:rsidP="006F1A76">
            <w:pPr>
              <w:tabs>
                <w:tab w:val="left" w:pos="284"/>
              </w:tabs>
              <w:spacing w:after="0"/>
            </w:pPr>
          </w:p>
        </w:tc>
      </w:tr>
    </w:tbl>
    <w:p w14:paraId="7A052724" w14:textId="50C0B295" w:rsidR="009849C7" w:rsidRPr="00B03ED9" w:rsidRDefault="001F5E21" w:rsidP="00007F57">
      <w:pPr>
        <w:spacing w:before="160"/>
      </w:pPr>
      <w:r>
        <w:t>Nhận xét: Nhóm tuổi ≥60</w:t>
      </w:r>
      <w:r w:rsidRPr="00203D68">
        <w:t xml:space="preserve"> tuổi</w:t>
      </w:r>
      <w:r>
        <w:t xml:space="preserve"> chiếm tỷ lệ cao nhất là 32.8%. Tiếp theo đó là nhóm tuổi 40</w:t>
      </w:r>
      <w:r w:rsidRPr="00203D68">
        <w:t xml:space="preserve"> – </w:t>
      </w:r>
      <w:r>
        <w:t>4</w:t>
      </w:r>
      <w:r w:rsidRPr="00203D68">
        <w:t>9</w:t>
      </w:r>
      <w:r>
        <w:t>, 50</w:t>
      </w:r>
      <w:r w:rsidRPr="00203D68">
        <w:t xml:space="preserve"> – </w:t>
      </w:r>
      <w:r>
        <w:t>5</w:t>
      </w:r>
      <w:r w:rsidRPr="00203D68">
        <w:t>9</w:t>
      </w:r>
      <w:r>
        <w:t>, 15 – 29 tuổi lần lượt là 21.6%, 19.2% và 13.6%. Nhóm tuổi chiếm tỷ lệ thấp nhất là 30 – 39 tuổi chiếm 12.8%. Bệnh nhân ít tuổi nhất là 15 tuổi, cao tuổi nhất là 88 tuổi, tuổi trung bình là 50.26 ± 16.771.</w:t>
      </w:r>
      <w:r w:rsidR="00055121">
        <w:t xml:space="preserve"> </w:t>
      </w:r>
      <w:r w:rsidR="00C90897">
        <w:t xml:space="preserve">Tỷ lệ </w:t>
      </w:r>
      <w:r w:rsidR="00055121">
        <w:t xml:space="preserve">bệnh nhân nam </w:t>
      </w:r>
      <w:r w:rsidR="00C90897">
        <w:t xml:space="preserve">là </w:t>
      </w:r>
      <w:r w:rsidR="00055121">
        <w:t>73.2%</w:t>
      </w:r>
      <w:r w:rsidR="00C90897">
        <w:t xml:space="preserve"> (183 bệnh nhân) cao hơn</w:t>
      </w:r>
      <w:r w:rsidR="00055121">
        <w:t xml:space="preserve"> </w:t>
      </w:r>
      <w:r w:rsidR="00C90897">
        <w:t>tỷ lệ</w:t>
      </w:r>
      <w:r w:rsidR="00055121">
        <w:t xml:space="preserve"> bệnh nhân nữ </w:t>
      </w:r>
      <w:r w:rsidR="00C90897">
        <w:t>là</w:t>
      </w:r>
      <w:r w:rsidR="00055121">
        <w:t xml:space="preserve"> 26.8%</w:t>
      </w:r>
      <w:r w:rsidR="00C90897">
        <w:t xml:space="preserve"> (67%)</w:t>
      </w:r>
      <w:r w:rsidR="00055121">
        <w:t xml:space="preserve">, </w:t>
      </w:r>
      <w:r w:rsidR="00F94477">
        <w:t>sự khác biệt có ý nghĩa thống kê</w:t>
      </w:r>
      <w:r w:rsidR="000E2819">
        <w:t xml:space="preserve"> với p = 0.026.</w:t>
      </w:r>
    </w:p>
    <w:p w14:paraId="69A8F24B" w14:textId="3B46FE3E" w:rsidR="009C1972" w:rsidRDefault="009C1972" w:rsidP="00925D4E">
      <w:pPr>
        <w:pStyle w:val="Heading3"/>
      </w:pPr>
      <w:r>
        <w:t>3.1.</w:t>
      </w:r>
      <w:r w:rsidR="001F5E21">
        <w:t>2</w:t>
      </w:r>
      <w:r>
        <w:t xml:space="preserve">. Phân bố </w:t>
      </w:r>
      <w:r w:rsidR="00872414">
        <w:t>theo</w:t>
      </w:r>
      <w:r>
        <w:t xml:space="preserve"> nghề nghiệp</w:t>
      </w:r>
    </w:p>
    <w:p w14:paraId="045C710F" w14:textId="6BB47E80" w:rsidR="001F6938" w:rsidRDefault="001F6938" w:rsidP="001F6938">
      <w:pPr>
        <w:pStyle w:val="Caption"/>
      </w:pPr>
      <w:bookmarkStart w:id="75" w:name="_Toc133590745"/>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2</w:t>
      </w:r>
      <w:r w:rsidR="000A1A5C">
        <w:fldChar w:fldCharType="end"/>
      </w:r>
      <w:r>
        <w:t xml:space="preserve">. Phân bố </w:t>
      </w:r>
      <w:r w:rsidR="00872414">
        <w:t>theo</w:t>
      </w:r>
      <w:r>
        <w:t xml:space="preserve"> nghề nghiệp</w:t>
      </w:r>
      <w:bookmarkEnd w:id="75"/>
    </w:p>
    <w:tbl>
      <w:tblPr>
        <w:tblStyle w:val="TableGrid"/>
        <w:tblW w:w="5000" w:type="pct"/>
        <w:tblInd w:w="0" w:type="dxa"/>
        <w:tblLook w:val="01E0" w:firstRow="1" w:lastRow="1" w:firstColumn="1" w:lastColumn="1" w:noHBand="0" w:noVBand="0"/>
      </w:tblPr>
      <w:tblGrid>
        <w:gridCol w:w="4516"/>
        <w:gridCol w:w="2438"/>
        <w:gridCol w:w="2157"/>
      </w:tblGrid>
      <w:tr w:rsidR="007A5C30" w:rsidRPr="000E5388" w14:paraId="5C96FCE0" w14:textId="77777777" w:rsidTr="00CE7241">
        <w:trPr>
          <w:trHeight w:val="589"/>
        </w:trPr>
        <w:tc>
          <w:tcPr>
            <w:tcW w:w="2478" w:type="pct"/>
            <w:tcBorders>
              <w:tl2br w:val="single" w:sz="4" w:space="0" w:color="auto"/>
            </w:tcBorders>
            <w:hideMark/>
          </w:tcPr>
          <w:p w14:paraId="1EE433F8" w14:textId="2AB6B7A4" w:rsidR="00CE7241" w:rsidRDefault="00CE7241" w:rsidP="00CE7241">
            <w:pPr>
              <w:jc w:val="right"/>
              <w:rPr>
                <w:rFonts w:eastAsia=".VnTime"/>
                <w:b/>
                <w:bCs/>
              </w:rPr>
            </w:pPr>
            <w:r>
              <w:rPr>
                <w:rFonts w:eastAsia=".VnTime"/>
                <w:b/>
                <w:bCs/>
              </w:rPr>
              <w:lastRenderedPageBreak/>
              <w:t>Bệnh nhân</w:t>
            </w:r>
          </w:p>
          <w:p w14:paraId="4BD7BBEB" w14:textId="439DFC48" w:rsidR="007A5C30" w:rsidRPr="00314C57" w:rsidRDefault="0042566E" w:rsidP="002B361A">
            <w:pPr>
              <w:rPr>
                <w:rFonts w:eastAsia=".VnTime"/>
                <w:b/>
                <w:bCs/>
              </w:rPr>
            </w:pPr>
            <w:r>
              <w:rPr>
                <w:rFonts w:eastAsia=".VnTime"/>
                <w:b/>
                <w:bCs/>
              </w:rPr>
              <w:t>Nghề nghiệp</w:t>
            </w:r>
          </w:p>
        </w:tc>
        <w:tc>
          <w:tcPr>
            <w:tcW w:w="1338" w:type="pct"/>
            <w:hideMark/>
          </w:tcPr>
          <w:p w14:paraId="2E50F426" w14:textId="77777777" w:rsidR="007A5C30" w:rsidRPr="00314C57" w:rsidRDefault="007A5C30" w:rsidP="002B361A">
            <w:pPr>
              <w:jc w:val="center"/>
              <w:rPr>
                <w:rFonts w:eastAsia=".VnTime"/>
                <w:b/>
                <w:bCs/>
                <w:lang w:val="vi-VN"/>
              </w:rPr>
            </w:pPr>
            <w:r w:rsidRPr="00314C57">
              <w:rPr>
                <w:rFonts w:eastAsia=".VnTime"/>
                <w:b/>
                <w:bCs/>
                <w:lang w:val="vi-VN"/>
              </w:rPr>
              <w:t>n</w:t>
            </w:r>
          </w:p>
        </w:tc>
        <w:tc>
          <w:tcPr>
            <w:tcW w:w="1184" w:type="pct"/>
            <w:hideMark/>
          </w:tcPr>
          <w:p w14:paraId="72B31E1C" w14:textId="77777777" w:rsidR="007A5C30" w:rsidRPr="00314C57" w:rsidRDefault="007A5C30" w:rsidP="002B361A">
            <w:pPr>
              <w:jc w:val="center"/>
              <w:rPr>
                <w:rFonts w:eastAsia=".VnTime"/>
                <w:b/>
                <w:bCs/>
                <w:lang w:val="vi-VN"/>
              </w:rPr>
            </w:pPr>
            <w:r w:rsidRPr="00314C57">
              <w:rPr>
                <w:rFonts w:eastAsia=".VnTime"/>
                <w:b/>
                <w:bCs/>
                <w:lang w:val="vi-VN"/>
              </w:rPr>
              <w:t>%</w:t>
            </w:r>
          </w:p>
        </w:tc>
      </w:tr>
      <w:tr w:rsidR="007A5C30" w:rsidRPr="000E5388" w14:paraId="3DE914A7" w14:textId="77777777" w:rsidTr="00786D0C">
        <w:trPr>
          <w:trHeight w:val="437"/>
        </w:trPr>
        <w:tc>
          <w:tcPr>
            <w:tcW w:w="2478" w:type="pct"/>
          </w:tcPr>
          <w:p w14:paraId="276FFC03" w14:textId="28C8203E" w:rsidR="007A5C30" w:rsidRPr="00C4380D" w:rsidRDefault="00786D0C" w:rsidP="002B361A">
            <w:r>
              <w:t>Nông dân</w:t>
            </w:r>
          </w:p>
        </w:tc>
        <w:tc>
          <w:tcPr>
            <w:tcW w:w="1338" w:type="pct"/>
            <w:vAlign w:val="top"/>
          </w:tcPr>
          <w:p w14:paraId="0E23C261" w14:textId="3DE5CA5B" w:rsidR="007A5C30" w:rsidRPr="00F91A65" w:rsidRDefault="00F91A65" w:rsidP="002B361A">
            <w:pPr>
              <w:jc w:val="center"/>
            </w:pPr>
            <w:r>
              <w:t>38</w:t>
            </w:r>
          </w:p>
        </w:tc>
        <w:tc>
          <w:tcPr>
            <w:tcW w:w="1184" w:type="pct"/>
            <w:vAlign w:val="top"/>
          </w:tcPr>
          <w:p w14:paraId="0CE4BB10" w14:textId="4E622376" w:rsidR="007A5C30" w:rsidRPr="00CA79D3" w:rsidRDefault="00222C24" w:rsidP="002B361A">
            <w:pPr>
              <w:jc w:val="center"/>
              <w:rPr>
                <w:lang w:val="vi-VN"/>
              </w:rPr>
            </w:pPr>
            <w:r>
              <w:t>15.2</w:t>
            </w:r>
          </w:p>
        </w:tc>
      </w:tr>
      <w:tr w:rsidR="007A5C30" w:rsidRPr="000E5388" w14:paraId="51D4A8FF" w14:textId="77777777" w:rsidTr="002B361A">
        <w:trPr>
          <w:trHeight w:val="437"/>
        </w:trPr>
        <w:tc>
          <w:tcPr>
            <w:tcW w:w="2478" w:type="pct"/>
            <w:vAlign w:val="top"/>
          </w:tcPr>
          <w:p w14:paraId="31CA1B38" w14:textId="0D715D26" w:rsidR="007A5C30" w:rsidRPr="00C4380D" w:rsidRDefault="00786D0C" w:rsidP="002B361A">
            <w:r>
              <w:t>Công nhân</w:t>
            </w:r>
          </w:p>
        </w:tc>
        <w:tc>
          <w:tcPr>
            <w:tcW w:w="1338" w:type="pct"/>
            <w:vAlign w:val="top"/>
          </w:tcPr>
          <w:p w14:paraId="3182F0F0" w14:textId="6E5171A0" w:rsidR="007A5C30" w:rsidRPr="00F91A65" w:rsidRDefault="00F91A65" w:rsidP="002B361A">
            <w:pPr>
              <w:jc w:val="center"/>
            </w:pPr>
            <w:r>
              <w:t>29</w:t>
            </w:r>
          </w:p>
        </w:tc>
        <w:tc>
          <w:tcPr>
            <w:tcW w:w="1184" w:type="pct"/>
            <w:vAlign w:val="top"/>
          </w:tcPr>
          <w:p w14:paraId="0761E681" w14:textId="349840FC" w:rsidR="007A5C30" w:rsidRPr="00222C24" w:rsidRDefault="00222C24" w:rsidP="002B361A">
            <w:pPr>
              <w:jc w:val="center"/>
            </w:pPr>
            <w:r>
              <w:t>11.6</w:t>
            </w:r>
          </w:p>
        </w:tc>
      </w:tr>
      <w:tr w:rsidR="007A5C30" w:rsidRPr="000E5388" w14:paraId="0831879C" w14:textId="77777777" w:rsidTr="002B361A">
        <w:trPr>
          <w:trHeight w:val="437"/>
        </w:trPr>
        <w:tc>
          <w:tcPr>
            <w:tcW w:w="2478" w:type="pct"/>
            <w:vAlign w:val="top"/>
          </w:tcPr>
          <w:p w14:paraId="66641913" w14:textId="6D680718" w:rsidR="007A5C30" w:rsidRPr="0065033E" w:rsidRDefault="00786D0C" w:rsidP="002B361A">
            <w:r>
              <w:t>Lao động tự do</w:t>
            </w:r>
          </w:p>
        </w:tc>
        <w:tc>
          <w:tcPr>
            <w:tcW w:w="1338" w:type="pct"/>
            <w:vAlign w:val="top"/>
          </w:tcPr>
          <w:p w14:paraId="2922D0F6" w14:textId="71E29FD5" w:rsidR="007A5C30" w:rsidRPr="00F91A65" w:rsidRDefault="00F91A65" w:rsidP="002B361A">
            <w:pPr>
              <w:jc w:val="center"/>
            </w:pPr>
            <w:r>
              <w:t>118</w:t>
            </w:r>
          </w:p>
        </w:tc>
        <w:tc>
          <w:tcPr>
            <w:tcW w:w="1184" w:type="pct"/>
            <w:vAlign w:val="top"/>
          </w:tcPr>
          <w:p w14:paraId="37B725CA" w14:textId="1CD7C96A" w:rsidR="007A5C30" w:rsidRPr="00222C24" w:rsidRDefault="00222C24" w:rsidP="002B361A">
            <w:pPr>
              <w:jc w:val="center"/>
            </w:pPr>
            <w:r>
              <w:t>47.2</w:t>
            </w:r>
          </w:p>
        </w:tc>
      </w:tr>
      <w:tr w:rsidR="007A5C30" w:rsidRPr="000E5388" w14:paraId="4336FC8A" w14:textId="77777777" w:rsidTr="002B361A">
        <w:trPr>
          <w:trHeight w:val="437"/>
        </w:trPr>
        <w:tc>
          <w:tcPr>
            <w:tcW w:w="2478" w:type="pct"/>
            <w:vAlign w:val="top"/>
          </w:tcPr>
          <w:p w14:paraId="6F2C1B40" w14:textId="6F0BD339" w:rsidR="007A5C30" w:rsidRDefault="00786D0C" w:rsidP="002B361A">
            <w:r>
              <w:t>Hưu trí</w:t>
            </w:r>
          </w:p>
        </w:tc>
        <w:tc>
          <w:tcPr>
            <w:tcW w:w="1338" w:type="pct"/>
            <w:vAlign w:val="top"/>
          </w:tcPr>
          <w:p w14:paraId="0A1E4D35" w14:textId="0029E192" w:rsidR="007A5C30" w:rsidRPr="00F91A65" w:rsidRDefault="00F91A65" w:rsidP="002B361A">
            <w:pPr>
              <w:jc w:val="center"/>
            </w:pPr>
            <w:r>
              <w:t>26</w:t>
            </w:r>
          </w:p>
        </w:tc>
        <w:tc>
          <w:tcPr>
            <w:tcW w:w="1184" w:type="pct"/>
            <w:vAlign w:val="top"/>
          </w:tcPr>
          <w:p w14:paraId="47848D8C" w14:textId="57B875F8" w:rsidR="007A5C30" w:rsidRPr="00222C24" w:rsidRDefault="00222C24" w:rsidP="002B361A">
            <w:pPr>
              <w:jc w:val="center"/>
            </w:pPr>
            <w:r>
              <w:t>10.4</w:t>
            </w:r>
          </w:p>
        </w:tc>
      </w:tr>
      <w:tr w:rsidR="007A5C30" w:rsidRPr="000E5388" w14:paraId="10C8DB56" w14:textId="77777777" w:rsidTr="002B361A">
        <w:trPr>
          <w:trHeight w:val="437"/>
        </w:trPr>
        <w:tc>
          <w:tcPr>
            <w:tcW w:w="2478" w:type="pct"/>
            <w:vAlign w:val="top"/>
          </w:tcPr>
          <w:p w14:paraId="2F831B51" w14:textId="489451B6" w:rsidR="007A5C30" w:rsidRDefault="00786D0C" w:rsidP="002B361A">
            <w:r>
              <w:t>Cán bộ công chức</w:t>
            </w:r>
          </w:p>
        </w:tc>
        <w:tc>
          <w:tcPr>
            <w:tcW w:w="1338" w:type="pct"/>
            <w:vAlign w:val="top"/>
          </w:tcPr>
          <w:p w14:paraId="53BBBC74" w14:textId="030EAD7C" w:rsidR="007A5C30" w:rsidRPr="00F91A65" w:rsidRDefault="00F91A65" w:rsidP="002B361A">
            <w:pPr>
              <w:jc w:val="center"/>
            </w:pPr>
            <w:r>
              <w:t>14</w:t>
            </w:r>
          </w:p>
        </w:tc>
        <w:tc>
          <w:tcPr>
            <w:tcW w:w="1184" w:type="pct"/>
            <w:vAlign w:val="top"/>
          </w:tcPr>
          <w:p w14:paraId="643999A9" w14:textId="6881AD7B" w:rsidR="007A5C30" w:rsidRPr="00222C24" w:rsidRDefault="00222C24" w:rsidP="002B361A">
            <w:pPr>
              <w:jc w:val="center"/>
            </w:pPr>
            <w:r>
              <w:t>5.6</w:t>
            </w:r>
          </w:p>
        </w:tc>
      </w:tr>
      <w:tr w:rsidR="007A5C30" w:rsidRPr="000E5388" w14:paraId="4C5ADA4C" w14:textId="77777777" w:rsidTr="002B361A">
        <w:trPr>
          <w:trHeight w:val="437"/>
        </w:trPr>
        <w:tc>
          <w:tcPr>
            <w:tcW w:w="2478" w:type="pct"/>
          </w:tcPr>
          <w:p w14:paraId="04933E26" w14:textId="0F826A5F" w:rsidR="007A5C30" w:rsidRDefault="00786D0C" w:rsidP="002B361A">
            <w:r>
              <w:t>Học sinh – Sinh viên</w:t>
            </w:r>
          </w:p>
        </w:tc>
        <w:tc>
          <w:tcPr>
            <w:tcW w:w="1338" w:type="pct"/>
            <w:vAlign w:val="top"/>
          </w:tcPr>
          <w:p w14:paraId="1FC3EB5C" w14:textId="69C03F9A" w:rsidR="007A5C30" w:rsidRPr="00F91A65" w:rsidRDefault="00F91A65" w:rsidP="002B361A">
            <w:pPr>
              <w:jc w:val="center"/>
            </w:pPr>
            <w:r>
              <w:t>13</w:t>
            </w:r>
          </w:p>
        </w:tc>
        <w:tc>
          <w:tcPr>
            <w:tcW w:w="1184" w:type="pct"/>
            <w:vAlign w:val="top"/>
          </w:tcPr>
          <w:p w14:paraId="3A28DAB3" w14:textId="50DA35CE" w:rsidR="007A5C30" w:rsidRPr="00222C24" w:rsidRDefault="00222C24" w:rsidP="002B361A">
            <w:pPr>
              <w:jc w:val="center"/>
            </w:pPr>
            <w:r>
              <w:t>5.2</w:t>
            </w:r>
          </w:p>
        </w:tc>
      </w:tr>
      <w:tr w:rsidR="00970E78" w:rsidRPr="000E5388" w14:paraId="09D0AD2A" w14:textId="77777777" w:rsidTr="002B361A">
        <w:trPr>
          <w:trHeight w:val="437"/>
        </w:trPr>
        <w:tc>
          <w:tcPr>
            <w:tcW w:w="2478" w:type="pct"/>
          </w:tcPr>
          <w:p w14:paraId="6D824976" w14:textId="019A6B3B" w:rsidR="00970E78" w:rsidRDefault="00970E78" w:rsidP="002B361A">
            <w:r>
              <w:t>Nội trợ</w:t>
            </w:r>
          </w:p>
        </w:tc>
        <w:tc>
          <w:tcPr>
            <w:tcW w:w="1338" w:type="pct"/>
            <w:vAlign w:val="top"/>
          </w:tcPr>
          <w:p w14:paraId="3A4924B6" w14:textId="46922165" w:rsidR="00970E78" w:rsidRPr="0017726A" w:rsidRDefault="00F91A65" w:rsidP="002B361A">
            <w:pPr>
              <w:jc w:val="center"/>
            </w:pPr>
            <w:r>
              <w:t>12</w:t>
            </w:r>
          </w:p>
        </w:tc>
        <w:tc>
          <w:tcPr>
            <w:tcW w:w="1184" w:type="pct"/>
            <w:vAlign w:val="top"/>
          </w:tcPr>
          <w:p w14:paraId="231222E0" w14:textId="0EDF6277" w:rsidR="00970E78" w:rsidRPr="0017726A" w:rsidRDefault="00222C24" w:rsidP="002B361A">
            <w:pPr>
              <w:jc w:val="center"/>
            </w:pPr>
            <w:r>
              <w:t>4.8</w:t>
            </w:r>
          </w:p>
        </w:tc>
      </w:tr>
      <w:tr w:rsidR="00DB009B" w:rsidRPr="000E5388" w14:paraId="1C1BE270" w14:textId="77777777" w:rsidTr="002B361A">
        <w:trPr>
          <w:trHeight w:val="437"/>
        </w:trPr>
        <w:tc>
          <w:tcPr>
            <w:tcW w:w="2478" w:type="pct"/>
          </w:tcPr>
          <w:p w14:paraId="3FD321D8" w14:textId="583E679F" w:rsidR="00DB009B" w:rsidRDefault="00DB009B" w:rsidP="002B361A">
            <w:r>
              <w:t>Tổng</w:t>
            </w:r>
          </w:p>
        </w:tc>
        <w:tc>
          <w:tcPr>
            <w:tcW w:w="1338" w:type="pct"/>
            <w:vAlign w:val="top"/>
          </w:tcPr>
          <w:p w14:paraId="21C63DDA" w14:textId="5E3F393E" w:rsidR="00DB009B" w:rsidRPr="0017726A" w:rsidRDefault="00F91A65" w:rsidP="002B361A">
            <w:pPr>
              <w:jc w:val="center"/>
            </w:pPr>
            <w:r>
              <w:t>250</w:t>
            </w:r>
          </w:p>
        </w:tc>
        <w:tc>
          <w:tcPr>
            <w:tcW w:w="1184" w:type="pct"/>
            <w:vAlign w:val="top"/>
          </w:tcPr>
          <w:p w14:paraId="4D3F9AA1" w14:textId="10ACC440" w:rsidR="00DB009B" w:rsidRPr="0017726A" w:rsidRDefault="00222C24" w:rsidP="002B361A">
            <w:pPr>
              <w:jc w:val="center"/>
            </w:pPr>
            <w:r>
              <w:t>100.0</w:t>
            </w:r>
          </w:p>
        </w:tc>
      </w:tr>
    </w:tbl>
    <w:p w14:paraId="344825F0" w14:textId="3E336DB9" w:rsidR="00CE7241" w:rsidRDefault="00CE7241" w:rsidP="0061364A">
      <w:pPr>
        <w:spacing w:before="160"/>
      </w:pPr>
      <w:r>
        <w:t>Nhận xét:</w:t>
      </w:r>
      <w:r w:rsidR="0061364A">
        <w:t xml:space="preserve"> Lao động tự do chiếm tỷ lệ cao nhất là 47.2%. Tiếp theo đó là</w:t>
      </w:r>
      <w:r w:rsidR="005D1D36">
        <w:t xml:space="preserve"> nông dân, công nhân, hưu trí, cán bộ công chức, học sinh – sinh viên</w:t>
      </w:r>
      <w:r w:rsidR="0061364A">
        <w:t xml:space="preserve"> lần lượt là </w:t>
      </w:r>
      <w:r w:rsidR="005D1D36">
        <w:t>15.2%, 11.6%, 10.4%, 5.6%, 5.2%</w:t>
      </w:r>
      <w:r w:rsidR="0061364A">
        <w:t xml:space="preserve">. </w:t>
      </w:r>
      <w:r w:rsidR="001B7200">
        <w:t>Nội trợ</w:t>
      </w:r>
      <w:r w:rsidR="005D1D36">
        <w:t xml:space="preserve"> chiếm </w:t>
      </w:r>
      <w:r w:rsidR="0061364A">
        <w:t xml:space="preserve">tỷ lệ thấp nhất </w:t>
      </w:r>
      <w:r w:rsidR="005D1D36">
        <w:t>là 4</w:t>
      </w:r>
      <w:r w:rsidR="0061364A">
        <w:t>.8%.</w:t>
      </w:r>
    </w:p>
    <w:p w14:paraId="1867EF0B" w14:textId="2E0B1E30" w:rsidR="007F1578" w:rsidRDefault="007F1578" w:rsidP="007F1578">
      <w:pPr>
        <w:pStyle w:val="Heading3"/>
      </w:pPr>
      <w:r>
        <w:t xml:space="preserve">3.1.3. Phân bố theo </w:t>
      </w:r>
      <w:r>
        <w:t>khu vực địa lý</w:t>
      </w:r>
    </w:p>
    <w:p w14:paraId="664A4472" w14:textId="3627810B" w:rsidR="007F1578" w:rsidRDefault="007F1578" w:rsidP="007F1578">
      <w:pPr>
        <w:pStyle w:val="Caption"/>
      </w:pPr>
      <w:bookmarkStart w:id="76" w:name="_Toc133590746"/>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3</w:t>
      </w:r>
      <w:r w:rsidR="000A1A5C">
        <w:fldChar w:fldCharType="end"/>
      </w:r>
      <w:r>
        <w:t>. Phân bố theo khu vực địa lý</w:t>
      </w:r>
      <w:bookmarkEnd w:id="76"/>
    </w:p>
    <w:tbl>
      <w:tblPr>
        <w:tblStyle w:val="TableGrid"/>
        <w:tblW w:w="5000" w:type="pct"/>
        <w:tblInd w:w="0" w:type="dxa"/>
        <w:tblLook w:val="01E0" w:firstRow="1" w:lastRow="1" w:firstColumn="1" w:lastColumn="1" w:noHBand="0" w:noVBand="0"/>
      </w:tblPr>
      <w:tblGrid>
        <w:gridCol w:w="4516"/>
        <w:gridCol w:w="2438"/>
        <w:gridCol w:w="2157"/>
      </w:tblGrid>
      <w:tr w:rsidR="007F1578" w:rsidRPr="000E5388" w14:paraId="7BC19F15" w14:textId="77777777" w:rsidTr="00C425FE">
        <w:trPr>
          <w:trHeight w:val="589"/>
        </w:trPr>
        <w:tc>
          <w:tcPr>
            <w:tcW w:w="2478" w:type="pct"/>
            <w:tcBorders>
              <w:tl2br w:val="single" w:sz="4" w:space="0" w:color="auto"/>
            </w:tcBorders>
            <w:hideMark/>
          </w:tcPr>
          <w:p w14:paraId="4A30C63F" w14:textId="77777777" w:rsidR="007F1578" w:rsidRDefault="007F1578" w:rsidP="00C425FE">
            <w:pPr>
              <w:jc w:val="right"/>
              <w:rPr>
                <w:rFonts w:eastAsia=".VnTime"/>
                <w:b/>
                <w:bCs/>
              </w:rPr>
            </w:pPr>
            <w:r>
              <w:rPr>
                <w:rFonts w:eastAsia=".VnTime"/>
                <w:b/>
                <w:bCs/>
              </w:rPr>
              <w:t>Bệnh nhân</w:t>
            </w:r>
          </w:p>
          <w:p w14:paraId="4C3229E4" w14:textId="355151D6" w:rsidR="007F1578" w:rsidRPr="00314C57" w:rsidRDefault="007F1578" w:rsidP="00C425FE">
            <w:pPr>
              <w:rPr>
                <w:rFonts w:eastAsia=".VnTime"/>
                <w:b/>
                <w:bCs/>
              </w:rPr>
            </w:pPr>
            <w:r>
              <w:rPr>
                <w:rFonts w:eastAsia=".VnTime"/>
                <w:b/>
                <w:bCs/>
              </w:rPr>
              <w:t>Khu vực địa lý</w:t>
            </w:r>
          </w:p>
        </w:tc>
        <w:tc>
          <w:tcPr>
            <w:tcW w:w="1338" w:type="pct"/>
            <w:hideMark/>
          </w:tcPr>
          <w:p w14:paraId="3B7DE2D9" w14:textId="77777777" w:rsidR="007F1578" w:rsidRPr="00314C57" w:rsidRDefault="007F1578" w:rsidP="00C425FE">
            <w:pPr>
              <w:jc w:val="center"/>
              <w:rPr>
                <w:rFonts w:eastAsia=".VnTime"/>
                <w:b/>
                <w:bCs/>
                <w:lang w:val="vi-VN"/>
              </w:rPr>
            </w:pPr>
            <w:r w:rsidRPr="00314C57">
              <w:rPr>
                <w:rFonts w:eastAsia=".VnTime"/>
                <w:b/>
                <w:bCs/>
                <w:lang w:val="vi-VN"/>
              </w:rPr>
              <w:t>n</w:t>
            </w:r>
          </w:p>
        </w:tc>
        <w:tc>
          <w:tcPr>
            <w:tcW w:w="1184" w:type="pct"/>
            <w:hideMark/>
          </w:tcPr>
          <w:p w14:paraId="6774828F" w14:textId="77777777" w:rsidR="007F1578" w:rsidRPr="00314C57" w:rsidRDefault="007F1578" w:rsidP="00C425FE">
            <w:pPr>
              <w:jc w:val="center"/>
              <w:rPr>
                <w:rFonts w:eastAsia=".VnTime"/>
                <w:b/>
                <w:bCs/>
                <w:lang w:val="vi-VN"/>
              </w:rPr>
            </w:pPr>
            <w:r w:rsidRPr="00314C57">
              <w:rPr>
                <w:rFonts w:eastAsia=".VnTime"/>
                <w:b/>
                <w:bCs/>
                <w:lang w:val="vi-VN"/>
              </w:rPr>
              <w:t>%</w:t>
            </w:r>
          </w:p>
        </w:tc>
      </w:tr>
      <w:tr w:rsidR="007F1578" w:rsidRPr="000E5388" w14:paraId="20B6E5C8" w14:textId="77777777" w:rsidTr="00C425FE">
        <w:trPr>
          <w:trHeight w:val="437"/>
        </w:trPr>
        <w:tc>
          <w:tcPr>
            <w:tcW w:w="2478" w:type="pct"/>
            <w:hideMark/>
          </w:tcPr>
          <w:p w14:paraId="4E00E17D" w14:textId="0B57AD41" w:rsidR="007F1578" w:rsidRPr="00C4380D" w:rsidRDefault="005A7F58" w:rsidP="00C425FE">
            <w:r>
              <w:t>Thành thị</w:t>
            </w:r>
          </w:p>
        </w:tc>
        <w:tc>
          <w:tcPr>
            <w:tcW w:w="1338" w:type="pct"/>
            <w:vAlign w:val="top"/>
          </w:tcPr>
          <w:p w14:paraId="12D751CD" w14:textId="29F48BAF" w:rsidR="007F1578" w:rsidRPr="00CA79D3" w:rsidRDefault="00935FDC" w:rsidP="00C425FE">
            <w:pPr>
              <w:jc w:val="center"/>
              <w:rPr>
                <w:lang w:val="vi-VN"/>
              </w:rPr>
            </w:pPr>
            <w:r>
              <w:t>105</w:t>
            </w:r>
          </w:p>
        </w:tc>
        <w:tc>
          <w:tcPr>
            <w:tcW w:w="1184" w:type="pct"/>
            <w:vAlign w:val="top"/>
          </w:tcPr>
          <w:p w14:paraId="6969F3B2" w14:textId="60E8BF5F" w:rsidR="007F1578" w:rsidRPr="00CA79D3" w:rsidRDefault="00935FDC" w:rsidP="00C425FE">
            <w:pPr>
              <w:jc w:val="center"/>
              <w:rPr>
                <w:lang w:val="vi-VN"/>
              </w:rPr>
            </w:pPr>
            <w:r>
              <w:t>42.0</w:t>
            </w:r>
          </w:p>
        </w:tc>
      </w:tr>
      <w:tr w:rsidR="007F1578" w:rsidRPr="000E5388" w14:paraId="4E718F91" w14:textId="77777777" w:rsidTr="00C425FE">
        <w:trPr>
          <w:trHeight w:val="437"/>
        </w:trPr>
        <w:tc>
          <w:tcPr>
            <w:tcW w:w="2478" w:type="pct"/>
          </w:tcPr>
          <w:p w14:paraId="2399F5A3" w14:textId="5719E7B9" w:rsidR="007F1578" w:rsidRPr="00C4380D" w:rsidRDefault="007F1578" w:rsidP="00C425FE">
            <w:r>
              <w:t>N</w:t>
            </w:r>
            <w:r w:rsidR="005A7F58">
              <w:t>ông thôn</w:t>
            </w:r>
          </w:p>
        </w:tc>
        <w:tc>
          <w:tcPr>
            <w:tcW w:w="1338" w:type="pct"/>
            <w:vAlign w:val="top"/>
          </w:tcPr>
          <w:p w14:paraId="647128BB" w14:textId="79F04BA3" w:rsidR="007F1578" w:rsidRPr="00DC57AC" w:rsidRDefault="00935FDC" w:rsidP="00935FDC">
            <w:pPr>
              <w:jc w:val="center"/>
            </w:pPr>
            <w:r>
              <w:t>142</w:t>
            </w:r>
          </w:p>
        </w:tc>
        <w:tc>
          <w:tcPr>
            <w:tcW w:w="1184" w:type="pct"/>
            <w:vAlign w:val="top"/>
          </w:tcPr>
          <w:p w14:paraId="643488D0" w14:textId="722F2869" w:rsidR="007F1578" w:rsidRPr="00DC57AC" w:rsidRDefault="00935FDC" w:rsidP="00C425FE">
            <w:pPr>
              <w:jc w:val="center"/>
            </w:pPr>
            <w:r>
              <w:t>56.8</w:t>
            </w:r>
          </w:p>
        </w:tc>
      </w:tr>
      <w:tr w:rsidR="005A7F58" w:rsidRPr="000E5388" w14:paraId="455CDBA5" w14:textId="77777777" w:rsidTr="00C425FE">
        <w:trPr>
          <w:trHeight w:val="437"/>
        </w:trPr>
        <w:tc>
          <w:tcPr>
            <w:tcW w:w="2478" w:type="pct"/>
          </w:tcPr>
          <w:p w14:paraId="2B7D5522" w14:textId="029AA6D8" w:rsidR="005A7F58" w:rsidRDefault="005A7F58" w:rsidP="00C425FE">
            <w:r>
              <w:t>Hải đảo</w:t>
            </w:r>
          </w:p>
        </w:tc>
        <w:tc>
          <w:tcPr>
            <w:tcW w:w="1338" w:type="pct"/>
            <w:vAlign w:val="top"/>
          </w:tcPr>
          <w:p w14:paraId="0237D19F" w14:textId="1292AE12" w:rsidR="005A7F58" w:rsidRDefault="00935FDC" w:rsidP="00C425FE">
            <w:pPr>
              <w:jc w:val="center"/>
            </w:pPr>
            <w:r>
              <w:t>3</w:t>
            </w:r>
          </w:p>
        </w:tc>
        <w:tc>
          <w:tcPr>
            <w:tcW w:w="1184" w:type="pct"/>
            <w:vAlign w:val="top"/>
          </w:tcPr>
          <w:p w14:paraId="32717331" w14:textId="574ACA04" w:rsidR="005A7F58" w:rsidRDefault="00935FDC" w:rsidP="00C425FE">
            <w:pPr>
              <w:jc w:val="center"/>
            </w:pPr>
            <w:r>
              <w:t>1.2</w:t>
            </w:r>
          </w:p>
        </w:tc>
      </w:tr>
      <w:tr w:rsidR="007F1578" w:rsidRPr="000E5388" w14:paraId="24D590EC" w14:textId="77777777" w:rsidTr="00C425FE">
        <w:trPr>
          <w:trHeight w:val="437"/>
        </w:trPr>
        <w:tc>
          <w:tcPr>
            <w:tcW w:w="2478" w:type="pct"/>
          </w:tcPr>
          <w:p w14:paraId="759D9F1D" w14:textId="77777777" w:rsidR="007F1578" w:rsidRDefault="007F1578" w:rsidP="00C425FE">
            <w:r>
              <w:t>Tổng</w:t>
            </w:r>
          </w:p>
        </w:tc>
        <w:tc>
          <w:tcPr>
            <w:tcW w:w="1338" w:type="pct"/>
            <w:vAlign w:val="top"/>
          </w:tcPr>
          <w:p w14:paraId="3AEE1BE3" w14:textId="77777777" w:rsidR="007F1578" w:rsidRPr="00CA79D3" w:rsidRDefault="007F1578" w:rsidP="00C425FE">
            <w:pPr>
              <w:jc w:val="center"/>
              <w:rPr>
                <w:lang w:val="vi-VN"/>
              </w:rPr>
            </w:pPr>
            <w:r w:rsidRPr="0017726A">
              <w:t>250</w:t>
            </w:r>
          </w:p>
        </w:tc>
        <w:tc>
          <w:tcPr>
            <w:tcW w:w="1184" w:type="pct"/>
            <w:vAlign w:val="top"/>
          </w:tcPr>
          <w:p w14:paraId="5BB0B326" w14:textId="77777777" w:rsidR="007F1578" w:rsidRPr="00CA79D3" w:rsidRDefault="007F1578" w:rsidP="00C425FE">
            <w:pPr>
              <w:jc w:val="center"/>
              <w:rPr>
                <w:lang w:val="vi-VN"/>
              </w:rPr>
            </w:pPr>
            <w:r w:rsidRPr="0017726A">
              <w:t>100.0</w:t>
            </w:r>
          </w:p>
        </w:tc>
      </w:tr>
    </w:tbl>
    <w:p w14:paraId="6939DEFD" w14:textId="7FAE487B" w:rsidR="007F1578" w:rsidRPr="00B03ED9" w:rsidRDefault="007F1578" w:rsidP="007F1578">
      <w:pPr>
        <w:spacing w:before="160"/>
      </w:pPr>
      <w:r>
        <w:t xml:space="preserve">Nhận xét: Trong </w:t>
      </w:r>
      <w:r w:rsidR="00DD6DC6">
        <w:t>250 bệnh nhân</w:t>
      </w:r>
      <w:r>
        <w:t xml:space="preserve">, </w:t>
      </w:r>
      <w:r w:rsidR="00932FD1">
        <w:t>tỷ lệ bệnh nhân nông thôn cao nhất với 56.8%</w:t>
      </w:r>
      <w:r w:rsidR="003328FC">
        <w:t xml:space="preserve"> (142 bệnh nhân)</w:t>
      </w:r>
      <w:r w:rsidR="00932FD1">
        <w:t>, sau đó là thành thị với 42.0%</w:t>
      </w:r>
      <w:r w:rsidR="003328FC">
        <w:t xml:space="preserve"> (105 bệnh nhân)</w:t>
      </w:r>
      <w:r w:rsidR="00932FD1">
        <w:t xml:space="preserve"> và thấp nhất là hải đảo với 1.2%</w:t>
      </w:r>
      <w:r w:rsidR="003328FC">
        <w:t xml:space="preserve"> (3 bệnh nhân)</w:t>
      </w:r>
      <w:r w:rsidR="00932FD1">
        <w:t>.</w:t>
      </w:r>
    </w:p>
    <w:p w14:paraId="15A431AB" w14:textId="08373E4F" w:rsidR="005D70BA" w:rsidRDefault="00490F67" w:rsidP="00C23165">
      <w:pPr>
        <w:pStyle w:val="Heading2"/>
      </w:pPr>
      <w:bookmarkStart w:id="77" w:name="_Toc133590780"/>
      <w:r>
        <w:lastRenderedPageBreak/>
        <w:t xml:space="preserve">3.2. </w:t>
      </w:r>
      <w:r w:rsidR="008E3E72">
        <w:t xml:space="preserve">Tình trạng dinh dưỡng </w:t>
      </w:r>
      <w:r w:rsidR="005D70BA">
        <w:t>của đối tượng nghiên cứu</w:t>
      </w:r>
      <w:bookmarkEnd w:id="72"/>
      <w:bookmarkEnd w:id="77"/>
    </w:p>
    <w:p w14:paraId="2098EDA3" w14:textId="2E69D08C" w:rsidR="00A80220" w:rsidRPr="00707BC9" w:rsidRDefault="00D70C94" w:rsidP="00D70C94">
      <w:pPr>
        <w:pStyle w:val="Caption"/>
        <w:rPr>
          <w:b w:val="0"/>
          <w:bCs/>
        </w:rPr>
      </w:pPr>
      <w:bookmarkStart w:id="78" w:name="_Toc133590747"/>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4</w:t>
      </w:r>
      <w:r w:rsidR="000A1A5C">
        <w:fldChar w:fldCharType="end"/>
      </w:r>
      <w:r w:rsidR="00F63E39" w:rsidRPr="00707BC9">
        <w:rPr>
          <w:bCs/>
        </w:rPr>
        <w:t xml:space="preserve">. </w:t>
      </w:r>
      <w:r w:rsidR="00A80220" w:rsidRPr="00707BC9">
        <w:rPr>
          <w:bCs/>
        </w:rPr>
        <w:t>Tình trạng dinh dưỡng theo BMI</w:t>
      </w:r>
      <w:bookmarkEnd w:id="78"/>
    </w:p>
    <w:tbl>
      <w:tblPr>
        <w:tblStyle w:val="TableGrid"/>
        <w:tblW w:w="5000" w:type="pct"/>
        <w:tblInd w:w="0" w:type="dxa"/>
        <w:tblLook w:val="01E0" w:firstRow="1" w:lastRow="1" w:firstColumn="1" w:lastColumn="1" w:noHBand="0" w:noVBand="0"/>
      </w:tblPr>
      <w:tblGrid>
        <w:gridCol w:w="4516"/>
        <w:gridCol w:w="2438"/>
        <w:gridCol w:w="2157"/>
      </w:tblGrid>
      <w:tr w:rsidR="00A80220" w:rsidRPr="000E5388" w14:paraId="461B52AB" w14:textId="77777777" w:rsidTr="005D0400">
        <w:trPr>
          <w:trHeight w:val="589"/>
        </w:trPr>
        <w:tc>
          <w:tcPr>
            <w:tcW w:w="2478" w:type="pct"/>
            <w:tcBorders>
              <w:tl2br w:val="single" w:sz="4" w:space="0" w:color="auto"/>
            </w:tcBorders>
            <w:hideMark/>
          </w:tcPr>
          <w:p w14:paraId="25E14695" w14:textId="00B8CDA0" w:rsidR="00A80220" w:rsidRPr="00314C57" w:rsidRDefault="00FC30FB" w:rsidP="00314C57">
            <w:pPr>
              <w:jc w:val="right"/>
              <w:rPr>
                <w:b/>
                <w:bCs/>
              </w:rPr>
            </w:pPr>
            <w:r>
              <w:rPr>
                <w:b/>
                <w:bCs/>
              </w:rPr>
              <w:t>B</w:t>
            </w:r>
            <w:r w:rsidR="002B05BF">
              <w:rPr>
                <w:b/>
                <w:bCs/>
              </w:rPr>
              <w:t>ệnh nhân</w:t>
            </w:r>
          </w:p>
          <w:p w14:paraId="4E5D76BA" w14:textId="77777777" w:rsidR="00A80220" w:rsidRPr="00314C57" w:rsidRDefault="00A80220" w:rsidP="00314C57">
            <w:pPr>
              <w:rPr>
                <w:rFonts w:eastAsia=".VnTime"/>
                <w:b/>
                <w:bCs/>
              </w:rPr>
            </w:pPr>
            <w:r w:rsidRPr="00314C57">
              <w:rPr>
                <w:b/>
                <w:bCs/>
              </w:rPr>
              <w:t>BMI</w:t>
            </w:r>
          </w:p>
        </w:tc>
        <w:tc>
          <w:tcPr>
            <w:tcW w:w="1338" w:type="pct"/>
            <w:hideMark/>
          </w:tcPr>
          <w:p w14:paraId="72A0AB0A" w14:textId="77777777" w:rsidR="00A80220" w:rsidRPr="00314C57" w:rsidRDefault="00A80220" w:rsidP="001B667A">
            <w:pPr>
              <w:jc w:val="center"/>
              <w:rPr>
                <w:rFonts w:eastAsia=".VnTime"/>
                <w:b/>
                <w:bCs/>
                <w:lang w:val="vi-VN"/>
              </w:rPr>
            </w:pPr>
            <w:r w:rsidRPr="00314C57">
              <w:rPr>
                <w:rFonts w:eastAsia=".VnTime"/>
                <w:b/>
                <w:bCs/>
                <w:lang w:val="vi-VN"/>
              </w:rPr>
              <w:t>n</w:t>
            </w:r>
          </w:p>
        </w:tc>
        <w:tc>
          <w:tcPr>
            <w:tcW w:w="1184" w:type="pct"/>
            <w:hideMark/>
          </w:tcPr>
          <w:p w14:paraId="18CE86F0" w14:textId="77777777" w:rsidR="00A80220" w:rsidRPr="00314C57" w:rsidRDefault="00A80220" w:rsidP="001B667A">
            <w:pPr>
              <w:jc w:val="center"/>
              <w:rPr>
                <w:rFonts w:eastAsia=".VnTime"/>
                <w:b/>
                <w:bCs/>
                <w:lang w:val="vi-VN"/>
              </w:rPr>
            </w:pPr>
            <w:r w:rsidRPr="00314C57">
              <w:rPr>
                <w:rFonts w:eastAsia=".VnTime"/>
                <w:b/>
                <w:bCs/>
                <w:lang w:val="vi-VN"/>
              </w:rPr>
              <w:t>%</w:t>
            </w:r>
          </w:p>
        </w:tc>
      </w:tr>
      <w:tr w:rsidR="00D77979" w:rsidRPr="000E5388" w14:paraId="2550C9F8" w14:textId="77777777" w:rsidTr="00C71D5C">
        <w:trPr>
          <w:trHeight w:val="437"/>
        </w:trPr>
        <w:tc>
          <w:tcPr>
            <w:tcW w:w="2478" w:type="pct"/>
            <w:hideMark/>
          </w:tcPr>
          <w:p w14:paraId="213F4DC7" w14:textId="5EF89E24" w:rsidR="00D77979" w:rsidRPr="00C4380D" w:rsidRDefault="00D77979" w:rsidP="00D77979">
            <w:r>
              <w:t>&lt;16 (SDD độ I)</w:t>
            </w:r>
          </w:p>
        </w:tc>
        <w:tc>
          <w:tcPr>
            <w:tcW w:w="1338" w:type="pct"/>
            <w:vAlign w:val="top"/>
          </w:tcPr>
          <w:p w14:paraId="1497951A" w14:textId="09538894" w:rsidR="00D77979" w:rsidRPr="00CA79D3" w:rsidRDefault="00D77979" w:rsidP="00D77979">
            <w:pPr>
              <w:jc w:val="center"/>
              <w:rPr>
                <w:lang w:val="vi-VN"/>
              </w:rPr>
            </w:pPr>
            <w:r w:rsidRPr="0017726A">
              <w:t>21</w:t>
            </w:r>
          </w:p>
        </w:tc>
        <w:tc>
          <w:tcPr>
            <w:tcW w:w="1184" w:type="pct"/>
            <w:vAlign w:val="top"/>
          </w:tcPr>
          <w:p w14:paraId="163FB6B4" w14:textId="64AB4874" w:rsidR="00D77979" w:rsidRPr="00CA79D3" w:rsidRDefault="00D77979" w:rsidP="00D77979">
            <w:pPr>
              <w:jc w:val="center"/>
              <w:rPr>
                <w:lang w:val="vi-VN"/>
              </w:rPr>
            </w:pPr>
            <w:r w:rsidRPr="0017726A">
              <w:t>8.4</w:t>
            </w:r>
          </w:p>
        </w:tc>
      </w:tr>
      <w:tr w:rsidR="00D77979" w:rsidRPr="000E5388" w14:paraId="641F2783" w14:textId="77777777" w:rsidTr="00C71D5C">
        <w:trPr>
          <w:trHeight w:val="437"/>
        </w:trPr>
        <w:tc>
          <w:tcPr>
            <w:tcW w:w="2478" w:type="pct"/>
          </w:tcPr>
          <w:p w14:paraId="2760F9E0" w14:textId="57002990" w:rsidR="00D77979" w:rsidRPr="00C4380D" w:rsidRDefault="00D77979" w:rsidP="00D77979">
            <w:r>
              <w:t>16 đến 16.99 (SDD độ II)</w:t>
            </w:r>
          </w:p>
        </w:tc>
        <w:tc>
          <w:tcPr>
            <w:tcW w:w="1338" w:type="pct"/>
            <w:vAlign w:val="top"/>
          </w:tcPr>
          <w:p w14:paraId="4E5EC47D" w14:textId="1A07728E" w:rsidR="00D77979" w:rsidRPr="00CA79D3" w:rsidRDefault="00D77979" w:rsidP="00D77979">
            <w:pPr>
              <w:jc w:val="center"/>
              <w:rPr>
                <w:lang w:val="vi-VN"/>
              </w:rPr>
            </w:pPr>
            <w:r w:rsidRPr="0017726A">
              <w:t>22</w:t>
            </w:r>
          </w:p>
        </w:tc>
        <w:tc>
          <w:tcPr>
            <w:tcW w:w="1184" w:type="pct"/>
            <w:vAlign w:val="top"/>
          </w:tcPr>
          <w:p w14:paraId="24A4DF81" w14:textId="2AC27CAA" w:rsidR="00D77979" w:rsidRPr="00CA79D3" w:rsidRDefault="00D77979" w:rsidP="00D77979">
            <w:pPr>
              <w:jc w:val="center"/>
              <w:rPr>
                <w:lang w:val="vi-VN"/>
              </w:rPr>
            </w:pPr>
            <w:r w:rsidRPr="0017726A">
              <w:t>8.8</w:t>
            </w:r>
          </w:p>
        </w:tc>
      </w:tr>
      <w:tr w:rsidR="00D77979" w:rsidRPr="000E5388" w14:paraId="55D8E477" w14:textId="77777777" w:rsidTr="00C71D5C">
        <w:trPr>
          <w:trHeight w:val="437"/>
        </w:trPr>
        <w:tc>
          <w:tcPr>
            <w:tcW w:w="2478" w:type="pct"/>
          </w:tcPr>
          <w:p w14:paraId="1A3BA9A7" w14:textId="186A640A" w:rsidR="00D77979" w:rsidRPr="0065033E" w:rsidRDefault="00D77979" w:rsidP="00D77979">
            <w:r>
              <w:t>17 đến 18,49 (SDD độ III)</w:t>
            </w:r>
          </w:p>
        </w:tc>
        <w:tc>
          <w:tcPr>
            <w:tcW w:w="1338" w:type="pct"/>
            <w:vAlign w:val="top"/>
          </w:tcPr>
          <w:p w14:paraId="7DE83611" w14:textId="02355FC0" w:rsidR="00D77979" w:rsidRPr="00CA79D3" w:rsidRDefault="00D77979" w:rsidP="00D77979">
            <w:pPr>
              <w:jc w:val="center"/>
              <w:rPr>
                <w:lang w:val="vi-VN"/>
              </w:rPr>
            </w:pPr>
            <w:r w:rsidRPr="0017726A">
              <w:t>43</w:t>
            </w:r>
          </w:p>
        </w:tc>
        <w:tc>
          <w:tcPr>
            <w:tcW w:w="1184" w:type="pct"/>
            <w:vAlign w:val="top"/>
          </w:tcPr>
          <w:p w14:paraId="506F388A" w14:textId="54A701FF" w:rsidR="00D77979" w:rsidRPr="00CA79D3" w:rsidRDefault="00D77979" w:rsidP="00D77979">
            <w:pPr>
              <w:jc w:val="center"/>
              <w:rPr>
                <w:lang w:val="vi-VN"/>
              </w:rPr>
            </w:pPr>
            <w:r w:rsidRPr="0017726A">
              <w:t>17.2</w:t>
            </w:r>
          </w:p>
        </w:tc>
      </w:tr>
      <w:tr w:rsidR="00D77979" w:rsidRPr="000E5388" w14:paraId="59D5B1FE" w14:textId="77777777" w:rsidTr="00C71D5C">
        <w:trPr>
          <w:trHeight w:val="437"/>
        </w:trPr>
        <w:tc>
          <w:tcPr>
            <w:tcW w:w="2478" w:type="pct"/>
          </w:tcPr>
          <w:p w14:paraId="7CC19D5E" w14:textId="38C942A3" w:rsidR="00D77979" w:rsidRDefault="00D77979" w:rsidP="00D77979">
            <w:r>
              <w:t>18,5 đến 24.99 (Bình thường)</w:t>
            </w:r>
          </w:p>
        </w:tc>
        <w:tc>
          <w:tcPr>
            <w:tcW w:w="1338" w:type="pct"/>
            <w:vAlign w:val="top"/>
          </w:tcPr>
          <w:p w14:paraId="2ABF0DD2" w14:textId="260464CA" w:rsidR="00D77979" w:rsidRPr="00CA79D3" w:rsidRDefault="00D77979" w:rsidP="00D77979">
            <w:pPr>
              <w:jc w:val="center"/>
              <w:rPr>
                <w:lang w:val="vi-VN"/>
              </w:rPr>
            </w:pPr>
            <w:r w:rsidRPr="0017726A">
              <w:t>152</w:t>
            </w:r>
          </w:p>
        </w:tc>
        <w:tc>
          <w:tcPr>
            <w:tcW w:w="1184" w:type="pct"/>
            <w:vAlign w:val="top"/>
          </w:tcPr>
          <w:p w14:paraId="7E81EFB3" w14:textId="119B5900" w:rsidR="00D77979" w:rsidRPr="00CA79D3" w:rsidRDefault="00D77979" w:rsidP="00D77979">
            <w:pPr>
              <w:jc w:val="center"/>
              <w:rPr>
                <w:lang w:val="vi-VN"/>
              </w:rPr>
            </w:pPr>
            <w:r w:rsidRPr="0017726A">
              <w:t>60.8</w:t>
            </w:r>
          </w:p>
        </w:tc>
      </w:tr>
      <w:tr w:rsidR="00D77979" w:rsidRPr="000E5388" w14:paraId="6B2C968A" w14:textId="77777777" w:rsidTr="00C71D5C">
        <w:trPr>
          <w:trHeight w:val="437"/>
        </w:trPr>
        <w:tc>
          <w:tcPr>
            <w:tcW w:w="2478" w:type="pct"/>
          </w:tcPr>
          <w:p w14:paraId="761A42CC" w14:textId="48FC6B14" w:rsidR="00D77979" w:rsidRDefault="00D77979" w:rsidP="00D77979">
            <w:r>
              <w:t>≥25 (Thừa cân hoặc béo phì)</w:t>
            </w:r>
          </w:p>
        </w:tc>
        <w:tc>
          <w:tcPr>
            <w:tcW w:w="1338" w:type="pct"/>
            <w:vAlign w:val="top"/>
          </w:tcPr>
          <w:p w14:paraId="68819108" w14:textId="0FB210A5" w:rsidR="00D77979" w:rsidRPr="00CA79D3" w:rsidRDefault="00D77979" w:rsidP="00D77979">
            <w:pPr>
              <w:jc w:val="center"/>
              <w:rPr>
                <w:lang w:val="vi-VN"/>
              </w:rPr>
            </w:pPr>
            <w:r w:rsidRPr="0017726A">
              <w:t>12</w:t>
            </w:r>
          </w:p>
        </w:tc>
        <w:tc>
          <w:tcPr>
            <w:tcW w:w="1184" w:type="pct"/>
            <w:vAlign w:val="top"/>
          </w:tcPr>
          <w:p w14:paraId="4DA5C2BC" w14:textId="3D3553E5" w:rsidR="00D77979" w:rsidRPr="00CA79D3" w:rsidRDefault="00D77979" w:rsidP="00D77979">
            <w:pPr>
              <w:jc w:val="center"/>
              <w:rPr>
                <w:lang w:val="vi-VN"/>
              </w:rPr>
            </w:pPr>
            <w:r w:rsidRPr="0017726A">
              <w:t>4.8</w:t>
            </w:r>
          </w:p>
        </w:tc>
      </w:tr>
      <w:tr w:rsidR="00D77979" w:rsidRPr="000E5388" w14:paraId="1138F57F" w14:textId="77777777" w:rsidTr="00C71D5C">
        <w:trPr>
          <w:trHeight w:val="437"/>
        </w:trPr>
        <w:tc>
          <w:tcPr>
            <w:tcW w:w="2478" w:type="pct"/>
          </w:tcPr>
          <w:p w14:paraId="289809B8" w14:textId="77777777" w:rsidR="00D77979" w:rsidRDefault="00D77979" w:rsidP="00D77979">
            <w:r>
              <w:t>Tổng</w:t>
            </w:r>
          </w:p>
        </w:tc>
        <w:tc>
          <w:tcPr>
            <w:tcW w:w="1338" w:type="pct"/>
            <w:vAlign w:val="top"/>
          </w:tcPr>
          <w:p w14:paraId="6BB9ACBC" w14:textId="41E05CBF" w:rsidR="00D77979" w:rsidRPr="00CA79D3" w:rsidRDefault="00D77979" w:rsidP="00D77979">
            <w:pPr>
              <w:jc w:val="center"/>
              <w:rPr>
                <w:lang w:val="vi-VN"/>
              </w:rPr>
            </w:pPr>
            <w:r w:rsidRPr="0017726A">
              <w:t>250</w:t>
            </w:r>
          </w:p>
        </w:tc>
        <w:tc>
          <w:tcPr>
            <w:tcW w:w="1184" w:type="pct"/>
            <w:vAlign w:val="top"/>
          </w:tcPr>
          <w:p w14:paraId="4D24A0C8" w14:textId="5752DC15" w:rsidR="00D77979" w:rsidRPr="00CA79D3" w:rsidRDefault="00D77979" w:rsidP="00D77979">
            <w:pPr>
              <w:jc w:val="center"/>
              <w:rPr>
                <w:lang w:val="vi-VN"/>
              </w:rPr>
            </w:pPr>
            <w:r w:rsidRPr="0017726A">
              <w:t>100.0</w:t>
            </w:r>
          </w:p>
        </w:tc>
      </w:tr>
      <w:tr w:rsidR="00F84EF0" w:rsidRPr="000E5388" w14:paraId="13419CD6" w14:textId="77777777" w:rsidTr="00F84EF0">
        <w:trPr>
          <w:trHeight w:val="437"/>
        </w:trPr>
        <w:tc>
          <w:tcPr>
            <w:tcW w:w="2478" w:type="pct"/>
          </w:tcPr>
          <w:p w14:paraId="70250CD7" w14:textId="0AB7A329" w:rsidR="00F84EF0" w:rsidRDefault="00F84EF0" w:rsidP="00D77979">
            <w:r>
              <w:t>Trung bình</w:t>
            </w:r>
          </w:p>
        </w:tc>
        <w:tc>
          <w:tcPr>
            <w:tcW w:w="2522" w:type="pct"/>
            <w:gridSpan w:val="2"/>
            <w:vAlign w:val="top"/>
          </w:tcPr>
          <w:p w14:paraId="0B77F012" w14:textId="61B1632C" w:rsidR="00F84EF0" w:rsidRPr="0017726A" w:rsidRDefault="00F84EF0" w:rsidP="00D77979">
            <w:pPr>
              <w:jc w:val="center"/>
            </w:pPr>
            <w:r>
              <w:t xml:space="preserve">19.597 </w:t>
            </w:r>
            <w:r w:rsidR="00773DF6">
              <w:t>± 2.887</w:t>
            </w:r>
          </w:p>
        </w:tc>
      </w:tr>
    </w:tbl>
    <w:p w14:paraId="512EBEA3" w14:textId="77818520" w:rsidR="00A80220" w:rsidRDefault="00A80220" w:rsidP="00A80220">
      <w:pPr>
        <w:spacing w:before="160"/>
      </w:pPr>
      <w:r>
        <w:t>Nhận xét:</w:t>
      </w:r>
      <w:r w:rsidR="00E2464B">
        <w:t xml:space="preserve"> Đánh giá trình trạng dinh dưỡng theo BMI trên 250 </w:t>
      </w:r>
      <w:r w:rsidR="004963D9">
        <w:t>bệnh nhân</w:t>
      </w:r>
      <w:r w:rsidR="00E2464B">
        <w:t xml:space="preserve">, có 8.4% </w:t>
      </w:r>
      <w:r w:rsidR="001653D0">
        <w:t xml:space="preserve">(21 bệnh nhân) </w:t>
      </w:r>
      <w:r w:rsidR="00E2464B">
        <w:t>SDD độ I, 8.8%</w:t>
      </w:r>
      <w:r w:rsidR="001653D0">
        <w:t xml:space="preserve"> (22 bệnh nhân)</w:t>
      </w:r>
      <w:r w:rsidR="00E2464B">
        <w:t xml:space="preserve"> SDD độ II, 17.2%</w:t>
      </w:r>
      <w:r w:rsidR="001653D0">
        <w:t xml:space="preserve"> (43 bệnh nhân)</w:t>
      </w:r>
      <w:r w:rsidR="00E2464B">
        <w:t xml:space="preserve"> SDD độ III</w:t>
      </w:r>
      <w:r w:rsidR="008D552A">
        <w:t xml:space="preserve"> và 65.6% </w:t>
      </w:r>
      <w:r w:rsidR="00045C97">
        <w:t>(164 bệnh nhân)</w:t>
      </w:r>
      <w:r w:rsidR="008D552A">
        <w:t xml:space="preserve"> không bị SDD.</w:t>
      </w:r>
      <w:r w:rsidR="008032B8">
        <w:t xml:space="preserve"> Giá trị BMI nhỏ nhất là 12.4 và lớn nhất là 31.8, trung bình BMI </w:t>
      </w:r>
      <w:r w:rsidR="00AF62B6">
        <w:t>19.597 ± 2.887.</w:t>
      </w:r>
    </w:p>
    <w:p w14:paraId="0FF3E830" w14:textId="14126140" w:rsidR="00F724BC" w:rsidRPr="00707BC9" w:rsidRDefault="00F724BC" w:rsidP="00F724BC">
      <w:pPr>
        <w:pStyle w:val="Caption"/>
        <w:rPr>
          <w:b w:val="0"/>
          <w:bCs/>
        </w:rPr>
      </w:pPr>
      <w:bookmarkStart w:id="79" w:name="_Toc133590748"/>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5</w:t>
      </w:r>
      <w:r w:rsidR="000A1A5C">
        <w:fldChar w:fldCharType="end"/>
      </w:r>
      <w:r w:rsidRPr="00707BC9">
        <w:rPr>
          <w:bCs/>
        </w:rPr>
        <w:t xml:space="preserve">. Tình trạng dinh dưỡng theo </w:t>
      </w:r>
      <w:r>
        <w:rPr>
          <w:bCs/>
        </w:rPr>
        <w:t>SGA</w:t>
      </w:r>
      <w:bookmarkEnd w:id="79"/>
    </w:p>
    <w:tbl>
      <w:tblPr>
        <w:tblStyle w:val="TableGrid"/>
        <w:tblW w:w="5000" w:type="pct"/>
        <w:tblInd w:w="0" w:type="dxa"/>
        <w:tblLook w:val="01E0" w:firstRow="1" w:lastRow="1" w:firstColumn="1" w:lastColumn="1" w:noHBand="0" w:noVBand="0"/>
      </w:tblPr>
      <w:tblGrid>
        <w:gridCol w:w="5070"/>
        <w:gridCol w:w="1975"/>
        <w:gridCol w:w="2066"/>
      </w:tblGrid>
      <w:tr w:rsidR="00A80220" w:rsidRPr="000E5388" w14:paraId="298B76F4" w14:textId="77777777" w:rsidTr="00CA0A57">
        <w:trPr>
          <w:trHeight w:val="589"/>
        </w:trPr>
        <w:tc>
          <w:tcPr>
            <w:tcW w:w="2782" w:type="pct"/>
            <w:tcBorders>
              <w:tl2br w:val="single" w:sz="4" w:space="0" w:color="auto"/>
            </w:tcBorders>
            <w:hideMark/>
          </w:tcPr>
          <w:p w14:paraId="21125847" w14:textId="77777777" w:rsidR="002D6DDE" w:rsidRPr="00314C57" w:rsidRDefault="002D6DDE" w:rsidP="002D6DDE">
            <w:pPr>
              <w:jc w:val="right"/>
              <w:rPr>
                <w:b/>
                <w:bCs/>
              </w:rPr>
            </w:pPr>
            <w:r>
              <w:rPr>
                <w:b/>
                <w:bCs/>
              </w:rPr>
              <w:t>Bệnh nhân</w:t>
            </w:r>
          </w:p>
          <w:p w14:paraId="19E50825" w14:textId="396DC01F" w:rsidR="00A80220" w:rsidRPr="00612BEA" w:rsidRDefault="00FF5F23" w:rsidP="00C767F1">
            <w:pPr>
              <w:tabs>
                <w:tab w:val="left" w:pos="284"/>
              </w:tabs>
              <w:spacing w:after="0"/>
              <w:rPr>
                <w:rFonts w:eastAsia=".VnTime"/>
                <w:b/>
                <w:bCs/>
              </w:rPr>
            </w:pPr>
            <w:r>
              <w:rPr>
                <w:b/>
                <w:bCs/>
              </w:rPr>
              <w:t>TTDD</w:t>
            </w:r>
          </w:p>
        </w:tc>
        <w:tc>
          <w:tcPr>
            <w:tcW w:w="1084" w:type="pct"/>
            <w:hideMark/>
          </w:tcPr>
          <w:p w14:paraId="02762CD8" w14:textId="77777777" w:rsidR="00A80220" w:rsidRPr="00D25C00" w:rsidRDefault="00A80220" w:rsidP="00C767F1">
            <w:pPr>
              <w:tabs>
                <w:tab w:val="left" w:pos="284"/>
              </w:tabs>
              <w:spacing w:after="0"/>
              <w:jc w:val="center"/>
              <w:rPr>
                <w:rFonts w:eastAsia=".VnTime"/>
                <w:b/>
                <w:bCs/>
                <w:lang w:val="vi-VN"/>
              </w:rPr>
            </w:pPr>
            <w:r w:rsidRPr="000E5388">
              <w:rPr>
                <w:rFonts w:eastAsia=".VnTime"/>
                <w:b/>
                <w:bCs/>
                <w:lang w:val="vi-VN"/>
              </w:rPr>
              <w:t>n</w:t>
            </w:r>
          </w:p>
        </w:tc>
        <w:tc>
          <w:tcPr>
            <w:tcW w:w="1134" w:type="pct"/>
            <w:hideMark/>
          </w:tcPr>
          <w:p w14:paraId="0AA2FB33" w14:textId="77777777" w:rsidR="00A80220" w:rsidRPr="00D25C00" w:rsidRDefault="00A80220" w:rsidP="00C767F1">
            <w:pPr>
              <w:tabs>
                <w:tab w:val="left" w:pos="284"/>
              </w:tabs>
              <w:spacing w:after="0"/>
              <w:jc w:val="center"/>
              <w:rPr>
                <w:rFonts w:eastAsia=".VnTime"/>
                <w:b/>
                <w:bCs/>
                <w:lang w:val="vi-VN"/>
              </w:rPr>
            </w:pPr>
            <w:r w:rsidRPr="00D25C00">
              <w:rPr>
                <w:rFonts w:eastAsia=".VnTime"/>
                <w:b/>
                <w:bCs/>
                <w:lang w:val="vi-VN"/>
              </w:rPr>
              <w:t>%</w:t>
            </w:r>
          </w:p>
        </w:tc>
      </w:tr>
      <w:tr w:rsidR="00871A91" w:rsidRPr="000E5388" w14:paraId="716485C4" w14:textId="77777777" w:rsidTr="006410DA">
        <w:trPr>
          <w:trHeight w:val="437"/>
        </w:trPr>
        <w:tc>
          <w:tcPr>
            <w:tcW w:w="2782" w:type="pct"/>
            <w:hideMark/>
          </w:tcPr>
          <w:p w14:paraId="665F3DBC" w14:textId="3D21D775" w:rsidR="00871A91" w:rsidRPr="00C4380D" w:rsidRDefault="00871A91" w:rsidP="00871A91">
            <w:r>
              <w:t>SGA A (Không có nguy cơ SDD)</w:t>
            </w:r>
          </w:p>
        </w:tc>
        <w:tc>
          <w:tcPr>
            <w:tcW w:w="1084" w:type="pct"/>
            <w:vAlign w:val="top"/>
          </w:tcPr>
          <w:p w14:paraId="6ED046E3" w14:textId="3A28B7EE" w:rsidR="00871A91" w:rsidRPr="00CA79D3" w:rsidRDefault="00871A91" w:rsidP="00871A91">
            <w:pPr>
              <w:tabs>
                <w:tab w:val="left" w:pos="284"/>
              </w:tabs>
              <w:spacing w:after="0"/>
              <w:jc w:val="center"/>
              <w:rPr>
                <w:lang w:val="vi-VN"/>
              </w:rPr>
            </w:pPr>
            <w:r w:rsidRPr="00F71708">
              <w:t>157</w:t>
            </w:r>
          </w:p>
        </w:tc>
        <w:tc>
          <w:tcPr>
            <w:tcW w:w="1134" w:type="pct"/>
            <w:vAlign w:val="top"/>
          </w:tcPr>
          <w:p w14:paraId="473C5A64" w14:textId="4724EC45" w:rsidR="00871A91" w:rsidRPr="00CA79D3" w:rsidRDefault="00871A91" w:rsidP="00871A91">
            <w:pPr>
              <w:tabs>
                <w:tab w:val="left" w:pos="284"/>
              </w:tabs>
              <w:spacing w:after="0"/>
              <w:jc w:val="center"/>
              <w:rPr>
                <w:lang w:val="vi-VN"/>
              </w:rPr>
            </w:pPr>
            <w:r w:rsidRPr="00F71708">
              <w:t>62.8</w:t>
            </w:r>
          </w:p>
        </w:tc>
      </w:tr>
      <w:tr w:rsidR="00871A91" w:rsidRPr="000E5388" w14:paraId="5182AEC7" w14:textId="77777777" w:rsidTr="006410DA">
        <w:trPr>
          <w:trHeight w:val="437"/>
        </w:trPr>
        <w:tc>
          <w:tcPr>
            <w:tcW w:w="2782" w:type="pct"/>
          </w:tcPr>
          <w:p w14:paraId="386CAF6F" w14:textId="2B9C1EBA" w:rsidR="00871A91" w:rsidRPr="00C4380D" w:rsidRDefault="00871A91" w:rsidP="00871A91">
            <w:r>
              <w:t>SGA B (SDD nhẹ đến trung bình)</w:t>
            </w:r>
          </w:p>
        </w:tc>
        <w:tc>
          <w:tcPr>
            <w:tcW w:w="1084" w:type="pct"/>
            <w:vAlign w:val="top"/>
          </w:tcPr>
          <w:p w14:paraId="3C92F949" w14:textId="6E88DF7E" w:rsidR="00871A91" w:rsidRPr="00CA79D3" w:rsidRDefault="00871A91" w:rsidP="00871A91">
            <w:pPr>
              <w:tabs>
                <w:tab w:val="left" w:pos="284"/>
              </w:tabs>
              <w:spacing w:after="0"/>
              <w:jc w:val="center"/>
              <w:rPr>
                <w:lang w:val="vi-VN"/>
              </w:rPr>
            </w:pPr>
            <w:r w:rsidRPr="00F71708">
              <w:t>80</w:t>
            </w:r>
          </w:p>
        </w:tc>
        <w:tc>
          <w:tcPr>
            <w:tcW w:w="1134" w:type="pct"/>
            <w:vAlign w:val="top"/>
          </w:tcPr>
          <w:p w14:paraId="6D7235B1" w14:textId="13F2C91B" w:rsidR="00871A91" w:rsidRPr="00CA79D3" w:rsidRDefault="00871A91" w:rsidP="00871A91">
            <w:pPr>
              <w:tabs>
                <w:tab w:val="left" w:pos="284"/>
              </w:tabs>
              <w:spacing w:after="0"/>
              <w:jc w:val="center"/>
              <w:rPr>
                <w:lang w:val="vi-VN"/>
              </w:rPr>
            </w:pPr>
            <w:r w:rsidRPr="00F71708">
              <w:t>32.0</w:t>
            </w:r>
          </w:p>
        </w:tc>
      </w:tr>
      <w:tr w:rsidR="00871A91" w:rsidRPr="000E5388" w14:paraId="0AF4C674" w14:textId="77777777" w:rsidTr="006410DA">
        <w:trPr>
          <w:trHeight w:val="437"/>
        </w:trPr>
        <w:tc>
          <w:tcPr>
            <w:tcW w:w="2782" w:type="pct"/>
          </w:tcPr>
          <w:p w14:paraId="1D77DC4A" w14:textId="3FC0CF05" w:rsidR="00871A91" w:rsidRDefault="00871A91" w:rsidP="00871A91">
            <w:r>
              <w:t>SGA C (SDD nặng)</w:t>
            </w:r>
          </w:p>
        </w:tc>
        <w:tc>
          <w:tcPr>
            <w:tcW w:w="1084" w:type="pct"/>
            <w:vAlign w:val="top"/>
          </w:tcPr>
          <w:p w14:paraId="1A4ACE1D" w14:textId="6419CCAD" w:rsidR="00871A91" w:rsidRPr="00CA79D3" w:rsidRDefault="00871A91" w:rsidP="00871A91">
            <w:pPr>
              <w:tabs>
                <w:tab w:val="left" w:pos="284"/>
              </w:tabs>
              <w:spacing w:after="0"/>
              <w:jc w:val="center"/>
              <w:rPr>
                <w:lang w:val="vi-VN"/>
              </w:rPr>
            </w:pPr>
            <w:r w:rsidRPr="00F71708">
              <w:t>13</w:t>
            </w:r>
          </w:p>
        </w:tc>
        <w:tc>
          <w:tcPr>
            <w:tcW w:w="1134" w:type="pct"/>
            <w:vAlign w:val="top"/>
          </w:tcPr>
          <w:p w14:paraId="42D1F019" w14:textId="4CCDE7B5" w:rsidR="00871A91" w:rsidRPr="00CA79D3" w:rsidRDefault="00871A91" w:rsidP="00871A91">
            <w:pPr>
              <w:tabs>
                <w:tab w:val="left" w:pos="284"/>
              </w:tabs>
              <w:spacing w:after="0"/>
              <w:jc w:val="center"/>
              <w:rPr>
                <w:lang w:val="vi-VN"/>
              </w:rPr>
            </w:pPr>
            <w:r w:rsidRPr="00F71708">
              <w:t>5.2</w:t>
            </w:r>
          </w:p>
        </w:tc>
      </w:tr>
      <w:tr w:rsidR="00871A91" w:rsidRPr="000E5388" w14:paraId="67C78844" w14:textId="77777777" w:rsidTr="006410DA">
        <w:trPr>
          <w:trHeight w:val="437"/>
        </w:trPr>
        <w:tc>
          <w:tcPr>
            <w:tcW w:w="2782" w:type="pct"/>
          </w:tcPr>
          <w:p w14:paraId="6B6DFBAC" w14:textId="77777777" w:rsidR="00871A91" w:rsidRDefault="00871A91" w:rsidP="00871A91">
            <w:r>
              <w:t>Tổng</w:t>
            </w:r>
          </w:p>
        </w:tc>
        <w:tc>
          <w:tcPr>
            <w:tcW w:w="1084" w:type="pct"/>
            <w:vAlign w:val="top"/>
          </w:tcPr>
          <w:p w14:paraId="755CE3C7" w14:textId="123EE2F3" w:rsidR="00871A91" w:rsidRPr="00CA79D3" w:rsidRDefault="00871A91" w:rsidP="00871A91">
            <w:pPr>
              <w:tabs>
                <w:tab w:val="left" w:pos="284"/>
              </w:tabs>
              <w:spacing w:after="0"/>
              <w:jc w:val="center"/>
              <w:rPr>
                <w:lang w:val="vi-VN"/>
              </w:rPr>
            </w:pPr>
            <w:r w:rsidRPr="00F71708">
              <w:t>250</w:t>
            </w:r>
          </w:p>
        </w:tc>
        <w:tc>
          <w:tcPr>
            <w:tcW w:w="1134" w:type="pct"/>
            <w:vAlign w:val="top"/>
          </w:tcPr>
          <w:p w14:paraId="079B3186" w14:textId="11952FBD" w:rsidR="00871A91" w:rsidRPr="00CA79D3" w:rsidRDefault="00871A91" w:rsidP="00871A91">
            <w:pPr>
              <w:tabs>
                <w:tab w:val="left" w:pos="284"/>
              </w:tabs>
              <w:spacing w:after="0"/>
              <w:jc w:val="center"/>
              <w:rPr>
                <w:lang w:val="vi-VN"/>
              </w:rPr>
            </w:pPr>
            <w:r w:rsidRPr="00F71708">
              <w:t>100.0</w:t>
            </w:r>
          </w:p>
        </w:tc>
      </w:tr>
    </w:tbl>
    <w:p w14:paraId="6CC38772" w14:textId="58BC2C65" w:rsidR="00A80220" w:rsidRDefault="00A80220" w:rsidP="0034545A">
      <w:pPr>
        <w:spacing w:before="160"/>
      </w:pPr>
      <w:r>
        <w:t>Nhận xét:</w:t>
      </w:r>
      <w:r w:rsidR="00635C3B">
        <w:t xml:space="preserve"> Đánh giá trình trạng dinh dưỡng theo SGA trên 250 bệnh nhân, có </w:t>
      </w:r>
      <w:r w:rsidR="00856D61">
        <w:t>32.0</w:t>
      </w:r>
      <w:r w:rsidR="00635C3B">
        <w:t>%</w:t>
      </w:r>
      <w:r w:rsidR="006F31D8">
        <w:t xml:space="preserve"> (80 bệnh nhân)</w:t>
      </w:r>
      <w:r w:rsidR="00635C3B">
        <w:t xml:space="preserve"> SDD </w:t>
      </w:r>
      <w:r w:rsidR="00856D61">
        <w:t>nhẹ đến trung bình</w:t>
      </w:r>
      <w:r w:rsidR="00635C3B">
        <w:t xml:space="preserve">, </w:t>
      </w:r>
      <w:r w:rsidR="00DF7F64">
        <w:t>5.2</w:t>
      </w:r>
      <w:r w:rsidR="00635C3B">
        <w:t>%</w:t>
      </w:r>
      <w:r w:rsidR="006F31D8">
        <w:t xml:space="preserve"> (13 bệnh nhân)</w:t>
      </w:r>
      <w:r w:rsidR="00635C3B">
        <w:t xml:space="preserve"> SDD </w:t>
      </w:r>
      <w:r w:rsidR="00DF7F64">
        <w:t>nặng và</w:t>
      </w:r>
      <w:r w:rsidR="00635C3B">
        <w:t xml:space="preserve"> </w:t>
      </w:r>
      <w:r w:rsidR="00DF7F64">
        <w:t>62.8</w:t>
      </w:r>
      <w:r w:rsidR="00635C3B">
        <w:t>%</w:t>
      </w:r>
      <w:r w:rsidR="006F31D8">
        <w:t xml:space="preserve"> (157 bệnh nhân)</w:t>
      </w:r>
      <w:r w:rsidR="00635C3B">
        <w:t xml:space="preserve"> </w:t>
      </w:r>
      <w:r w:rsidR="00DF7F64">
        <w:t>có biểu hiện bình thường</w:t>
      </w:r>
      <w:r w:rsidR="00635C3B">
        <w:t>.</w:t>
      </w:r>
    </w:p>
    <w:p w14:paraId="01123E96" w14:textId="5F6A17D1" w:rsidR="00304CA8" w:rsidRDefault="00304CA8" w:rsidP="00304CA8">
      <w:pPr>
        <w:pStyle w:val="Heading2"/>
      </w:pPr>
      <w:bookmarkStart w:id="80" w:name="_Toc126527763"/>
      <w:bookmarkStart w:id="81" w:name="_Toc133590781"/>
      <w:r>
        <w:lastRenderedPageBreak/>
        <w:t>3.</w:t>
      </w:r>
      <w:r w:rsidR="009C1972">
        <w:t>3</w:t>
      </w:r>
      <w:r>
        <w:t>. Tình trạng dinh dưỡng và các yếu tố liên quan của đối tượng</w:t>
      </w:r>
      <w:r w:rsidR="0023727E">
        <w:t xml:space="preserve"> </w:t>
      </w:r>
      <w:r>
        <w:t>nghiên cứu</w:t>
      </w:r>
      <w:bookmarkEnd w:id="81"/>
    </w:p>
    <w:p w14:paraId="7696968E" w14:textId="6D4F9955" w:rsidR="00243553" w:rsidRPr="00E752EB" w:rsidRDefault="00243553" w:rsidP="00243553">
      <w:pPr>
        <w:pStyle w:val="Heading3"/>
      </w:pPr>
      <w:r>
        <w:t>3.3.1. Mối liên quan giữa nhóm tuổi và tình trạng dinh dưỡng</w:t>
      </w:r>
    </w:p>
    <w:p w14:paraId="0A1AB7EE" w14:textId="068031F5" w:rsidR="00243553" w:rsidRPr="00707BC9" w:rsidRDefault="00243553" w:rsidP="00243553">
      <w:pPr>
        <w:pStyle w:val="Caption"/>
        <w:rPr>
          <w:b w:val="0"/>
          <w:bCs/>
        </w:rPr>
      </w:pPr>
      <w:bookmarkStart w:id="82" w:name="_Toc133590749"/>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6</w:t>
      </w:r>
      <w:r w:rsidR="000A1A5C">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TTDD theo BMI</w:t>
      </w:r>
      <w:bookmarkEnd w:id="82"/>
    </w:p>
    <w:tbl>
      <w:tblPr>
        <w:tblStyle w:val="TableGrid"/>
        <w:tblW w:w="5000" w:type="pct"/>
        <w:tblInd w:w="0" w:type="dxa"/>
        <w:tblLook w:val="04A0" w:firstRow="1" w:lastRow="0" w:firstColumn="1" w:lastColumn="0" w:noHBand="0" w:noVBand="1"/>
      </w:tblPr>
      <w:tblGrid>
        <w:gridCol w:w="3615"/>
        <w:gridCol w:w="2168"/>
        <w:gridCol w:w="1932"/>
        <w:gridCol w:w="1396"/>
      </w:tblGrid>
      <w:tr w:rsidR="00243553" w14:paraId="41E42249" w14:textId="77777777" w:rsidTr="002B361A">
        <w:tc>
          <w:tcPr>
            <w:tcW w:w="1984" w:type="pct"/>
            <w:vMerge w:val="restart"/>
            <w:tcBorders>
              <w:tl2br w:val="single" w:sz="4" w:space="0" w:color="auto"/>
            </w:tcBorders>
          </w:tcPr>
          <w:p w14:paraId="3E0EE021" w14:textId="77777777" w:rsidR="00243553" w:rsidRPr="002A15EF" w:rsidRDefault="00243553" w:rsidP="002B361A">
            <w:pPr>
              <w:jc w:val="right"/>
              <w:rPr>
                <w:b/>
                <w:bCs/>
                <w:szCs w:val="28"/>
              </w:rPr>
            </w:pPr>
            <w:r>
              <w:rPr>
                <w:b/>
                <w:bCs/>
                <w:szCs w:val="28"/>
              </w:rPr>
              <w:t>TTDD</w:t>
            </w:r>
          </w:p>
          <w:p w14:paraId="5BB93471" w14:textId="77777777" w:rsidR="00243553" w:rsidRDefault="00243553" w:rsidP="002B361A">
            <w:pPr>
              <w:rPr>
                <w:b/>
                <w:bCs/>
                <w:szCs w:val="28"/>
              </w:rPr>
            </w:pPr>
          </w:p>
          <w:p w14:paraId="6B1DC6D0" w14:textId="77777777" w:rsidR="00243553" w:rsidRPr="002A15EF" w:rsidRDefault="00243553" w:rsidP="002B361A">
            <w:pPr>
              <w:rPr>
                <w:b/>
                <w:bCs/>
                <w:szCs w:val="28"/>
              </w:rPr>
            </w:pPr>
            <w:r>
              <w:rPr>
                <w:b/>
                <w:bCs/>
                <w:szCs w:val="28"/>
              </w:rPr>
              <w:t>Nhóm tuổi</w:t>
            </w:r>
          </w:p>
        </w:tc>
        <w:tc>
          <w:tcPr>
            <w:tcW w:w="2250" w:type="pct"/>
            <w:gridSpan w:val="2"/>
          </w:tcPr>
          <w:p w14:paraId="70610BC0" w14:textId="77777777" w:rsidR="00243553" w:rsidRPr="002A15EF" w:rsidRDefault="00243553" w:rsidP="002B361A">
            <w:pPr>
              <w:jc w:val="center"/>
              <w:rPr>
                <w:b/>
                <w:bCs/>
                <w:szCs w:val="28"/>
              </w:rPr>
            </w:pPr>
            <w:r>
              <w:rPr>
                <w:b/>
                <w:bCs/>
                <w:szCs w:val="28"/>
              </w:rPr>
              <w:t>BMI</w:t>
            </w:r>
          </w:p>
        </w:tc>
        <w:tc>
          <w:tcPr>
            <w:tcW w:w="766" w:type="pct"/>
            <w:vMerge w:val="restart"/>
          </w:tcPr>
          <w:p w14:paraId="560CBE0F" w14:textId="77777777" w:rsidR="00243553" w:rsidRPr="002A15EF" w:rsidRDefault="00243553" w:rsidP="002B361A">
            <w:pPr>
              <w:jc w:val="center"/>
              <w:rPr>
                <w:b/>
                <w:bCs/>
                <w:szCs w:val="28"/>
              </w:rPr>
            </w:pPr>
            <w:r w:rsidRPr="002A15EF">
              <w:rPr>
                <w:b/>
                <w:bCs/>
                <w:szCs w:val="28"/>
              </w:rPr>
              <w:t>p</w:t>
            </w:r>
          </w:p>
        </w:tc>
      </w:tr>
      <w:tr w:rsidR="00243553" w14:paraId="6CA8B4F2" w14:textId="77777777" w:rsidTr="002B361A">
        <w:tc>
          <w:tcPr>
            <w:tcW w:w="1984" w:type="pct"/>
            <w:vMerge/>
            <w:tcBorders>
              <w:tl2br w:val="single" w:sz="4" w:space="0" w:color="auto"/>
            </w:tcBorders>
          </w:tcPr>
          <w:p w14:paraId="68042661" w14:textId="77777777" w:rsidR="00243553" w:rsidRPr="002A15EF" w:rsidRDefault="00243553" w:rsidP="002B361A">
            <w:pPr>
              <w:rPr>
                <w:szCs w:val="28"/>
              </w:rPr>
            </w:pPr>
          </w:p>
        </w:tc>
        <w:tc>
          <w:tcPr>
            <w:tcW w:w="1190" w:type="pct"/>
          </w:tcPr>
          <w:p w14:paraId="02414B9B" w14:textId="77777777" w:rsidR="00243553" w:rsidRDefault="00243553" w:rsidP="002B361A">
            <w:pPr>
              <w:jc w:val="center"/>
              <w:rPr>
                <w:b/>
                <w:bCs/>
                <w:szCs w:val="28"/>
              </w:rPr>
            </w:pPr>
            <w:r>
              <w:rPr>
                <w:b/>
                <w:bCs/>
                <w:szCs w:val="28"/>
              </w:rPr>
              <w:t>Không SDD</w:t>
            </w:r>
          </w:p>
          <w:p w14:paraId="1DFE3029" w14:textId="77777777" w:rsidR="00243553" w:rsidRPr="002A15EF" w:rsidRDefault="00243553" w:rsidP="002B361A">
            <w:pPr>
              <w:jc w:val="center"/>
              <w:rPr>
                <w:b/>
                <w:bCs/>
                <w:szCs w:val="28"/>
              </w:rPr>
            </w:pPr>
            <w:r>
              <w:rPr>
                <w:b/>
                <w:bCs/>
                <w:szCs w:val="28"/>
              </w:rPr>
              <w:t xml:space="preserve">(n, </w:t>
            </w:r>
            <w:r w:rsidRPr="002A15EF">
              <w:rPr>
                <w:b/>
                <w:bCs/>
                <w:szCs w:val="28"/>
              </w:rPr>
              <w:t>%</w:t>
            </w:r>
            <w:r>
              <w:rPr>
                <w:b/>
                <w:bCs/>
                <w:szCs w:val="28"/>
              </w:rPr>
              <w:t>)</w:t>
            </w:r>
          </w:p>
        </w:tc>
        <w:tc>
          <w:tcPr>
            <w:tcW w:w="1060" w:type="pct"/>
          </w:tcPr>
          <w:p w14:paraId="3B8A46E0" w14:textId="77777777" w:rsidR="00243553" w:rsidRPr="002A15EF" w:rsidRDefault="00243553" w:rsidP="002B361A">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766" w:type="pct"/>
            <w:vMerge/>
          </w:tcPr>
          <w:p w14:paraId="42CDCFC6" w14:textId="77777777" w:rsidR="00243553" w:rsidRPr="002A15EF" w:rsidRDefault="00243553" w:rsidP="002B361A">
            <w:pPr>
              <w:jc w:val="center"/>
              <w:rPr>
                <w:szCs w:val="28"/>
              </w:rPr>
            </w:pPr>
          </w:p>
        </w:tc>
      </w:tr>
      <w:tr w:rsidR="00243553" w14:paraId="0F186B1A" w14:textId="77777777" w:rsidTr="002B361A">
        <w:trPr>
          <w:trHeight w:val="354"/>
        </w:trPr>
        <w:tc>
          <w:tcPr>
            <w:tcW w:w="1984" w:type="pct"/>
          </w:tcPr>
          <w:p w14:paraId="1F3295D6" w14:textId="77777777" w:rsidR="00243553" w:rsidRPr="003C2462" w:rsidRDefault="00243553" w:rsidP="002B361A">
            <w:pPr>
              <w:rPr>
                <w:szCs w:val="28"/>
              </w:rPr>
            </w:pPr>
            <w:r>
              <w:rPr>
                <w:szCs w:val="28"/>
              </w:rPr>
              <w:t>15 – 29 tuổi</w:t>
            </w:r>
          </w:p>
        </w:tc>
        <w:tc>
          <w:tcPr>
            <w:tcW w:w="1190" w:type="pct"/>
            <w:vAlign w:val="top"/>
          </w:tcPr>
          <w:p w14:paraId="72AAF833" w14:textId="77777777" w:rsidR="00243553" w:rsidRPr="003C2462" w:rsidRDefault="00243553" w:rsidP="002B361A">
            <w:pPr>
              <w:jc w:val="center"/>
              <w:rPr>
                <w:szCs w:val="28"/>
              </w:rPr>
            </w:pPr>
            <w:r>
              <w:t>16 (</w:t>
            </w:r>
            <w:r w:rsidRPr="0058527A">
              <w:t>47.1%</w:t>
            </w:r>
            <w:r>
              <w:t>)</w:t>
            </w:r>
          </w:p>
        </w:tc>
        <w:tc>
          <w:tcPr>
            <w:tcW w:w="1060" w:type="pct"/>
            <w:vAlign w:val="top"/>
          </w:tcPr>
          <w:p w14:paraId="2400A4FB" w14:textId="77777777" w:rsidR="00243553" w:rsidRPr="003C2462" w:rsidRDefault="00243553" w:rsidP="002B361A">
            <w:pPr>
              <w:jc w:val="center"/>
              <w:rPr>
                <w:szCs w:val="28"/>
              </w:rPr>
            </w:pPr>
            <w:r>
              <w:t>18 (</w:t>
            </w:r>
            <w:r w:rsidRPr="0058527A">
              <w:t>52.9%</w:t>
            </w:r>
            <w:r>
              <w:t>)</w:t>
            </w:r>
          </w:p>
        </w:tc>
        <w:tc>
          <w:tcPr>
            <w:tcW w:w="766" w:type="pct"/>
            <w:vMerge w:val="restart"/>
          </w:tcPr>
          <w:p w14:paraId="47C5ECC0" w14:textId="77777777" w:rsidR="00243553" w:rsidRPr="003C2462" w:rsidRDefault="00243553" w:rsidP="002B361A">
            <w:pPr>
              <w:jc w:val="center"/>
              <w:rPr>
                <w:szCs w:val="28"/>
              </w:rPr>
            </w:pPr>
            <w:r>
              <w:rPr>
                <w:szCs w:val="28"/>
              </w:rPr>
              <w:t>0</w:t>
            </w:r>
            <w:r w:rsidRPr="003B635D">
              <w:rPr>
                <w:szCs w:val="28"/>
              </w:rPr>
              <w:t>.</w:t>
            </w:r>
            <w:r>
              <w:rPr>
                <w:szCs w:val="28"/>
              </w:rPr>
              <w:t>150</w:t>
            </w:r>
          </w:p>
        </w:tc>
      </w:tr>
      <w:tr w:rsidR="00243553" w14:paraId="5C7DBD6E" w14:textId="77777777" w:rsidTr="002B361A">
        <w:trPr>
          <w:trHeight w:val="70"/>
        </w:trPr>
        <w:tc>
          <w:tcPr>
            <w:tcW w:w="1984" w:type="pct"/>
            <w:vAlign w:val="top"/>
          </w:tcPr>
          <w:p w14:paraId="36D186C2" w14:textId="77777777" w:rsidR="00243553" w:rsidRPr="003C2462" w:rsidRDefault="00243553" w:rsidP="002B361A">
            <w:pPr>
              <w:rPr>
                <w:szCs w:val="28"/>
              </w:rPr>
            </w:pPr>
            <w:r>
              <w:rPr>
                <w:szCs w:val="28"/>
              </w:rPr>
              <w:t>30</w:t>
            </w:r>
            <w:r w:rsidRPr="00203D68">
              <w:rPr>
                <w:szCs w:val="28"/>
              </w:rPr>
              <w:t xml:space="preserve"> – </w:t>
            </w:r>
            <w:r>
              <w:rPr>
                <w:szCs w:val="28"/>
              </w:rPr>
              <w:t>3</w:t>
            </w:r>
            <w:r w:rsidRPr="00203D68">
              <w:rPr>
                <w:szCs w:val="28"/>
              </w:rPr>
              <w:t>9 tuổi</w:t>
            </w:r>
          </w:p>
        </w:tc>
        <w:tc>
          <w:tcPr>
            <w:tcW w:w="1190" w:type="pct"/>
            <w:vAlign w:val="top"/>
          </w:tcPr>
          <w:p w14:paraId="1F2B90CD" w14:textId="77777777" w:rsidR="00243553" w:rsidRPr="003C2462" w:rsidRDefault="00243553" w:rsidP="002B361A">
            <w:pPr>
              <w:jc w:val="center"/>
              <w:rPr>
                <w:szCs w:val="28"/>
              </w:rPr>
            </w:pPr>
            <w:r>
              <w:t>22 (</w:t>
            </w:r>
            <w:r w:rsidRPr="00E93A56">
              <w:t>68.8%</w:t>
            </w:r>
            <w:r>
              <w:t>)</w:t>
            </w:r>
          </w:p>
        </w:tc>
        <w:tc>
          <w:tcPr>
            <w:tcW w:w="1060" w:type="pct"/>
            <w:vAlign w:val="top"/>
          </w:tcPr>
          <w:p w14:paraId="655ED785" w14:textId="77777777" w:rsidR="00243553" w:rsidRPr="003C2462" w:rsidRDefault="00243553" w:rsidP="002B361A">
            <w:pPr>
              <w:jc w:val="center"/>
              <w:rPr>
                <w:szCs w:val="28"/>
              </w:rPr>
            </w:pPr>
            <w:r>
              <w:t>10 (</w:t>
            </w:r>
            <w:r w:rsidRPr="00E93A56">
              <w:t>31.3%</w:t>
            </w:r>
            <w:r>
              <w:t>)</w:t>
            </w:r>
          </w:p>
        </w:tc>
        <w:tc>
          <w:tcPr>
            <w:tcW w:w="766" w:type="pct"/>
            <w:vMerge/>
          </w:tcPr>
          <w:p w14:paraId="027EFB5D" w14:textId="77777777" w:rsidR="00243553" w:rsidRPr="003C2462" w:rsidRDefault="00243553" w:rsidP="002B361A">
            <w:pPr>
              <w:jc w:val="center"/>
              <w:rPr>
                <w:szCs w:val="28"/>
              </w:rPr>
            </w:pPr>
          </w:p>
        </w:tc>
      </w:tr>
      <w:tr w:rsidR="00243553" w14:paraId="2642574B" w14:textId="77777777" w:rsidTr="002B361A">
        <w:trPr>
          <w:trHeight w:val="70"/>
        </w:trPr>
        <w:tc>
          <w:tcPr>
            <w:tcW w:w="1984" w:type="pct"/>
            <w:vAlign w:val="top"/>
          </w:tcPr>
          <w:p w14:paraId="5ED909F7" w14:textId="77777777" w:rsidR="00243553" w:rsidRDefault="00243553" w:rsidP="002B361A">
            <w:r>
              <w:rPr>
                <w:szCs w:val="28"/>
              </w:rPr>
              <w:t>40</w:t>
            </w:r>
            <w:r w:rsidRPr="00203D68">
              <w:rPr>
                <w:szCs w:val="28"/>
              </w:rPr>
              <w:t xml:space="preserve"> – </w:t>
            </w:r>
            <w:r>
              <w:rPr>
                <w:szCs w:val="28"/>
              </w:rPr>
              <w:t>4</w:t>
            </w:r>
            <w:r w:rsidRPr="00203D68">
              <w:rPr>
                <w:szCs w:val="28"/>
              </w:rPr>
              <w:t>9 tuổi</w:t>
            </w:r>
          </w:p>
        </w:tc>
        <w:tc>
          <w:tcPr>
            <w:tcW w:w="1190" w:type="pct"/>
            <w:vAlign w:val="top"/>
          </w:tcPr>
          <w:p w14:paraId="476033E1" w14:textId="77777777" w:rsidR="00243553" w:rsidRDefault="00243553" w:rsidP="002B361A">
            <w:pPr>
              <w:jc w:val="center"/>
            </w:pPr>
            <w:r>
              <w:t>35 (</w:t>
            </w:r>
            <w:r w:rsidRPr="00C06451">
              <w:t>64.8%</w:t>
            </w:r>
            <w:r>
              <w:t>)</w:t>
            </w:r>
          </w:p>
        </w:tc>
        <w:tc>
          <w:tcPr>
            <w:tcW w:w="1060" w:type="pct"/>
            <w:vAlign w:val="top"/>
          </w:tcPr>
          <w:p w14:paraId="50B30ED6" w14:textId="77777777" w:rsidR="00243553" w:rsidRDefault="00243553" w:rsidP="002B361A">
            <w:pPr>
              <w:jc w:val="center"/>
            </w:pPr>
            <w:r>
              <w:t>19 (</w:t>
            </w:r>
            <w:r w:rsidRPr="00C06451">
              <w:t>35.2%</w:t>
            </w:r>
            <w:r>
              <w:t>)</w:t>
            </w:r>
          </w:p>
        </w:tc>
        <w:tc>
          <w:tcPr>
            <w:tcW w:w="766" w:type="pct"/>
            <w:vMerge/>
          </w:tcPr>
          <w:p w14:paraId="004D0841" w14:textId="77777777" w:rsidR="00243553" w:rsidRPr="003C2462" w:rsidRDefault="00243553" w:rsidP="002B361A">
            <w:pPr>
              <w:jc w:val="center"/>
            </w:pPr>
          </w:p>
        </w:tc>
      </w:tr>
      <w:tr w:rsidR="00243553" w14:paraId="167D347A" w14:textId="77777777" w:rsidTr="002B361A">
        <w:trPr>
          <w:trHeight w:val="70"/>
        </w:trPr>
        <w:tc>
          <w:tcPr>
            <w:tcW w:w="1984" w:type="pct"/>
            <w:vAlign w:val="top"/>
          </w:tcPr>
          <w:p w14:paraId="5A1B9C22" w14:textId="77777777" w:rsidR="00243553" w:rsidRDefault="00243553" w:rsidP="002B361A">
            <w:r>
              <w:rPr>
                <w:szCs w:val="28"/>
              </w:rPr>
              <w:t>50</w:t>
            </w:r>
            <w:r w:rsidRPr="00203D68">
              <w:rPr>
                <w:szCs w:val="28"/>
              </w:rPr>
              <w:t xml:space="preserve"> – </w:t>
            </w:r>
            <w:r>
              <w:rPr>
                <w:szCs w:val="28"/>
              </w:rPr>
              <w:t>5</w:t>
            </w:r>
            <w:r w:rsidRPr="00203D68">
              <w:rPr>
                <w:szCs w:val="28"/>
              </w:rPr>
              <w:t>9 tuổi</w:t>
            </w:r>
          </w:p>
        </w:tc>
        <w:tc>
          <w:tcPr>
            <w:tcW w:w="1190" w:type="pct"/>
            <w:vAlign w:val="top"/>
          </w:tcPr>
          <w:p w14:paraId="70419BF1" w14:textId="77777777" w:rsidR="00243553" w:rsidRDefault="00243553" w:rsidP="002B361A">
            <w:pPr>
              <w:jc w:val="center"/>
            </w:pPr>
            <w:r>
              <w:t>35 (</w:t>
            </w:r>
            <w:r w:rsidRPr="0003181D">
              <w:t>72.9%</w:t>
            </w:r>
            <w:r>
              <w:t>)</w:t>
            </w:r>
          </w:p>
        </w:tc>
        <w:tc>
          <w:tcPr>
            <w:tcW w:w="1060" w:type="pct"/>
            <w:vAlign w:val="top"/>
          </w:tcPr>
          <w:p w14:paraId="2008535B" w14:textId="77777777" w:rsidR="00243553" w:rsidRDefault="00243553" w:rsidP="002B361A">
            <w:pPr>
              <w:jc w:val="center"/>
            </w:pPr>
            <w:r>
              <w:t>13 (</w:t>
            </w:r>
            <w:r w:rsidRPr="0003181D">
              <w:t>27.1%</w:t>
            </w:r>
            <w:r>
              <w:t>)</w:t>
            </w:r>
          </w:p>
        </w:tc>
        <w:tc>
          <w:tcPr>
            <w:tcW w:w="766" w:type="pct"/>
            <w:vMerge/>
          </w:tcPr>
          <w:p w14:paraId="7A7285A0" w14:textId="77777777" w:rsidR="00243553" w:rsidRPr="003C2462" w:rsidRDefault="00243553" w:rsidP="002B361A">
            <w:pPr>
              <w:jc w:val="center"/>
            </w:pPr>
          </w:p>
        </w:tc>
      </w:tr>
      <w:tr w:rsidR="00243553" w14:paraId="053339EB" w14:textId="77777777" w:rsidTr="002B361A">
        <w:trPr>
          <w:trHeight w:val="70"/>
        </w:trPr>
        <w:tc>
          <w:tcPr>
            <w:tcW w:w="1984" w:type="pct"/>
            <w:vAlign w:val="top"/>
          </w:tcPr>
          <w:p w14:paraId="5C52EEC8" w14:textId="77777777" w:rsidR="00243553" w:rsidRDefault="00243553" w:rsidP="002B361A">
            <w:r>
              <w:rPr>
                <w:szCs w:val="28"/>
              </w:rPr>
              <w:t>≥60</w:t>
            </w:r>
            <w:r w:rsidRPr="00203D68">
              <w:rPr>
                <w:szCs w:val="28"/>
              </w:rPr>
              <w:t xml:space="preserve"> tuổi</w:t>
            </w:r>
          </w:p>
        </w:tc>
        <w:tc>
          <w:tcPr>
            <w:tcW w:w="1190" w:type="pct"/>
            <w:vAlign w:val="top"/>
          </w:tcPr>
          <w:p w14:paraId="749F4CEA" w14:textId="77777777" w:rsidR="00243553" w:rsidRDefault="00243553" w:rsidP="002B361A">
            <w:pPr>
              <w:jc w:val="center"/>
            </w:pPr>
            <w:r>
              <w:t>56 (</w:t>
            </w:r>
            <w:r w:rsidRPr="0093192F">
              <w:t>68.3%</w:t>
            </w:r>
            <w:r>
              <w:t>)</w:t>
            </w:r>
          </w:p>
        </w:tc>
        <w:tc>
          <w:tcPr>
            <w:tcW w:w="1060" w:type="pct"/>
            <w:vAlign w:val="top"/>
          </w:tcPr>
          <w:p w14:paraId="1E569A2E" w14:textId="77777777" w:rsidR="00243553" w:rsidRDefault="00243553" w:rsidP="002B361A">
            <w:pPr>
              <w:jc w:val="center"/>
            </w:pPr>
            <w:r>
              <w:t>26 (</w:t>
            </w:r>
            <w:r w:rsidRPr="0093192F">
              <w:t>31.7%</w:t>
            </w:r>
            <w:r>
              <w:t>)</w:t>
            </w:r>
          </w:p>
        </w:tc>
        <w:tc>
          <w:tcPr>
            <w:tcW w:w="766" w:type="pct"/>
            <w:vMerge/>
          </w:tcPr>
          <w:p w14:paraId="7B65A336" w14:textId="77777777" w:rsidR="00243553" w:rsidRPr="003C2462" w:rsidRDefault="00243553" w:rsidP="002B361A">
            <w:pPr>
              <w:jc w:val="center"/>
            </w:pPr>
          </w:p>
        </w:tc>
      </w:tr>
    </w:tbl>
    <w:p w14:paraId="1941A40C" w14:textId="77777777" w:rsidR="00243553" w:rsidRDefault="00243553" w:rsidP="00243553">
      <w:pPr>
        <w:tabs>
          <w:tab w:val="left" w:pos="2400"/>
        </w:tabs>
        <w:spacing w:before="160"/>
      </w:pPr>
      <w:r>
        <w:t>Nhận xét: Đánh giá SDD theo BMI, nhóm 15 – 29 tuổi có tỷ lệ bệnh nhân SDD cao nhất là 52.9%, tiếp theo là nhóm 40</w:t>
      </w:r>
      <w:r w:rsidRPr="00203D68">
        <w:t xml:space="preserve"> – </w:t>
      </w:r>
      <w:r>
        <w:t>4</w:t>
      </w:r>
      <w:r w:rsidRPr="00203D68">
        <w:t>9</w:t>
      </w:r>
      <w:r>
        <w:t>,  ≥60, 30</w:t>
      </w:r>
      <w:r w:rsidRPr="00203D68">
        <w:t xml:space="preserve"> – </w:t>
      </w:r>
      <w:r>
        <w:t>3</w:t>
      </w:r>
      <w:r w:rsidRPr="00203D68">
        <w:t>9 tuổi</w:t>
      </w:r>
      <w:r>
        <w:t xml:space="preserve"> lần lượt là 35.2%, 31.7% và 31.3%, nhóm 50</w:t>
      </w:r>
      <w:r w:rsidRPr="00203D68">
        <w:t xml:space="preserve"> – </w:t>
      </w:r>
      <w:r>
        <w:t>5</w:t>
      </w:r>
      <w:r w:rsidRPr="00203D68">
        <w:t>9 tuổi</w:t>
      </w:r>
      <w:r>
        <w:t xml:space="preserve"> có tỷ lệ bệnh nhân SDD thấp nhất là 27.1%. Tuy nhiên, sự khác biệt chưa có ý nghĩa thống kê với p = 0.150.</w:t>
      </w:r>
    </w:p>
    <w:p w14:paraId="063F1244" w14:textId="4F80E460" w:rsidR="00243553" w:rsidRPr="00707BC9" w:rsidRDefault="00243553" w:rsidP="00243553">
      <w:pPr>
        <w:pStyle w:val="Caption"/>
        <w:rPr>
          <w:b w:val="0"/>
          <w:bCs/>
        </w:rPr>
      </w:pPr>
      <w:bookmarkStart w:id="83" w:name="_Toc133590750"/>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7</w:t>
      </w:r>
      <w:r w:rsidR="000A1A5C">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TTDD theo </w:t>
      </w:r>
      <w:r>
        <w:rPr>
          <w:bCs/>
        </w:rPr>
        <w:t>SGA</w:t>
      </w:r>
      <w:bookmarkEnd w:id="83"/>
    </w:p>
    <w:tbl>
      <w:tblPr>
        <w:tblStyle w:val="TableGrid"/>
        <w:tblW w:w="5000" w:type="pct"/>
        <w:tblInd w:w="0" w:type="dxa"/>
        <w:tblLook w:val="04A0" w:firstRow="1" w:lastRow="0" w:firstColumn="1" w:lastColumn="0" w:noHBand="0" w:noVBand="1"/>
      </w:tblPr>
      <w:tblGrid>
        <w:gridCol w:w="3615"/>
        <w:gridCol w:w="2168"/>
        <w:gridCol w:w="1932"/>
        <w:gridCol w:w="1396"/>
      </w:tblGrid>
      <w:tr w:rsidR="00243553" w14:paraId="459414E6" w14:textId="77777777" w:rsidTr="002B361A">
        <w:tc>
          <w:tcPr>
            <w:tcW w:w="1984" w:type="pct"/>
            <w:vMerge w:val="restart"/>
            <w:tcBorders>
              <w:tl2br w:val="single" w:sz="4" w:space="0" w:color="auto"/>
            </w:tcBorders>
          </w:tcPr>
          <w:p w14:paraId="3CAC6D21" w14:textId="77777777" w:rsidR="00243553" w:rsidRPr="002A15EF" w:rsidRDefault="00243553" w:rsidP="002B361A">
            <w:pPr>
              <w:jc w:val="right"/>
              <w:rPr>
                <w:b/>
                <w:bCs/>
                <w:szCs w:val="28"/>
              </w:rPr>
            </w:pPr>
            <w:r>
              <w:rPr>
                <w:b/>
                <w:bCs/>
                <w:szCs w:val="28"/>
              </w:rPr>
              <w:t>TTDD</w:t>
            </w:r>
          </w:p>
          <w:p w14:paraId="3DE36E32" w14:textId="77777777" w:rsidR="00243553" w:rsidRDefault="00243553" w:rsidP="002B361A">
            <w:pPr>
              <w:rPr>
                <w:b/>
                <w:bCs/>
                <w:szCs w:val="28"/>
              </w:rPr>
            </w:pPr>
          </w:p>
          <w:p w14:paraId="59073A85" w14:textId="77777777" w:rsidR="00243553" w:rsidRPr="002A15EF" w:rsidRDefault="00243553" w:rsidP="002B361A">
            <w:pPr>
              <w:rPr>
                <w:b/>
                <w:bCs/>
                <w:szCs w:val="28"/>
              </w:rPr>
            </w:pPr>
            <w:r>
              <w:rPr>
                <w:b/>
                <w:bCs/>
                <w:szCs w:val="28"/>
              </w:rPr>
              <w:t>Nhóm tuổi</w:t>
            </w:r>
          </w:p>
        </w:tc>
        <w:tc>
          <w:tcPr>
            <w:tcW w:w="2250" w:type="pct"/>
            <w:gridSpan w:val="2"/>
          </w:tcPr>
          <w:p w14:paraId="055CEFAA" w14:textId="77777777" w:rsidR="00243553" w:rsidRPr="002A15EF" w:rsidRDefault="00243553" w:rsidP="002B361A">
            <w:pPr>
              <w:jc w:val="center"/>
              <w:rPr>
                <w:b/>
                <w:bCs/>
                <w:szCs w:val="28"/>
              </w:rPr>
            </w:pPr>
            <w:r>
              <w:rPr>
                <w:b/>
                <w:bCs/>
                <w:szCs w:val="28"/>
              </w:rPr>
              <w:t>SGA</w:t>
            </w:r>
          </w:p>
        </w:tc>
        <w:tc>
          <w:tcPr>
            <w:tcW w:w="766" w:type="pct"/>
            <w:vMerge w:val="restart"/>
          </w:tcPr>
          <w:p w14:paraId="5962FD16" w14:textId="77777777" w:rsidR="00243553" w:rsidRPr="002A15EF" w:rsidRDefault="00243553" w:rsidP="002B361A">
            <w:pPr>
              <w:jc w:val="center"/>
              <w:rPr>
                <w:b/>
                <w:bCs/>
                <w:szCs w:val="28"/>
              </w:rPr>
            </w:pPr>
            <w:r w:rsidRPr="002A15EF">
              <w:rPr>
                <w:b/>
                <w:bCs/>
                <w:szCs w:val="28"/>
              </w:rPr>
              <w:t>p</w:t>
            </w:r>
          </w:p>
        </w:tc>
      </w:tr>
      <w:tr w:rsidR="00243553" w14:paraId="258F578F" w14:textId="77777777" w:rsidTr="002B361A">
        <w:tc>
          <w:tcPr>
            <w:tcW w:w="1984" w:type="pct"/>
            <w:vMerge/>
            <w:tcBorders>
              <w:tl2br w:val="single" w:sz="4" w:space="0" w:color="auto"/>
            </w:tcBorders>
          </w:tcPr>
          <w:p w14:paraId="5CF2A893" w14:textId="77777777" w:rsidR="00243553" w:rsidRPr="002A15EF" w:rsidRDefault="00243553" w:rsidP="002B361A">
            <w:pPr>
              <w:rPr>
                <w:szCs w:val="28"/>
              </w:rPr>
            </w:pPr>
          </w:p>
        </w:tc>
        <w:tc>
          <w:tcPr>
            <w:tcW w:w="1190" w:type="pct"/>
          </w:tcPr>
          <w:p w14:paraId="6439F441" w14:textId="77777777" w:rsidR="00243553" w:rsidRDefault="00243553" w:rsidP="002B361A">
            <w:pPr>
              <w:jc w:val="center"/>
              <w:rPr>
                <w:b/>
                <w:bCs/>
                <w:szCs w:val="28"/>
              </w:rPr>
            </w:pPr>
            <w:r>
              <w:rPr>
                <w:b/>
                <w:bCs/>
                <w:szCs w:val="28"/>
              </w:rPr>
              <w:t>Không SDD</w:t>
            </w:r>
          </w:p>
          <w:p w14:paraId="1E5C4E30" w14:textId="77777777" w:rsidR="00243553" w:rsidRPr="002A15EF" w:rsidRDefault="00243553" w:rsidP="002B361A">
            <w:pPr>
              <w:jc w:val="center"/>
              <w:rPr>
                <w:b/>
                <w:bCs/>
                <w:szCs w:val="28"/>
              </w:rPr>
            </w:pPr>
            <w:r>
              <w:rPr>
                <w:b/>
                <w:bCs/>
                <w:szCs w:val="28"/>
              </w:rPr>
              <w:t xml:space="preserve">(n, </w:t>
            </w:r>
            <w:r w:rsidRPr="002A15EF">
              <w:rPr>
                <w:b/>
                <w:bCs/>
                <w:szCs w:val="28"/>
              </w:rPr>
              <w:t>%</w:t>
            </w:r>
            <w:r>
              <w:rPr>
                <w:b/>
                <w:bCs/>
                <w:szCs w:val="28"/>
              </w:rPr>
              <w:t>)</w:t>
            </w:r>
          </w:p>
        </w:tc>
        <w:tc>
          <w:tcPr>
            <w:tcW w:w="1060" w:type="pct"/>
          </w:tcPr>
          <w:p w14:paraId="5630427B" w14:textId="77777777" w:rsidR="00243553" w:rsidRPr="002A15EF" w:rsidRDefault="00243553" w:rsidP="002B361A">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766" w:type="pct"/>
            <w:vMerge/>
          </w:tcPr>
          <w:p w14:paraId="1473479F" w14:textId="77777777" w:rsidR="00243553" w:rsidRPr="002A15EF" w:rsidRDefault="00243553" w:rsidP="002B361A">
            <w:pPr>
              <w:jc w:val="center"/>
              <w:rPr>
                <w:szCs w:val="28"/>
              </w:rPr>
            </w:pPr>
          </w:p>
        </w:tc>
      </w:tr>
      <w:tr w:rsidR="00243553" w14:paraId="5A4271D5" w14:textId="77777777" w:rsidTr="002B361A">
        <w:trPr>
          <w:trHeight w:val="354"/>
        </w:trPr>
        <w:tc>
          <w:tcPr>
            <w:tcW w:w="1984" w:type="pct"/>
          </w:tcPr>
          <w:p w14:paraId="071ED6A7" w14:textId="77777777" w:rsidR="00243553" w:rsidRPr="003C2462" w:rsidRDefault="00243553" w:rsidP="002B361A">
            <w:pPr>
              <w:rPr>
                <w:szCs w:val="28"/>
              </w:rPr>
            </w:pPr>
            <w:r>
              <w:rPr>
                <w:szCs w:val="28"/>
              </w:rPr>
              <w:t>15 – 29 tuổi</w:t>
            </w:r>
          </w:p>
        </w:tc>
        <w:tc>
          <w:tcPr>
            <w:tcW w:w="1190" w:type="pct"/>
            <w:vAlign w:val="top"/>
          </w:tcPr>
          <w:p w14:paraId="451D8601" w14:textId="77777777" w:rsidR="00243553" w:rsidRPr="003C2462" w:rsidRDefault="00243553" w:rsidP="002B361A">
            <w:pPr>
              <w:jc w:val="center"/>
              <w:rPr>
                <w:szCs w:val="28"/>
              </w:rPr>
            </w:pPr>
            <w:r>
              <w:t>20 (</w:t>
            </w:r>
            <w:r w:rsidRPr="007A2430">
              <w:t>58.8%</w:t>
            </w:r>
            <w:r>
              <w:t>)</w:t>
            </w:r>
          </w:p>
        </w:tc>
        <w:tc>
          <w:tcPr>
            <w:tcW w:w="1060" w:type="pct"/>
            <w:vAlign w:val="top"/>
          </w:tcPr>
          <w:p w14:paraId="18AABD31" w14:textId="77777777" w:rsidR="00243553" w:rsidRPr="003C2462" w:rsidRDefault="00243553" w:rsidP="002B361A">
            <w:pPr>
              <w:jc w:val="center"/>
              <w:rPr>
                <w:szCs w:val="28"/>
              </w:rPr>
            </w:pPr>
            <w:r>
              <w:t>14 (</w:t>
            </w:r>
            <w:r w:rsidRPr="007A2430">
              <w:t>41.2%</w:t>
            </w:r>
            <w:r>
              <w:t>)</w:t>
            </w:r>
          </w:p>
        </w:tc>
        <w:tc>
          <w:tcPr>
            <w:tcW w:w="766" w:type="pct"/>
            <w:vMerge w:val="restart"/>
          </w:tcPr>
          <w:p w14:paraId="6928B8B2" w14:textId="77777777" w:rsidR="00243553" w:rsidRPr="003C2462" w:rsidRDefault="00243553" w:rsidP="002B361A">
            <w:pPr>
              <w:jc w:val="center"/>
              <w:rPr>
                <w:szCs w:val="28"/>
              </w:rPr>
            </w:pPr>
            <w:r>
              <w:rPr>
                <w:szCs w:val="28"/>
              </w:rPr>
              <w:t>0</w:t>
            </w:r>
            <w:r w:rsidRPr="003B635D">
              <w:rPr>
                <w:szCs w:val="28"/>
              </w:rPr>
              <w:t>.</w:t>
            </w:r>
            <w:r>
              <w:rPr>
                <w:szCs w:val="28"/>
              </w:rPr>
              <w:t>196</w:t>
            </w:r>
          </w:p>
        </w:tc>
      </w:tr>
      <w:tr w:rsidR="00243553" w14:paraId="1DF19C4B" w14:textId="77777777" w:rsidTr="002B361A">
        <w:trPr>
          <w:trHeight w:val="70"/>
        </w:trPr>
        <w:tc>
          <w:tcPr>
            <w:tcW w:w="1984" w:type="pct"/>
            <w:vAlign w:val="top"/>
          </w:tcPr>
          <w:p w14:paraId="4215EB2B" w14:textId="77777777" w:rsidR="00243553" w:rsidRPr="003C2462" w:rsidRDefault="00243553" w:rsidP="002B361A">
            <w:pPr>
              <w:rPr>
                <w:szCs w:val="28"/>
              </w:rPr>
            </w:pPr>
            <w:r>
              <w:rPr>
                <w:szCs w:val="28"/>
              </w:rPr>
              <w:t>30</w:t>
            </w:r>
            <w:r w:rsidRPr="00203D68">
              <w:rPr>
                <w:szCs w:val="28"/>
              </w:rPr>
              <w:t xml:space="preserve"> – </w:t>
            </w:r>
            <w:r>
              <w:rPr>
                <w:szCs w:val="28"/>
              </w:rPr>
              <w:t>3</w:t>
            </w:r>
            <w:r w:rsidRPr="00203D68">
              <w:rPr>
                <w:szCs w:val="28"/>
              </w:rPr>
              <w:t>9 tuổi</w:t>
            </w:r>
          </w:p>
        </w:tc>
        <w:tc>
          <w:tcPr>
            <w:tcW w:w="1190" w:type="pct"/>
            <w:vAlign w:val="top"/>
          </w:tcPr>
          <w:p w14:paraId="5DEBB4F3" w14:textId="77777777" w:rsidR="00243553" w:rsidRPr="003C2462" w:rsidRDefault="00243553" w:rsidP="002B361A">
            <w:pPr>
              <w:jc w:val="center"/>
              <w:rPr>
                <w:szCs w:val="28"/>
              </w:rPr>
            </w:pPr>
            <w:r>
              <w:t>15 (</w:t>
            </w:r>
            <w:r w:rsidRPr="00A96764">
              <w:t>46.9%</w:t>
            </w:r>
            <w:r>
              <w:t>)</w:t>
            </w:r>
          </w:p>
        </w:tc>
        <w:tc>
          <w:tcPr>
            <w:tcW w:w="1060" w:type="pct"/>
            <w:vAlign w:val="top"/>
          </w:tcPr>
          <w:p w14:paraId="3689B06F" w14:textId="77777777" w:rsidR="00243553" w:rsidRPr="003C2462" w:rsidRDefault="00243553" w:rsidP="002B361A">
            <w:pPr>
              <w:jc w:val="center"/>
              <w:rPr>
                <w:szCs w:val="28"/>
              </w:rPr>
            </w:pPr>
            <w:r>
              <w:t>17 (</w:t>
            </w:r>
            <w:r w:rsidRPr="00A96764">
              <w:t>53.1%</w:t>
            </w:r>
            <w:r>
              <w:t>)</w:t>
            </w:r>
          </w:p>
        </w:tc>
        <w:tc>
          <w:tcPr>
            <w:tcW w:w="766" w:type="pct"/>
            <w:vMerge/>
          </w:tcPr>
          <w:p w14:paraId="5B426A37" w14:textId="77777777" w:rsidR="00243553" w:rsidRPr="003C2462" w:rsidRDefault="00243553" w:rsidP="002B361A">
            <w:pPr>
              <w:jc w:val="center"/>
              <w:rPr>
                <w:szCs w:val="28"/>
              </w:rPr>
            </w:pPr>
          </w:p>
        </w:tc>
      </w:tr>
      <w:tr w:rsidR="00243553" w14:paraId="36E83455" w14:textId="77777777" w:rsidTr="002B361A">
        <w:trPr>
          <w:trHeight w:val="70"/>
        </w:trPr>
        <w:tc>
          <w:tcPr>
            <w:tcW w:w="1984" w:type="pct"/>
            <w:vAlign w:val="top"/>
          </w:tcPr>
          <w:p w14:paraId="5905BAB1" w14:textId="77777777" w:rsidR="00243553" w:rsidRDefault="00243553" w:rsidP="002B361A">
            <w:r>
              <w:rPr>
                <w:szCs w:val="28"/>
              </w:rPr>
              <w:t>40</w:t>
            </w:r>
            <w:r w:rsidRPr="00203D68">
              <w:rPr>
                <w:szCs w:val="28"/>
              </w:rPr>
              <w:t xml:space="preserve"> – </w:t>
            </w:r>
            <w:r>
              <w:rPr>
                <w:szCs w:val="28"/>
              </w:rPr>
              <w:t>4</w:t>
            </w:r>
            <w:r w:rsidRPr="00203D68">
              <w:rPr>
                <w:szCs w:val="28"/>
              </w:rPr>
              <w:t>9 tuổi</w:t>
            </w:r>
          </w:p>
        </w:tc>
        <w:tc>
          <w:tcPr>
            <w:tcW w:w="1190" w:type="pct"/>
            <w:vAlign w:val="top"/>
          </w:tcPr>
          <w:p w14:paraId="4BD80326" w14:textId="77777777" w:rsidR="00243553" w:rsidRDefault="00243553" w:rsidP="002B361A">
            <w:pPr>
              <w:jc w:val="center"/>
            </w:pPr>
            <w:r>
              <w:t>33 (</w:t>
            </w:r>
            <w:r w:rsidRPr="0049066A">
              <w:t>61.1%</w:t>
            </w:r>
            <w:r>
              <w:t>)</w:t>
            </w:r>
          </w:p>
        </w:tc>
        <w:tc>
          <w:tcPr>
            <w:tcW w:w="1060" w:type="pct"/>
            <w:vAlign w:val="top"/>
          </w:tcPr>
          <w:p w14:paraId="38FDA365" w14:textId="77777777" w:rsidR="00243553" w:rsidRDefault="00243553" w:rsidP="002B361A">
            <w:pPr>
              <w:jc w:val="center"/>
            </w:pPr>
            <w:r>
              <w:t>21 (</w:t>
            </w:r>
            <w:r w:rsidRPr="0049066A">
              <w:t>38.9%</w:t>
            </w:r>
            <w:r>
              <w:t>)</w:t>
            </w:r>
          </w:p>
        </w:tc>
        <w:tc>
          <w:tcPr>
            <w:tcW w:w="766" w:type="pct"/>
            <w:vMerge/>
          </w:tcPr>
          <w:p w14:paraId="75722451" w14:textId="77777777" w:rsidR="00243553" w:rsidRPr="003C2462" w:rsidRDefault="00243553" w:rsidP="002B361A">
            <w:pPr>
              <w:jc w:val="center"/>
            </w:pPr>
          </w:p>
        </w:tc>
      </w:tr>
      <w:tr w:rsidR="00243553" w14:paraId="00AD088C" w14:textId="77777777" w:rsidTr="002B361A">
        <w:trPr>
          <w:trHeight w:val="70"/>
        </w:trPr>
        <w:tc>
          <w:tcPr>
            <w:tcW w:w="1984" w:type="pct"/>
            <w:vAlign w:val="top"/>
          </w:tcPr>
          <w:p w14:paraId="052C72EE" w14:textId="77777777" w:rsidR="00243553" w:rsidRDefault="00243553" w:rsidP="002B361A">
            <w:r>
              <w:rPr>
                <w:szCs w:val="28"/>
              </w:rPr>
              <w:t>50</w:t>
            </w:r>
            <w:r w:rsidRPr="00203D68">
              <w:rPr>
                <w:szCs w:val="28"/>
              </w:rPr>
              <w:t xml:space="preserve"> – </w:t>
            </w:r>
            <w:r>
              <w:rPr>
                <w:szCs w:val="28"/>
              </w:rPr>
              <w:t>5</w:t>
            </w:r>
            <w:r w:rsidRPr="00203D68">
              <w:rPr>
                <w:szCs w:val="28"/>
              </w:rPr>
              <w:t>9 tuổi</w:t>
            </w:r>
          </w:p>
        </w:tc>
        <w:tc>
          <w:tcPr>
            <w:tcW w:w="1190" w:type="pct"/>
            <w:vAlign w:val="top"/>
          </w:tcPr>
          <w:p w14:paraId="1541C3F8" w14:textId="77777777" w:rsidR="00243553" w:rsidRDefault="00243553" w:rsidP="002B361A">
            <w:pPr>
              <w:jc w:val="center"/>
            </w:pPr>
            <w:r>
              <w:t>31 (</w:t>
            </w:r>
            <w:r w:rsidRPr="008E7043">
              <w:t>64.6%</w:t>
            </w:r>
            <w:r>
              <w:t>)</w:t>
            </w:r>
          </w:p>
        </w:tc>
        <w:tc>
          <w:tcPr>
            <w:tcW w:w="1060" w:type="pct"/>
            <w:vAlign w:val="top"/>
          </w:tcPr>
          <w:p w14:paraId="1707BAB7" w14:textId="77777777" w:rsidR="00243553" w:rsidRDefault="00243553" w:rsidP="002B361A">
            <w:pPr>
              <w:jc w:val="center"/>
            </w:pPr>
            <w:r>
              <w:t>17 (</w:t>
            </w:r>
            <w:r w:rsidRPr="008E7043">
              <w:t>35.4%</w:t>
            </w:r>
            <w:r>
              <w:t>)</w:t>
            </w:r>
          </w:p>
        </w:tc>
        <w:tc>
          <w:tcPr>
            <w:tcW w:w="766" w:type="pct"/>
            <w:vMerge/>
          </w:tcPr>
          <w:p w14:paraId="1E92CC1C" w14:textId="77777777" w:rsidR="00243553" w:rsidRPr="003C2462" w:rsidRDefault="00243553" w:rsidP="002B361A">
            <w:pPr>
              <w:jc w:val="center"/>
            </w:pPr>
          </w:p>
        </w:tc>
      </w:tr>
      <w:tr w:rsidR="00243553" w14:paraId="7388ED54" w14:textId="77777777" w:rsidTr="002B361A">
        <w:trPr>
          <w:trHeight w:val="70"/>
        </w:trPr>
        <w:tc>
          <w:tcPr>
            <w:tcW w:w="1984" w:type="pct"/>
            <w:vAlign w:val="top"/>
          </w:tcPr>
          <w:p w14:paraId="092D8315" w14:textId="77777777" w:rsidR="00243553" w:rsidRDefault="00243553" w:rsidP="002B361A">
            <w:r>
              <w:rPr>
                <w:szCs w:val="28"/>
              </w:rPr>
              <w:t>≥60</w:t>
            </w:r>
            <w:r w:rsidRPr="00203D68">
              <w:rPr>
                <w:szCs w:val="28"/>
              </w:rPr>
              <w:t xml:space="preserve"> tuổi</w:t>
            </w:r>
          </w:p>
        </w:tc>
        <w:tc>
          <w:tcPr>
            <w:tcW w:w="1190" w:type="pct"/>
            <w:vAlign w:val="top"/>
          </w:tcPr>
          <w:p w14:paraId="320A7427" w14:textId="77777777" w:rsidR="00243553" w:rsidRDefault="00243553" w:rsidP="002B361A">
            <w:pPr>
              <w:jc w:val="center"/>
            </w:pPr>
            <w:r>
              <w:t>58 (</w:t>
            </w:r>
            <w:r w:rsidRPr="001742F4">
              <w:t>70.7%</w:t>
            </w:r>
            <w:r>
              <w:t>)</w:t>
            </w:r>
          </w:p>
        </w:tc>
        <w:tc>
          <w:tcPr>
            <w:tcW w:w="1060" w:type="pct"/>
            <w:vAlign w:val="top"/>
          </w:tcPr>
          <w:p w14:paraId="5616D1FF" w14:textId="77777777" w:rsidR="00243553" w:rsidRDefault="00243553" w:rsidP="002B361A">
            <w:pPr>
              <w:jc w:val="center"/>
            </w:pPr>
            <w:r>
              <w:t>24 (</w:t>
            </w:r>
            <w:r w:rsidRPr="001742F4">
              <w:t>29.3%</w:t>
            </w:r>
            <w:r>
              <w:t>)</w:t>
            </w:r>
          </w:p>
        </w:tc>
        <w:tc>
          <w:tcPr>
            <w:tcW w:w="766" w:type="pct"/>
            <w:vMerge/>
          </w:tcPr>
          <w:p w14:paraId="44831351" w14:textId="77777777" w:rsidR="00243553" w:rsidRPr="003C2462" w:rsidRDefault="00243553" w:rsidP="002B361A">
            <w:pPr>
              <w:jc w:val="center"/>
            </w:pPr>
          </w:p>
        </w:tc>
      </w:tr>
    </w:tbl>
    <w:p w14:paraId="6705A6B9" w14:textId="77777777" w:rsidR="00243553" w:rsidRDefault="00243553" w:rsidP="00243553">
      <w:pPr>
        <w:tabs>
          <w:tab w:val="left" w:pos="2400"/>
        </w:tabs>
        <w:spacing w:before="160"/>
      </w:pPr>
      <w:r>
        <w:t>Nhận xét: Đánh giá SDD theo SGA, nhóm 30 – 39 tuổi có tỷ lệ bệnh nhân SDD cao nhất là 53.1%, tiếp theo là nhóm 15</w:t>
      </w:r>
      <w:r w:rsidRPr="00203D68">
        <w:t xml:space="preserve"> – </w:t>
      </w:r>
      <w:r>
        <w:t>2</w:t>
      </w:r>
      <w:r w:rsidRPr="00203D68">
        <w:t>9</w:t>
      </w:r>
      <w:r>
        <w:t>, 40</w:t>
      </w:r>
      <w:r w:rsidRPr="00203D68">
        <w:t xml:space="preserve"> – </w:t>
      </w:r>
      <w:r>
        <w:t>4</w:t>
      </w:r>
      <w:r w:rsidRPr="00203D68">
        <w:t>9</w:t>
      </w:r>
      <w:r>
        <w:t>, 50</w:t>
      </w:r>
      <w:r w:rsidRPr="00203D68">
        <w:t xml:space="preserve"> – </w:t>
      </w:r>
      <w:r>
        <w:t>5</w:t>
      </w:r>
      <w:r w:rsidRPr="00203D68">
        <w:t>9 tuổi</w:t>
      </w:r>
      <w:r>
        <w:t xml:space="preserve"> lần lượt </w:t>
      </w:r>
      <w:r>
        <w:lastRenderedPageBreak/>
        <w:t>là 41.2%, 38.9% và 35.4%, nhóm ≥60</w:t>
      </w:r>
      <w:r w:rsidRPr="00203D68">
        <w:t xml:space="preserve"> tuổi</w:t>
      </w:r>
      <w:r>
        <w:t xml:space="preserve"> có tỷ lệ bệnh nhân SDD thấp nhất là 29.3%. Tuy nhiên, sự khác biệt chưa có ý nghĩa thống kê với p = 0.196.</w:t>
      </w:r>
    </w:p>
    <w:p w14:paraId="51B7F37A" w14:textId="009327EB" w:rsidR="00334897" w:rsidRDefault="00334897" w:rsidP="00334897">
      <w:pPr>
        <w:pStyle w:val="Heading3"/>
      </w:pPr>
      <w:r>
        <w:t>3.</w:t>
      </w:r>
      <w:r w:rsidR="009C1972">
        <w:t>3</w:t>
      </w:r>
      <w:r>
        <w:t>.</w:t>
      </w:r>
      <w:r w:rsidR="00243553">
        <w:t>2</w:t>
      </w:r>
      <w:r>
        <w:t>. Mối liên quan giữa giới và tình trạng dinh dưỡng</w:t>
      </w:r>
    </w:p>
    <w:p w14:paraId="19046A83" w14:textId="3FC664FA" w:rsidR="00334897" w:rsidRPr="004E5E72" w:rsidRDefault="00334897" w:rsidP="00334897">
      <w:pPr>
        <w:pStyle w:val="Caption"/>
      </w:pPr>
      <w:bookmarkStart w:id="84" w:name="_Toc133590751"/>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8</w:t>
      </w:r>
      <w:r w:rsidR="000A1A5C">
        <w:fldChar w:fldCharType="end"/>
      </w:r>
      <w:r>
        <w:t xml:space="preserve">. </w:t>
      </w:r>
      <w:r w:rsidRPr="004E5E72">
        <w:t xml:space="preserve">Mối liên quan giữa </w:t>
      </w:r>
      <w:r>
        <w:t>giới</w:t>
      </w:r>
      <w:r w:rsidRPr="004E5E72">
        <w:t xml:space="preserve"> và TTDD theo BMI</w:t>
      </w:r>
      <w:bookmarkEnd w:id="84"/>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334897" w14:paraId="1F54A793" w14:textId="77777777" w:rsidTr="005C4F2E">
        <w:tc>
          <w:tcPr>
            <w:tcW w:w="1573" w:type="pct"/>
            <w:vMerge w:val="restart"/>
            <w:tcBorders>
              <w:tl2br w:val="single" w:sz="4" w:space="0" w:color="auto"/>
            </w:tcBorders>
          </w:tcPr>
          <w:p w14:paraId="5976D93D" w14:textId="77777777" w:rsidR="00334897" w:rsidRPr="002A15EF" w:rsidRDefault="00334897" w:rsidP="004A0A5B">
            <w:pPr>
              <w:jc w:val="right"/>
              <w:rPr>
                <w:b/>
                <w:bCs/>
                <w:szCs w:val="28"/>
              </w:rPr>
            </w:pPr>
            <w:r>
              <w:rPr>
                <w:b/>
                <w:bCs/>
                <w:szCs w:val="28"/>
              </w:rPr>
              <w:t>TTDD</w:t>
            </w:r>
          </w:p>
          <w:p w14:paraId="3F78D519" w14:textId="77777777" w:rsidR="00334897" w:rsidRDefault="00334897" w:rsidP="004A0A5B">
            <w:pPr>
              <w:rPr>
                <w:b/>
                <w:bCs/>
                <w:szCs w:val="28"/>
              </w:rPr>
            </w:pPr>
          </w:p>
          <w:p w14:paraId="1993F50E" w14:textId="6DD4D1E9" w:rsidR="00334897" w:rsidRPr="002A15EF" w:rsidRDefault="00334897" w:rsidP="004A0A5B">
            <w:pPr>
              <w:rPr>
                <w:b/>
                <w:bCs/>
                <w:szCs w:val="28"/>
              </w:rPr>
            </w:pPr>
            <w:r>
              <w:rPr>
                <w:b/>
                <w:bCs/>
                <w:szCs w:val="28"/>
              </w:rPr>
              <w:t>Giới</w:t>
            </w:r>
            <w:r w:rsidR="00A558BE">
              <w:rPr>
                <w:b/>
                <w:bCs/>
                <w:szCs w:val="28"/>
              </w:rPr>
              <w:t xml:space="preserve"> tính</w:t>
            </w:r>
          </w:p>
        </w:tc>
        <w:tc>
          <w:tcPr>
            <w:tcW w:w="1783" w:type="pct"/>
            <w:gridSpan w:val="2"/>
          </w:tcPr>
          <w:p w14:paraId="5C2CCCD0" w14:textId="77777777" w:rsidR="00334897" w:rsidRPr="002A15EF" w:rsidRDefault="00334897" w:rsidP="004A0A5B">
            <w:pPr>
              <w:jc w:val="center"/>
              <w:rPr>
                <w:b/>
                <w:bCs/>
                <w:szCs w:val="28"/>
              </w:rPr>
            </w:pPr>
            <w:r>
              <w:rPr>
                <w:b/>
                <w:bCs/>
                <w:szCs w:val="28"/>
              </w:rPr>
              <w:t>BMI</w:t>
            </w:r>
          </w:p>
        </w:tc>
        <w:tc>
          <w:tcPr>
            <w:tcW w:w="1037" w:type="pct"/>
            <w:vMerge w:val="restart"/>
          </w:tcPr>
          <w:p w14:paraId="3DBA2047" w14:textId="77777777" w:rsidR="00334897" w:rsidRDefault="00334897" w:rsidP="004A0A5B">
            <w:pPr>
              <w:jc w:val="center"/>
              <w:rPr>
                <w:b/>
                <w:bCs/>
              </w:rPr>
            </w:pPr>
            <w:r>
              <w:rPr>
                <w:b/>
                <w:bCs/>
              </w:rPr>
              <w:t>OR</w:t>
            </w:r>
          </w:p>
          <w:p w14:paraId="28752008" w14:textId="77777777" w:rsidR="00334897" w:rsidRPr="002A15EF" w:rsidRDefault="00334897" w:rsidP="004A0A5B">
            <w:pPr>
              <w:jc w:val="center"/>
              <w:rPr>
                <w:b/>
                <w:bCs/>
              </w:rPr>
            </w:pPr>
            <w:r>
              <w:rPr>
                <w:b/>
                <w:bCs/>
              </w:rPr>
              <w:t>(95% CI)</w:t>
            </w:r>
          </w:p>
        </w:tc>
        <w:tc>
          <w:tcPr>
            <w:tcW w:w="607" w:type="pct"/>
            <w:vMerge w:val="restart"/>
          </w:tcPr>
          <w:p w14:paraId="305A9D63" w14:textId="77777777" w:rsidR="00334897" w:rsidRPr="002A15EF" w:rsidRDefault="00334897" w:rsidP="004A0A5B">
            <w:pPr>
              <w:jc w:val="center"/>
              <w:rPr>
                <w:b/>
                <w:bCs/>
                <w:szCs w:val="28"/>
              </w:rPr>
            </w:pPr>
            <w:r w:rsidRPr="002A15EF">
              <w:rPr>
                <w:b/>
                <w:bCs/>
                <w:szCs w:val="28"/>
              </w:rPr>
              <w:t>p</w:t>
            </w:r>
          </w:p>
        </w:tc>
      </w:tr>
      <w:tr w:rsidR="00334897" w14:paraId="05D58C12" w14:textId="77777777" w:rsidTr="005C4F2E">
        <w:tc>
          <w:tcPr>
            <w:tcW w:w="1573" w:type="pct"/>
            <w:vMerge/>
            <w:tcBorders>
              <w:tl2br w:val="single" w:sz="4" w:space="0" w:color="auto"/>
            </w:tcBorders>
          </w:tcPr>
          <w:p w14:paraId="0DAD6642" w14:textId="77777777" w:rsidR="00334897" w:rsidRPr="002A15EF" w:rsidRDefault="00334897" w:rsidP="004A0A5B">
            <w:pPr>
              <w:rPr>
                <w:szCs w:val="28"/>
              </w:rPr>
            </w:pPr>
          </w:p>
        </w:tc>
        <w:tc>
          <w:tcPr>
            <w:tcW w:w="943" w:type="pct"/>
          </w:tcPr>
          <w:p w14:paraId="503899C3" w14:textId="31E7B499" w:rsidR="00334897" w:rsidRDefault="00780C4C" w:rsidP="004A0A5B">
            <w:pPr>
              <w:jc w:val="center"/>
              <w:rPr>
                <w:b/>
                <w:bCs/>
                <w:szCs w:val="28"/>
              </w:rPr>
            </w:pPr>
            <w:r>
              <w:rPr>
                <w:b/>
                <w:bCs/>
                <w:szCs w:val="28"/>
              </w:rPr>
              <w:t xml:space="preserve">Không </w:t>
            </w:r>
            <w:r w:rsidR="00334897">
              <w:rPr>
                <w:b/>
                <w:bCs/>
                <w:szCs w:val="28"/>
              </w:rPr>
              <w:t>SDD</w:t>
            </w:r>
          </w:p>
          <w:p w14:paraId="266FB8FD" w14:textId="77777777" w:rsidR="00334897" w:rsidRPr="002A15EF" w:rsidRDefault="00334897" w:rsidP="004A0A5B">
            <w:pPr>
              <w:jc w:val="center"/>
              <w:rPr>
                <w:b/>
                <w:bCs/>
                <w:szCs w:val="28"/>
              </w:rPr>
            </w:pPr>
            <w:r>
              <w:rPr>
                <w:b/>
                <w:bCs/>
                <w:szCs w:val="28"/>
              </w:rPr>
              <w:t xml:space="preserve">(n, </w:t>
            </w:r>
            <w:r w:rsidRPr="002A15EF">
              <w:rPr>
                <w:b/>
                <w:bCs/>
                <w:szCs w:val="28"/>
              </w:rPr>
              <w:t>%</w:t>
            </w:r>
            <w:r>
              <w:rPr>
                <w:b/>
                <w:bCs/>
                <w:szCs w:val="28"/>
              </w:rPr>
              <w:t>)</w:t>
            </w:r>
          </w:p>
        </w:tc>
        <w:tc>
          <w:tcPr>
            <w:tcW w:w="840" w:type="pct"/>
          </w:tcPr>
          <w:p w14:paraId="27189203" w14:textId="21080D3A" w:rsidR="00334897" w:rsidRPr="002A15EF" w:rsidRDefault="00334897" w:rsidP="004A0A5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74A6373B" w14:textId="77777777" w:rsidR="00334897" w:rsidRPr="002A15EF" w:rsidRDefault="00334897" w:rsidP="004A0A5B">
            <w:pPr>
              <w:jc w:val="center"/>
            </w:pPr>
          </w:p>
        </w:tc>
        <w:tc>
          <w:tcPr>
            <w:tcW w:w="607" w:type="pct"/>
            <w:vMerge/>
          </w:tcPr>
          <w:p w14:paraId="27A1D0D7" w14:textId="77777777" w:rsidR="00334897" w:rsidRPr="002A15EF" w:rsidRDefault="00334897" w:rsidP="004A0A5B">
            <w:pPr>
              <w:jc w:val="center"/>
              <w:rPr>
                <w:szCs w:val="28"/>
              </w:rPr>
            </w:pPr>
          </w:p>
        </w:tc>
      </w:tr>
      <w:tr w:rsidR="00630568" w14:paraId="6B9F9BFA" w14:textId="77777777" w:rsidTr="005C4F2E">
        <w:trPr>
          <w:trHeight w:val="354"/>
        </w:trPr>
        <w:tc>
          <w:tcPr>
            <w:tcW w:w="1573" w:type="pct"/>
          </w:tcPr>
          <w:p w14:paraId="6C6B3859" w14:textId="77777777" w:rsidR="00630568" w:rsidRPr="003C2462" w:rsidRDefault="00630568" w:rsidP="00630568">
            <w:pPr>
              <w:rPr>
                <w:szCs w:val="28"/>
              </w:rPr>
            </w:pPr>
            <w:r>
              <w:rPr>
                <w:szCs w:val="28"/>
              </w:rPr>
              <w:t>Nam</w:t>
            </w:r>
          </w:p>
        </w:tc>
        <w:tc>
          <w:tcPr>
            <w:tcW w:w="943" w:type="pct"/>
            <w:vAlign w:val="top"/>
          </w:tcPr>
          <w:p w14:paraId="685D95CE" w14:textId="3B8B1DBE" w:rsidR="00630568" w:rsidRPr="003C2462" w:rsidRDefault="00DC7601" w:rsidP="00630568">
            <w:pPr>
              <w:jc w:val="center"/>
              <w:rPr>
                <w:szCs w:val="28"/>
              </w:rPr>
            </w:pPr>
            <w:r w:rsidRPr="00AC7149">
              <w:t>120</w:t>
            </w:r>
            <w:r>
              <w:t xml:space="preserve"> (65</w:t>
            </w:r>
            <w:r w:rsidR="003F042E">
              <w:t>.</w:t>
            </w:r>
            <w:r>
              <w:t>6%)</w:t>
            </w:r>
          </w:p>
        </w:tc>
        <w:tc>
          <w:tcPr>
            <w:tcW w:w="840" w:type="pct"/>
            <w:vAlign w:val="top"/>
          </w:tcPr>
          <w:p w14:paraId="6948FA31" w14:textId="1C31D7E6" w:rsidR="00630568" w:rsidRPr="003C2462" w:rsidRDefault="00DC7601" w:rsidP="00630568">
            <w:pPr>
              <w:jc w:val="center"/>
              <w:rPr>
                <w:szCs w:val="28"/>
              </w:rPr>
            </w:pPr>
            <w:r w:rsidRPr="00AC7149">
              <w:t>63</w:t>
            </w:r>
            <w:r>
              <w:t xml:space="preserve"> (34</w:t>
            </w:r>
            <w:r w:rsidR="003F042E">
              <w:t>.</w:t>
            </w:r>
            <w:r>
              <w:t>4%)</w:t>
            </w:r>
          </w:p>
        </w:tc>
        <w:tc>
          <w:tcPr>
            <w:tcW w:w="1037" w:type="pct"/>
            <w:vMerge w:val="restart"/>
          </w:tcPr>
          <w:p w14:paraId="09F8B0B7" w14:textId="539D7082" w:rsidR="005C4F2E" w:rsidRDefault="00133813" w:rsidP="00630568">
            <w:pPr>
              <w:jc w:val="center"/>
            </w:pPr>
            <w:r>
              <w:t>0</w:t>
            </w:r>
            <w:r w:rsidR="003F042E">
              <w:t>.</w:t>
            </w:r>
            <w:r>
              <w:t>996</w:t>
            </w:r>
          </w:p>
          <w:p w14:paraId="2FB31B65" w14:textId="6C02D8E9" w:rsidR="00630568" w:rsidRPr="003C2462" w:rsidRDefault="003E4E22" w:rsidP="00630568">
            <w:pPr>
              <w:jc w:val="center"/>
            </w:pPr>
            <w:r>
              <w:t>(</w:t>
            </w:r>
            <w:r w:rsidR="00647E9E">
              <w:t>0</w:t>
            </w:r>
            <w:r w:rsidR="003F042E">
              <w:t>.</w:t>
            </w:r>
            <w:r w:rsidR="00647E9E" w:rsidRPr="00647E9E">
              <w:t>552</w:t>
            </w:r>
            <w:r w:rsidR="00647E9E">
              <w:t>-</w:t>
            </w:r>
            <w:r w:rsidR="00647E9E" w:rsidRPr="00647E9E">
              <w:t>1</w:t>
            </w:r>
            <w:r w:rsidR="003F042E">
              <w:t>.</w:t>
            </w:r>
            <w:r w:rsidR="00647E9E" w:rsidRPr="00647E9E">
              <w:t>795</w:t>
            </w:r>
            <w:r>
              <w:t>)</w:t>
            </w:r>
          </w:p>
        </w:tc>
        <w:tc>
          <w:tcPr>
            <w:tcW w:w="607" w:type="pct"/>
            <w:vMerge w:val="restart"/>
          </w:tcPr>
          <w:p w14:paraId="052EB342" w14:textId="0F819320" w:rsidR="00630568" w:rsidRPr="003C2462" w:rsidRDefault="004B1999" w:rsidP="00630568">
            <w:pPr>
              <w:jc w:val="center"/>
              <w:rPr>
                <w:szCs w:val="28"/>
              </w:rPr>
            </w:pPr>
            <w:r>
              <w:rPr>
                <w:szCs w:val="28"/>
              </w:rPr>
              <w:t>1</w:t>
            </w:r>
          </w:p>
        </w:tc>
      </w:tr>
      <w:tr w:rsidR="003B4101" w14:paraId="4A5FD3D8" w14:textId="77777777" w:rsidTr="005C4F2E">
        <w:trPr>
          <w:trHeight w:val="70"/>
        </w:trPr>
        <w:tc>
          <w:tcPr>
            <w:tcW w:w="1573" w:type="pct"/>
          </w:tcPr>
          <w:p w14:paraId="652FBE14" w14:textId="77777777" w:rsidR="003B4101" w:rsidRPr="003C2462" w:rsidRDefault="003B4101" w:rsidP="003B4101">
            <w:pPr>
              <w:rPr>
                <w:szCs w:val="28"/>
              </w:rPr>
            </w:pPr>
            <w:r>
              <w:rPr>
                <w:szCs w:val="28"/>
              </w:rPr>
              <w:t>Nữ</w:t>
            </w:r>
          </w:p>
        </w:tc>
        <w:tc>
          <w:tcPr>
            <w:tcW w:w="943" w:type="pct"/>
            <w:vAlign w:val="top"/>
          </w:tcPr>
          <w:p w14:paraId="739BF3A2" w14:textId="33E8547C" w:rsidR="003B4101" w:rsidRPr="003C2462" w:rsidRDefault="00DC7601" w:rsidP="003B4101">
            <w:pPr>
              <w:jc w:val="center"/>
              <w:rPr>
                <w:szCs w:val="28"/>
              </w:rPr>
            </w:pPr>
            <w:r w:rsidRPr="00645927">
              <w:t>44</w:t>
            </w:r>
            <w:r>
              <w:t xml:space="preserve"> (65</w:t>
            </w:r>
            <w:r w:rsidR="003F042E">
              <w:t>.</w:t>
            </w:r>
            <w:r>
              <w:t>7%)</w:t>
            </w:r>
          </w:p>
        </w:tc>
        <w:tc>
          <w:tcPr>
            <w:tcW w:w="840" w:type="pct"/>
            <w:vAlign w:val="top"/>
          </w:tcPr>
          <w:p w14:paraId="40DE7D0C" w14:textId="0F428F58" w:rsidR="003B4101" w:rsidRPr="003C2462" w:rsidRDefault="00DC7601" w:rsidP="003B4101">
            <w:pPr>
              <w:jc w:val="center"/>
              <w:rPr>
                <w:szCs w:val="28"/>
              </w:rPr>
            </w:pPr>
            <w:r w:rsidRPr="00645927">
              <w:t>23</w:t>
            </w:r>
            <w:r>
              <w:t xml:space="preserve"> (34</w:t>
            </w:r>
            <w:r w:rsidR="003F042E">
              <w:t>.</w:t>
            </w:r>
            <w:r>
              <w:t>3%)</w:t>
            </w:r>
          </w:p>
        </w:tc>
        <w:tc>
          <w:tcPr>
            <w:tcW w:w="1037" w:type="pct"/>
            <w:vMerge/>
          </w:tcPr>
          <w:p w14:paraId="326FFE1E" w14:textId="77777777" w:rsidR="003B4101" w:rsidRPr="003C2462" w:rsidRDefault="003B4101" w:rsidP="003B4101">
            <w:pPr>
              <w:jc w:val="center"/>
            </w:pPr>
          </w:p>
        </w:tc>
        <w:tc>
          <w:tcPr>
            <w:tcW w:w="607" w:type="pct"/>
            <w:vMerge/>
          </w:tcPr>
          <w:p w14:paraId="0D7486B0" w14:textId="77777777" w:rsidR="003B4101" w:rsidRPr="003C2462" w:rsidRDefault="003B4101" w:rsidP="003B4101">
            <w:pPr>
              <w:jc w:val="center"/>
              <w:rPr>
                <w:szCs w:val="28"/>
              </w:rPr>
            </w:pPr>
          </w:p>
        </w:tc>
      </w:tr>
    </w:tbl>
    <w:p w14:paraId="594EF15D" w14:textId="644A7F18" w:rsidR="00334897" w:rsidRDefault="00334897" w:rsidP="00287FA5">
      <w:pPr>
        <w:spacing w:before="160"/>
      </w:pPr>
      <w:r>
        <w:t>Nhận xét:</w:t>
      </w:r>
      <w:r w:rsidR="00606EF0">
        <w:t xml:space="preserve"> Đánh giá</w:t>
      </w:r>
      <w:r w:rsidR="005A5FFD">
        <w:t xml:space="preserve"> </w:t>
      </w:r>
      <w:r w:rsidR="00D2140E">
        <w:t>SDD</w:t>
      </w:r>
      <w:r w:rsidR="00606EF0">
        <w:t xml:space="preserve"> theo BMI, </w:t>
      </w:r>
      <w:r w:rsidR="00022441">
        <w:t>nhóm nam có 34.4% bệnh nhân SDD và nhóm nữ có 34.3% bệnh nhân SDD</w:t>
      </w:r>
      <w:r w:rsidR="00F40B0B">
        <w:t xml:space="preserve">. OR </w:t>
      </w:r>
      <w:r w:rsidR="00C6096E">
        <w:t>=</w:t>
      </w:r>
      <w:r w:rsidR="00F40B0B">
        <w:t xml:space="preserve"> 0.996, khoảng tin cậy 95% của OR là 0.</w:t>
      </w:r>
      <w:r w:rsidR="00F40B0B" w:rsidRPr="00647E9E">
        <w:t>552</w:t>
      </w:r>
      <w:r w:rsidR="00F40B0B">
        <w:t>-</w:t>
      </w:r>
      <w:r w:rsidR="00F40B0B" w:rsidRPr="00647E9E">
        <w:t>1</w:t>
      </w:r>
      <w:r w:rsidR="00F40B0B">
        <w:t>.</w:t>
      </w:r>
      <w:r w:rsidR="00F40B0B" w:rsidRPr="00647E9E">
        <w:t>795</w:t>
      </w:r>
      <w:r w:rsidR="00C6096E">
        <w:t>, sự khác biệt chưa có ý nghĩa thống kê với p = 1</w:t>
      </w:r>
      <w:r w:rsidR="009617E2">
        <w:t xml:space="preserve"> cho thấy yếu tố giới tính chưa thực sự ảnh hưởng đến TTDD của bệnh nhân</w:t>
      </w:r>
      <w:r w:rsidR="0086679C">
        <w:t xml:space="preserve"> theo BMI</w:t>
      </w:r>
      <w:r w:rsidR="009617E2">
        <w:t>.</w:t>
      </w:r>
    </w:p>
    <w:p w14:paraId="2479F176" w14:textId="78CF08C5" w:rsidR="00F724BC" w:rsidRPr="004E5E72" w:rsidRDefault="00F724BC" w:rsidP="00F724BC">
      <w:pPr>
        <w:pStyle w:val="Caption"/>
      </w:pPr>
      <w:bookmarkStart w:id="85" w:name="_Toc133590752"/>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9</w:t>
      </w:r>
      <w:r w:rsidR="000A1A5C">
        <w:fldChar w:fldCharType="end"/>
      </w:r>
      <w:r>
        <w:t xml:space="preserve">. </w:t>
      </w:r>
      <w:r w:rsidRPr="004E5E72">
        <w:t xml:space="preserve">Mối liên quan giữa </w:t>
      </w:r>
      <w:r>
        <w:t>giới</w:t>
      </w:r>
      <w:r w:rsidRPr="004E5E72">
        <w:t xml:space="preserve"> và TTDD theo </w:t>
      </w:r>
      <w:r>
        <w:t>SGA</w:t>
      </w:r>
      <w:bookmarkEnd w:id="85"/>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6605C1" w14:paraId="1CF9BE6F" w14:textId="77777777" w:rsidTr="00973C89">
        <w:tc>
          <w:tcPr>
            <w:tcW w:w="1573" w:type="pct"/>
            <w:vMerge w:val="restart"/>
            <w:tcBorders>
              <w:tl2br w:val="single" w:sz="4" w:space="0" w:color="auto"/>
            </w:tcBorders>
          </w:tcPr>
          <w:p w14:paraId="565E8DA8" w14:textId="77777777" w:rsidR="006605C1" w:rsidRPr="002A15EF" w:rsidRDefault="006605C1" w:rsidP="00973C89">
            <w:pPr>
              <w:jc w:val="right"/>
              <w:rPr>
                <w:b/>
                <w:bCs/>
                <w:szCs w:val="28"/>
              </w:rPr>
            </w:pPr>
            <w:r>
              <w:rPr>
                <w:b/>
                <w:bCs/>
                <w:szCs w:val="28"/>
              </w:rPr>
              <w:t>TTDD</w:t>
            </w:r>
          </w:p>
          <w:p w14:paraId="046D3C94" w14:textId="77777777" w:rsidR="006605C1" w:rsidRDefault="006605C1" w:rsidP="00973C89">
            <w:pPr>
              <w:rPr>
                <w:b/>
                <w:bCs/>
                <w:szCs w:val="28"/>
              </w:rPr>
            </w:pPr>
          </w:p>
          <w:p w14:paraId="6DB9A55F" w14:textId="77777777" w:rsidR="006605C1" w:rsidRPr="002A15EF" w:rsidRDefault="006605C1" w:rsidP="00973C89">
            <w:pPr>
              <w:rPr>
                <w:b/>
                <w:bCs/>
                <w:szCs w:val="28"/>
              </w:rPr>
            </w:pPr>
            <w:r>
              <w:rPr>
                <w:b/>
                <w:bCs/>
                <w:szCs w:val="28"/>
              </w:rPr>
              <w:t>Giới tính</w:t>
            </w:r>
          </w:p>
        </w:tc>
        <w:tc>
          <w:tcPr>
            <w:tcW w:w="1783" w:type="pct"/>
            <w:gridSpan w:val="2"/>
          </w:tcPr>
          <w:p w14:paraId="060A22C7" w14:textId="1C3E56CB" w:rsidR="006605C1" w:rsidRPr="002A15EF" w:rsidRDefault="006605C1" w:rsidP="00973C89">
            <w:pPr>
              <w:jc w:val="center"/>
              <w:rPr>
                <w:b/>
                <w:bCs/>
                <w:szCs w:val="28"/>
              </w:rPr>
            </w:pPr>
            <w:r>
              <w:rPr>
                <w:b/>
                <w:bCs/>
                <w:szCs w:val="28"/>
              </w:rPr>
              <w:t>SGA</w:t>
            </w:r>
          </w:p>
        </w:tc>
        <w:tc>
          <w:tcPr>
            <w:tcW w:w="1037" w:type="pct"/>
            <w:vMerge w:val="restart"/>
          </w:tcPr>
          <w:p w14:paraId="4DE4EA1C" w14:textId="77777777" w:rsidR="006605C1" w:rsidRDefault="006605C1" w:rsidP="00973C89">
            <w:pPr>
              <w:jc w:val="center"/>
              <w:rPr>
                <w:b/>
                <w:bCs/>
              </w:rPr>
            </w:pPr>
            <w:r>
              <w:rPr>
                <w:b/>
                <w:bCs/>
              </w:rPr>
              <w:t>OR</w:t>
            </w:r>
          </w:p>
          <w:p w14:paraId="61F60864" w14:textId="77777777" w:rsidR="006605C1" w:rsidRPr="002A15EF" w:rsidRDefault="006605C1" w:rsidP="00973C89">
            <w:pPr>
              <w:jc w:val="center"/>
              <w:rPr>
                <w:b/>
                <w:bCs/>
              </w:rPr>
            </w:pPr>
            <w:r>
              <w:rPr>
                <w:b/>
                <w:bCs/>
              </w:rPr>
              <w:t>(95% CI)</w:t>
            </w:r>
          </w:p>
        </w:tc>
        <w:tc>
          <w:tcPr>
            <w:tcW w:w="607" w:type="pct"/>
            <w:vMerge w:val="restart"/>
          </w:tcPr>
          <w:p w14:paraId="36ACC476" w14:textId="77777777" w:rsidR="006605C1" w:rsidRPr="002A15EF" w:rsidRDefault="006605C1" w:rsidP="00973C89">
            <w:pPr>
              <w:jc w:val="center"/>
              <w:rPr>
                <w:b/>
                <w:bCs/>
                <w:szCs w:val="28"/>
              </w:rPr>
            </w:pPr>
            <w:r w:rsidRPr="002A15EF">
              <w:rPr>
                <w:b/>
                <w:bCs/>
                <w:szCs w:val="28"/>
              </w:rPr>
              <w:t>p</w:t>
            </w:r>
          </w:p>
        </w:tc>
      </w:tr>
      <w:tr w:rsidR="006605C1" w14:paraId="61910C7C" w14:textId="77777777" w:rsidTr="00973C89">
        <w:tc>
          <w:tcPr>
            <w:tcW w:w="1573" w:type="pct"/>
            <w:vMerge/>
            <w:tcBorders>
              <w:tl2br w:val="single" w:sz="4" w:space="0" w:color="auto"/>
            </w:tcBorders>
          </w:tcPr>
          <w:p w14:paraId="340B5A74" w14:textId="77777777" w:rsidR="006605C1" w:rsidRPr="002A15EF" w:rsidRDefault="006605C1" w:rsidP="00973C89">
            <w:pPr>
              <w:rPr>
                <w:szCs w:val="28"/>
              </w:rPr>
            </w:pPr>
          </w:p>
        </w:tc>
        <w:tc>
          <w:tcPr>
            <w:tcW w:w="943" w:type="pct"/>
          </w:tcPr>
          <w:p w14:paraId="3299DB79" w14:textId="77777777" w:rsidR="006605C1" w:rsidRDefault="006605C1" w:rsidP="00973C89">
            <w:pPr>
              <w:jc w:val="center"/>
              <w:rPr>
                <w:b/>
                <w:bCs/>
                <w:szCs w:val="28"/>
              </w:rPr>
            </w:pPr>
            <w:r>
              <w:rPr>
                <w:b/>
                <w:bCs/>
                <w:szCs w:val="28"/>
              </w:rPr>
              <w:t>Không SDD</w:t>
            </w:r>
          </w:p>
          <w:p w14:paraId="538587CC" w14:textId="77777777" w:rsidR="006605C1" w:rsidRPr="002A15EF" w:rsidRDefault="006605C1" w:rsidP="00973C89">
            <w:pPr>
              <w:jc w:val="center"/>
              <w:rPr>
                <w:b/>
                <w:bCs/>
                <w:szCs w:val="28"/>
              </w:rPr>
            </w:pPr>
            <w:r>
              <w:rPr>
                <w:b/>
                <w:bCs/>
                <w:szCs w:val="28"/>
              </w:rPr>
              <w:t xml:space="preserve">(n, </w:t>
            </w:r>
            <w:r w:rsidRPr="002A15EF">
              <w:rPr>
                <w:b/>
                <w:bCs/>
                <w:szCs w:val="28"/>
              </w:rPr>
              <w:t>%</w:t>
            </w:r>
            <w:r>
              <w:rPr>
                <w:b/>
                <w:bCs/>
                <w:szCs w:val="28"/>
              </w:rPr>
              <w:t>)</w:t>
            </w:r>
          </w:p>
        </w:tc>
        <w:tc>
          <w:tcPr>
            <w:tcW w:w="840" w:type="pct"/>
          </w:tcPr>
          <w:p w14:paraId="44B78AF4" w14:textId="77777777" w:rsidR="006605C1" w:rsidRPr="002A15EF" w:rsidRDefault="006605C1" w:rsidP="00973C89">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505A976B" w14:textId="77777777" w:rsidR="006605C1" w:rsidRPr="002A15EF" w:rsidRDefault="006605C1" w:rsidP="00973C89">
            <w:pPr>
              <w:jc w:val="center"/>
            </w:pPr>
          </w:p>
        </w:tc>
        <w:tc>
          <w:tcPr>
            <w:tcW w:w="607" w:type="pct"/>
            <w:vMerge/>
          </w:tcPr>
          <w:p w14:paraId="3E6FC979" w14:textId="77777777" w:rsidR="006605C1" w:rsidRPr="002A15EF" w:rsidRDefault="006605C1" w:rsidP="00973C89">
            <w:pPr>
              <w:jc w:val="center"/>
              <w:rPr>
                <w:szCs w:val="28"/>
              </w:rPr>
            </w:pPr>
          </w:p>
        </w:tc>
      </w:tr>
      <w:tr w:rsidR="006605C1" w14:paraId="69A19224" w14:textId="77777777" w:rsidTr="00973C89">
        <w:trPr>
          <w:trHeight w:val="354"/>
        </w:trPr>
        <w:tc>
          <w:tcPr>
            <w:tcW w:w="1573" w:type="pct"/>
          </w:tcPr>
          <w:p w14:paraId="1498CF9C" w14:textId="77777777" w:rsidR="006605C1" w:rsidRPr="003C2462" w:rsidRDefault="006605C1" w:rsidP="006605C1">
            <w:pPr>
              <w:rPr>
                <w:szCs w:val="28"/>
              </w:rPr>
            </w:pPr>
            <w:r>
              <w:rPr>
                <w:szCs w:val="28"/>
              </w:rPr>
              <w:t>Nam</w:t>
            </w:r>
          </w:p>
        </w:tc>
        <w:tc>
          <w:tcPr>
            <w:tcW w:w="943" w:type="pct"/>
            <w:vAlign w:val="top"/>
          </w:tcPr>
          <w:p w14:paraId="45614FFD" w14:textId="1594AC7B" w:rsidR="006605C1" w:rsidRPr="003C2462" w:rsidRDefault="006605C1" w:rsidP="006605C1">
            <w:pPr>
              <w:jc w:val="center"/>
              <w:rPr>
                <w:szCs w:val="28"/>
              </w:rPr>
            </w:pPr>
            <w:r w:rsidRPr="008E10A8">
              <w:t>112</w:t>
            </w:r>
            <w:r>
              <w:t xml:space="preserve"> (61</w:t>
            </w:r>
            <w:r w:rsidR="00C25168">
              <w:t>.</w:t>
            </w:r>
            <w:r>
              <w:t>2%)</w:t>
            </w:r>
          </w:p>
        </w:tc>
        <w:tc>
          <w:tcPr>
            <w:tcW w:w="840" w:type="pct"/>
            <w:vAlign w:val="top"/>
          </w:tcPr>
          <w:p w14:paraId="41467F37" w14:textId="4AB5F633" w:rsidR="006605C1" w:rsidRPr="003C2462" w:rsidRDefault="006605C1" w:rsidP="006605C1">
            <w:pPr>
              <w:jc w:val="center"/>
              <w:rPr>
                <w:szCs w:val="28"/>
              </w:rPr>
            </w:pPr>
            <w:r w:rsidRPr="008E10A8">
              <w:t>71</w:t>
            </w:r>
            <w:r>
              <w:t xml:space="preserve"> (38.8%)</w:t>
            </w:r>
          </w:p>
        </w:tc>
        <w:tc>
          <w:tcPr>
            <w:tcW w:w="1037" w:type="pct"/>
            <w:vMerge w:val="restart"/>
          </w:tcPr>
          <w:p w14:paraId="488B46CF" w14:textId="22EB86B9" w:rsidR="006605C1" w:rsidRDefault="006605C1" w:rsidP="006605C1">
            <w:pPr>
              <w:jc w:val="center"/>
            </w:pPr>
            <w:r>
              <w:t>0.</w:t>
            </w:r>
            <w:r w:rsidR="005D608F">
              <w:t>771</w:t>
            </w:r>
          </w:p>
          <w:p w14:paraId="22284745" w14:textId="6B2843D5" w:rsidR="006605C1" w:rsidRPr="003C2462" w:rsidRDefault="006605C1" w:rsidP="006605C1">
            <w:pPr>
              <w:jc w:val="center"/>
            </w:pPr>
            <w:r>
              <w:t>(0</w:t>
            </w:r>
            <w:r w:rsidRPr="00647E9E">
              <w:t>.</w:t>
            </w:r>
            <w:r w:rsidR="005D608F">
              <w:t>427</w:t>
            </w:r>
            <w:r>
              <w:t>-</w:t>
            </w:r>
            <w:r w:rsidRPr="00647E9E">
              <w:t>1.</w:t>
            </w:r>
            <w:r w:rsidR="005D608F">
              <w:t>392</w:t>
            </w:r>
            <w:r>
              <w:t>)</w:t>
            </w:r>
          </w:p>
        </w:tc>
        <w:tc>
          <w:tcPr>
            <w:tcW w:w="607" w:type="pct"/>
            <w:vMerge w:val="restart"/>
          </w:tcPr>
          <w:p w14:paraId="7E42F442" w14:textId="53467C37" w:rsidR="006605C1" w:rsidRPr="003C2462" w:rsidRDefault="006605C1" w:rsidP="006605C1">
            <w:pPr>
              <w:jc w:val="center"/>
              <w:rPr>
                <w:szCs w:val="28"/>
              </w:rPr>
            </w:pPr>
            <w:r>
              <w:rPr>
                <w:szCs w:val="28"/>
              </w:rPr>
              <w:t>0</w:t>
            </w:r>
            <w:r w:rsidRPr="003B635D">
              <w:rPr>
                <w:szCs w:val="28"/>
              </w:rPr>
              <w:t>.</w:t>
            </w:r>
            <w:r w:rsidR="00C9353A">
              <w:rPr>
                <w:szCs w:val="28"/>
              </w:rPr>
              <w:t>474</w:t>
            </w:r>
          </w:p>
        </w:tc>
      </w:tr>
      <w:tr w:rsidR="007E504C" w14:paraId="1B8529B0" w14:textId="77777777" w:rsidTr="00973C89">
        <w:trPr>
          <w:trHeight w:val="70"/>
        </w:trPr>
        <w:tc>
          <w:tcPr>
            <w:tcW w:w="1573" w:type="pct"/>
          </w:tcPr>
          <w:p w14:paraId="76706D2E" w14:textId="77777777" w:rsidR="007E504C" w:rsidRPr="003C2462" w:rsidRDefault="007E504C" w:rsidP="007E504C">
            <w:pPr>
              <w:rPr>
                <w:szCs w:val="28"/>
              </w:rPr>
            </w:pPr>
            <w:r>
              <w:rPr>
                <w:szCs w:val="28"/>
              </w:rPr>
              <w:t>Nữ</w:t>
            </w:r>
          </w:p>
        </w:tc>
        <w:tc>
          <w:tcPr>
            <w:tcW w:w="943" w:type="pct"/>
            <w:vAlign w:val="top"/>
          </w:tcPr>
          <w:p w14:paraId="52197273" w14:textId="1466A87E" w:rsidR="007E504C" w:rsidRPr="003C2462" w:rsidRDefault="007E504C" w:rsidP="007E504C">
            <w:pPr>
              <w:jc w:val="center"/>
              <w:rPr>
                <w:szCs w:val="28"/>
              </w:rPr>
            </w:pPr>
            <w:r>
              <w:t xml:space="preserve"> 45 (</w:t>
            </w:r>
            <w:r w:rsidRPr="00164EEC">
              <w:t>67.2%</w:t>
            </w:r>
            <w:r>
              <w:t>)</w:t>
            </w:r>
          </w:p>
        </w:tc>
        <w:tc>
          <w:tcPr>
            <w:tcW w:w="840" w:type="pct"/>
            <w:vAlign w:val="top"/>
          </w:tcPr>
          <w:p w14:paraId="35487F9E" w14:textId="0F9FF68D" w:rsidR="007E504C" w:rsidRPr="003C2462" w:rsidRDefault="007E504C" w:rsidP="007E504C">
            <w:pPr>
              <w:jc w:val="center"/>
              <w:rPr>
                <w:szCs w:val="28"/>
              </w:rPr>
            </w:pPr>
            <w:r>
              <w:t>22 (</w:t>
            </w:r>
            <w:r w:rsidRPr="00164EEC">
              <w:t>32.8%</w:t>
            </w:r>
            <w:r>
              <w:t>)</w:t>
            </w:r>
          </w:p>
        </w:tc>
        <w:tc>
          <w:tcPr>
            <w:tcW w:w="1037" w:type="pct"/>
            <w:vMerge/>
          </w:tcPr>
          <w:p w14:paraId="3954A212" w14:textId="77777777" w:rsidR="007E504C" w:rsidRPr="003C2462" w:rsidRDefault="007E504C" w:rsidP="007E504C">
            <w:pPr>
              <w:jc w:val="center"/>
            </w:pPr>
          </w:p>
        </w:tc>
        <w:tc>
          <w:tcPr>
            <w:tcW w:w="607" w:type="pct"/>
            <w:vMerge/>
          </w:tcPr>
          <w:p w14:paraId="7EDA65ED" w14:textId="77777777" w:rsidR="007E504C" w:rsidRPr="003C2462" w:rsidRDefault="007E504C" w:rsidP="007E504C">
            <w:pPr>
              <w:jc w:val="center"/>
              <w:rPr>
                <w:szCs w:val="28"/>
              </w:rPr>
            </w:pPr>
          </w:p>
        </w:tc>
      </w:tr>
    </w:tbl>
    <w:p w14:paraId="5E9D10B0" w14:textId="06CDC971" w:rsidR="006605C1" w:rsidRDefault="006605C1" w:rsidP="00532DF4">
      <w:pPr>
        <w:tabs>
          <w:tab w:val="left" w:pos="2400"/>
        </w:tabs>
        <w:spacing w:before="160"/>
      </w:pPr>
      <w:r>
        <w:t>Nhận xét:</w:t>
      </w:r>
      <w:r w:rsidR="00532DF4">
        <w:t xml:space="preserve"> Đánh giá </w:t>
      </w:r>
      <w:r w:rsidR="002F0746">
        <w:t xml:space="preserve">SDD </w:t>
      </w:r>
      <w:r w:rsidR="00532DF4">
        <w:t>theo SGA, nhóm nam có 3</w:t>
      </w:r>
      <w:r w:rsidR="00AE5F85">
        <w:t>8</w:t>
      </w:r>
      <w:r w:rsidR="00532DF4">
        <w:t>.</w:t>
      </w:r>
      <w:r w:rsidR="00AE5F85">
        <w:t>8</w:t>
      </w:r>
      <w:r w:rsidR="00532DF4">
        <w:t xml:space="preserve">% bệnh nhân SDD </w:t>
      </w:r>
      <w:r w:rsidR="00734DDE">
        <w:t>cao hơn so với</w:t>
      </w:r>
      <w:r w:rsidR="00532DF4">
        <w:t xml:space="preserve"> nhóm nữ có 3</w:t>
      </w:r>
      <w:r w:rsidR="007C3255">
        <w:t>2</w:t>
      </w:r>
      <w:r w:rsidR="00532DF4">
        <w:t>.</w:t>
      </w:r>
      <w:r w:rsidR="000153C1">
        <w:t>8</w:t>
      </w:r>
      <w:r w:rsidR="00532DF4">
        <w:t>% bệnh nhân SDD. OR = 0.</w:t>
      </w:r>
      <w:r w:rsidR="00734DDE">
        <w:t>771</w:t>
      </w:r>
      <w:r w:rsidR="00532DF4">
        <w:t xml:space="preserve">, khoảng tin cậy 95% của OR là </w:t>
      </w:r>
      <w:r w:rsidR="00734DDE">
        <w:t>0</w:t>
      </w:r>
      <w:r w:rsidR="00734DDE" w:rsidRPr="00647E9E">
        <w:t>.</w:t>
      </w:r>
      <w:r w:rsidR="00734DDE">
        <w:t>427-</w:t>
      </w:r>
      <w:r w:rsidR="00734DDE" w:rsidRPr="00647E9E">
        <w:t>1.</w:t>
      </w:r>
      <w:r w:rsidR="00734DDE">
        <w:t>392</w:t>
      </w:r>
      <w:r w:rsidR="00532DF4">
        <w:t xml:space="preserve">, sự khác biệt chưa có ý nghĩa thống kê với p = </w:t>
      </w:r>
      <w:r w:rsidR="00536E80">
        <w:t>0.474</w:t>
      </w:r>
      <w:r w:rsidR="00532DF4">
        <w:t xml:space="preserve"> cho thấy yếu tố giới tính chưa thực sự ảnh hưởng đến TTDD của bệnh nhân</w:t>
      </w:r>
      <w:r w:rsidR="00EC6878">
        <w:t xml:space="preserve"> theo SGA</w:t>
      </w:r>
      <w:r w:rsidR="00532DF4">
        <w:t>.</w:t>
      </w:r>
    </w:p>
    <w:p w14:paraId="1844BD9C" w14:textId="62AF1DBD" w:rsidR="00334897" w:rsidRDefault="00334897" w:rsidP="00334897">
      <w:pPr>
        <w:pStyle w:val="Heading3"/>
      </w:pPr>
      <w:bookmarkStart w:id="86" w:name="_Toc126527748"/>
      <w:r>
        <w:lastRenderedPageBreak/>
        <w:t>3.</w:t>
      </w:r>
      <w:r w:rsidR="009C1972">
        <w:t>3</w:t>
      </w:r>
      <w:r>
        <w:t>.</w:t>
      </w:r>
      <w:r w:rsidR="00DB461B">
        <w:t>3</w:t>
      </w:r>
      <w:r>
        <w:t xml:space="preserve">. </w:t>
      </w:r>
      <w:bookmarkEnd w:id="86"/>
      <w:r>
        <w:t>Mối liên quan giữa nghề nghiệp và tình trạng dinh dưỡng</w:t>
      </w:r>
    </w:p>
    <w:p w14:paraId="202AC804" w14:textId="612AF03D" w:rsidR="00334897" w:rsidRPr="00707BC9" w:rsidRDefault="00334897" w:rsidP="00334897">
      <w:pPr>
        <w:pStyle w:val="Caption"/>
        <w:rPr>
          <w:b w:val="0"/>
          <w:bCs/>
        </w:rPr>
      </w:pPr>
      <w:bookmarkStart w:id="87" w:name="_Toc133590753"/>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10</w:t>
      </w:r>
      <w:r w:rsidR="000A1A5C">
        <w:fldChar w:fldCharType="end"/>
      </w:r>
      <w:r>
        <w:t xml:space="preserve">. </w:t>
      </w:r>
      <w:r w:rsidRPr="00707BC9">
        <w:rPr>
          <w:bCs/>
        </w:rPr>
        <w:t>Mối liên quan giữa nghề nghiệp và TTDD theo BMI</w:t>
      </w:r>
      <w:bookmarkEnd w:id="87"/>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0A469E" w14:paraId="55C656A5" w14:textId="77777777" w:rsidTr="00CB787E">
        <w:tc>
          <w:tcPr>
            <w:tcW w:w="1573" w:type="pct"/>
            <w:vMerge w:val="restart"/>
            <w:tcBorders>
              <w:tl2br w:val="single" w:sz="4" w:space="0" w:color="auto"/>
            </w:tcBorders>
          </w:tcPr>
          <w:p w14:paraId="38EA5E7C" w14:textId="77777777" w:rsidR="000A469E" w:rsidRPr="002A15EF" w:rsidRDefault="000A469E" w:rsidP="00CB787E">
            <w:pPr>
              <w:jc w:val="right"/>
              <w:rPr>
                <w:b/>
                <w:bCs/>
                <w:szCs w:val="28"/>
              </w:rPr>
            </w:pPr>
            <w:r>
              <w:rPr>
                <w:b/>
                <w:bCs/>
                <w:szCs w:val="28"/>
              </w:rPr>
              <w:t>TTDD</w:t>
            </w:r>
          </w:p>
          <w:p w14:paraId="12379EB4" w14:textId="77777777" w:rsidR="000A469E" w:rsidRDefault="000A469E" w:rsidP="00CB787E">
            <w:pPr>
              <w:rPr>
                <w:b/>
                <w:bCs/>
                <w:szCs w:val="28"/>
              </w:rPr>
            </w:pPr>
          </w:p>
          <w:p w14:paraId="7AD02931" w14:textId="79520F0C" w:rsidR="000A469E" w:rsidRPr="002A15EF" w:rsidRDefault="000A469E" w:rsidP="00CB787E">
            <w:pPr>
              <w:rPr>
                <w:b/>
                <w:bCs/>
                <w:szCs w:val="28"/>
              </w:rPr>
            </w:pPr>
            <w:r>
              <w:rPr>
                <w:b/>
                <w:bCs/>
                <w:szCs w:val="28"/>
              </w:rPr>
              <w:t>Nghề nghiệp</w:t>
            </w:r>
          </w:p>
        </w:tc>
        <w:tc>
          <w:tcPr>
            <w:tcW w:w="1783" w:type="pct"/>
            <w:gridSpan w:val="2"/>
          </w:tcPr>
          <w:p w14:paraId="1EC939C9" w14:textId="77777777" w:rsidR="000A469E" w:rsidRPr="002A15EF" w:rsidRDefault="000A469E" w:rsidP="00CB787E">
            <w:pPr>
              <w:jc w:val="center"/>
              <w:rPr>
                <w:b/>
                <w:bCs/>
                <w:szCs w:val="28"/>
              </w:rPr>
            </w:pPr>
            <w:r>
              <w:rPr>
                <w:b/>
                <w:bCs/>
                <w:szCs w:val="28"/>
              </w:rPr>
              <w:t>BMI</w:t>
            </w:r>
          </w:p>
        </w:tc>
        <w:tc>
          <w:tcPr>
            <w:tcW w:w="1037" w:type="pct"/>
            <w:vMerge w:val="restart"/>
          </w:tcPr>
          <w:p w14:paraId="28BA8699" w14:textId="77777777" w:rsidR="000A469E" w:rsidRDefault="000A469E" w:rsidP="00CB787E">
            <w:pPr>
              <w:jc w:val="center"/>
              <w:rPr>
                <w:b/>
                <w:bCs/>
              </w:rPr>
            </w:pPr>
            <w:r>
              <w:rPr>
                <w:b/>
                <w:bCs/>
              </w:rPr>
              <w:t>OR</w:t>
            </w:r>
          </w:p>
          <w:p w14:paraId="16CA665D" w14:textId="77777777" w:rsidR="000A469E" w:rsidRPr="002A15EF" w:rsidRDefault="000A469E" w:rsidP="00CB787E">
            <w:pPr>
              <w:jc w:val="center"/>
              <w:rPr>
                <w:b/>
                <w:bCs/>
              </w:rPr>
            </w:pPr>
            <w:r>
              <w:rPr>
                <w:b/>
                <w:bCs/>
              </w:rPr>
              <w:t>(95% CI)</w:t>
            </w:r>
          </w:p>
        </w:tc>
        <w:tc>
          <w:tcPr>
            <w:tcW w:w="607" w:type="pct"/>
            <w:vMerge w:val="restart"/>
          </w:tcPr>
          <w:p w14:paraId="6DC5BBE6" w14:textId="77777777" w:rsidR="000A469E" w:rsidRPr="002A15EF" w:rsidRDefault="000A469E" w:rsidP="00CB787E">
            <w:pPr>
              <w:jc w:val="center"/>
              <w:rPr>
                <w:b/>
                <w:bCs/>
                <w:szCs w:val="28"/>
              </w:rPr>
            </w:pPr>
            <w:r w:rsidRPr="002A15EF">
              <w:rPr>
                <w:b/>
                <w:bCs/>
                <w:szCs w:val="28"/>
              </w:rPr>
              <w:t>p</w:t>
            </w:r>
          </w:p>
        </w:tc>
      </w:tr>
      <w:tr w:rsidR="000A469E" w14:paraId="07626976" w14:textId="77777777" w:rsidTr="00CB787E">
        <w:tc>
          <w:tcPr>
            <w:tcW w:w="1573" w:type="pct"/>
            <w:vMerge/>
            <w:tcBorders>
              <w:tl2br w:val="single" w:sz="4" w:space="0" w:color="auto"/>
            </w:tcBorders>
          </w:tcPr>
          <w:p w14:paraId="34F6EDF4" w14:textId="77777777" w:rsidR="000A469E" w:rsidRPr="002A15EF" w:rsidRDefault="000A469E" w:rsidP="00CB787E">
            <w:pPr>
              <w:rPr>
                <w:szCs w:val="28"/>
              </w:rPr>
            </w:pPr>
          </w:p>
        </w:tc>
        <w:tc>
          <w:tcPr>
            <w:tcW w:w="943" w:type="pct"/>
          </w:tcPr>
          <w:p w14:paraId="001386B5" w14:textId="77777777" w:rsidR="000A469E" w:rsidRDefault="000A469E" w:rsidP="00CB787E">
            <w:pPr>
              <w:jc w:val="center"/>
              <w:rPr>
                <w:b/>
                <w:bCs/>
                <w:szCs w:val="28"/>
              </w:rPr>
            </w:pPr>
            <w:r>
              <w:rPr>
                <w:b/>
                <w:bCs/>
                <w:szCs w:val="28"/>
              </w:rPr>
              <w:t>Không SDD</w:t>
            </w:r>
          </w:p>
          <w:p w14:paraId="082371CC" w14:textId="77777777" w:rsidR="000A469E" w:rsidRPr="002A15EF" w:rsidRDefault="000A469E"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52D160BF" w14:textId="77777777" w:rsidR="000A469E" w:rsidRPr="002A15EF" w:rsidRDefault="000A469E"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45796B61" w14:textId="77777777" w:rsidR="000A469E" w:rsidRPr="002A15EF" w:rsidRDefault="000A469E" w:rsidP="00CB787E">
            <w:pPr>
              <w:jc w:val="center"/>
            </w:pPr>
          </w:p>
        </w:tc>
        <w:tc>
          <w:tcPr>
            <w:tcW w:w="607" w:type="pct"/>
            <w:vMerge/>
          </w:tcPr>
          <w:p w14:paraId="5E193065" w14:textId="77777777" w:rsidR="000A469E" w:rsidRPr="002A15EF" w:rsidRDefault="000A469E" w:rsidP="00CB787E">
            <w:pPr>
              <w:jc w:val="center"/>
              <w:rPr>
                <w:szCs w:val="28"/>
              </w:rPr>
            </w:pPr>
          </w:p>
        </w:tc>
      </w:tr>
      <w:tr w:rsidR="0065106E" w14:paraId="5AFE5AB7" w14:textId="77777777" w:rsidTr="00CB787E">
        <w:trPr>
          <w:trHeight w:val="354"/>
        </w:trPr>
        <w:tc>
          <w:tcPr>
            <w:tcW w:w="1573" w:type="pct"/>
          </w:tcPr>
          <w:p w14:paraId="65749461" w14:textId="129449D6" w:rsidR="0065106E" w:rsidRPr="003C2462" w:rsidRDefault="0065106E" w:rsidP="0065106E">
            <w:pPr>
              <w:rPr>
                <w:szCs w:val="28"/>
              </w:rPr>
            </w:pPr>
            <w:r>
              <w:rPr>
                <w:szCs w:val="28"/>
              </w:rPr>
              <w:t>Lao động tự do</w:t>
            </w:r>
          </w:p>
        </w:tc>
        <w:tc>
          <w:tcPr>
            <w:tcW w:w="943" w:type="pct"/>
            <w:vAlign w:val="top"/>
          </w:tcPr>
          <w:p w14:paraId="446D3623" w14:textId="6F15C7E6" w:rsidR="0065106E" w:rsidRPr="003C2462" w:rsidRDefault="0065106E" w:rsidP="0065106E">
            <w:pPr>
              <w:jc w:val="center"/>
              <w:rPr>
                <w:szCs w:val="28"/>
              </w:rPr>
            </w:pPr>
            <w:r>
              <w:t>69 (</w:t>
            </w:r>
            <w:r w:rsidRPr="00A615D6">
              <w:t>58.5%</w:t>
            </w:r>
            <w:r>
              <w:t>)</w:t>
            </w:r>
          </w:p>
        </w:tc>
        <w:tc>
          <w:tcPr>
            <w:tcW w:w="840" w:type="pct"/>
            <w:vAlign w:val="top"/>
          </w:tcPr>
          <w:p w14:paraId="2CC2C1F2" w14:textId="6A1030D9" w:rsidR="0065106E" w:rsidRPr="003C2462" w:rsidRDefault="0065106E" w:rsidP="0065106E">
            <w:pPr>
              <w:jc w:val="center"/>
              <w:rPr>
                <w:szCs w:val="28"/>
              </w:rPr>
            </w:pPr>
            <w:r>
              <w:t>49 (</w:t>
            </w:r>
            <w:r w:rsidRPr="00A615D6">
              <w:t>41.5%</w:t>
            </w:r>
            <w:r>
              <w:t>)</w:t>
            </w:r>
          </w:p>
        </w:tc>
        <w:tc>
          <w:tcPr>
            <w:tcW w:w="1037" w:type="pct"/>
            <w:vMerge w:val="restart"/>
          </w:tcPr>
          <w:p w14:paraId="4697239A" w14:textId="4049EAAD" w:rsidR="0065106E" w:rsidRDefault="00125E2B" w:rsidP="0065106E">
            <w:pPr>
              <w:jc w:val="center"/>
            </w:pPr>
            <w:r>
              <w:t>0.548</w:t>
            </w:r>
          </w:p>
          <w:p w14:paraId="2F3D97C0" w14:textId="33907C1B" w:rsidR="0065106E" w:rsidRPr="003C2462" w:rsidRDefault="0065106E" w:rsidP="0065106E">
            <w:pPr>
              <w:jc w:val="center"/>
            </w:pPr>
            <w:r>
              <w:t>(0</w:t>
            </w:r>
            <w:r w:rsidRPr="002A1DCE">
              <w:t>.</w:t>
            </w:r>
            <w:r w:rsidR="00125E2B">
              <w:t>324</w:t>
            </w:r>
            <w:r>
              <w:t>-</w:t>
            </w:r>
            <w:r w:rsidR="00125E2B">
              <w:t>0</w:t>
            </w:r>
            <w:r w:rsidRPr="002A1DCE">
              <w:t>.9</w:t>
            </w:r>
            <w:r w:rsidR="00125E2B">
              <w:t>30</w:t>
            </w:r>
            <w:r>
              <w:t>)</w:t>
            </w:r>
          </w:p>
        </w:tc>
        <w:tc>
          <w:tcPr>
            <w:tcW w:w="607" w:type="pct"/>
            <w:vMerge w:val="restart"/>
          </w:tcPr>
          <w:p w14:paraId="68F35B31" w14:textId="7E1873CC" w:rsidR="0065106E" w:rsidRPr="003C2462" w:rsidRDefault="0065106E" w:rsidP="0065106E">
            <w:pPr>
              <w:jc w:val="center"/>
              <w:rPr>
                <w:szCs w:val="28"/>
              </w:rPr>
            </w:pPr>
            <w:r>
              <w:rPr>
                <w:szCs w:val="28"/>
              </w:rPr>
              <w:t>0</w:t>
            </w:r>
            <w:r w:rsidRPr="00802A61">
              <w:rPr>
                <w:szCs w:val="28"/>
              </w:rPr>
              <w:t>.</w:t>
            </w:r>
            <w:r w:rsidR="00903318">
              <w:rPr>
                <w:szCs w:val="28"/>
              </w:rPr>
              <w:t>035</w:t>
            </w:r>
          </w:p>
        </w:tc>
      </w:tr>
      <w:tr w:rsidR="0065106E" w14:paraId="3BE21E4A" w14:textId="77777777" w:rsidTr="00CB787E">
        <w:trPr>
          <w:trHeight w:val="70"/>
        </w:trPr>
        <w:tc>
          <w:tcPr>
            <w:tcW w:w="1573" w:type="pct"/>
          </w:tcPr>
          <w:p w14:paraId="6AEAF83E" w14:textId="2ACB7CD7" w:rsidR="0065106E" w:rsidRPr="003C2462" w:rsidRDefault="0065106E" w:rsidP="0065106E">
            <w:pPr>
              <w:rPr>
                <w:szCs w:val="28"/>
              </w:rPr>
            </w:pPr>
            <w:r>
              <w:rPr>
                <w:szCs w:val="28"/>
              </w:rPr>
              <w:t>Nghề nghiệp khác</w:t>
            </w:r>
          </w:p>
        </w:tc>
        <w:tc>
          <w:tcPr>
            <w:tcW w:w="943" w:type="pct"/>
            <w:vAlign w:val="top"/>
          </w:tcPr>
          <w:p w14:paraId="53425397" w14:textId="21897BAC" w:rsidR="0065106E" w:rsidRPr="003C2462" w:rsidRDefault="0065106E" w:rsidP="0065106E">
            <w:pPr>
              <w:jc w:val="center"/>
              <w:rPr>
                <w:szCs w:val="28"/>
              </w:rPr>
            </w:pPr>
            <w:r>
              <w:t>95 (</w:t>
            </w:r>
            <w:r w:rsidRPr="004728E8">
              <w:t>72.0%</w:t>
            </w:r>
            <w:r>
              <w:t>)</w:t>
            </w:r>
          </w:p>
        </w:tc>
        <w:tc>
          <w:tcPr>
            <w:tcW w:w="840" w:type="pct"/>
            <w:vAlign w:val="top"/>
          </w:tcPr>
          <w:p w14:paraId="328DA571" w14:textId="466140A1" w:rsidR="0065106E" w:rsidRPr="003C2462" w:rsidRDefault="0065106E" w:rsidP="0065106E">
            <w:pPr>
              <w:jc w:val="center"/>
              <w:rPr>
                <w:szCs w:val="28"/>
              </w:rPr>
            </w:pPr>
            <w:r>
              <w:t>37 (</w:t>
            </w:r>
            <w:r w:rsidRPr="004728E8">
              <w:t>28.0%</w:t>
            </w:r>
            <w:r>
              <w:t>)</w:t>
            </w:r>
          </w:p>
        </w:tc>
        <w:tc>
          <w:tcPr>
            <w:tcW w:w="1037" w:type="pct"/>
            <w:vMerge/>
          </w:tcPr>
          <w:p w14:paraId="7F10B4DE" w14:textId="77777777" w:rsidR="0065106E" w:rsidRPr="003C2462" w:rsidRDefault="0065106E" w:rsidP="0065106E">
            <w:pPr>
              <w:jc w:val="center"/>
            </w:pPr>
          </w:p>
        </w:tc>
        <w:tc>
          <w:tcPr>
            <w:tcW w:w="607" w:type="pct"/>
            <w:vMerge/>
          </w:tcPr>
          <w:p w14:paraId="3EF79A2A" w14:textId="77777777" w:rsidR="0065106E" w:rsidRPr="003C2462" w:rsidRDefault="0065106E" w:rsidP="0065106E">
            <w:pPr>
              <w:jc w:val="center"/>
              <w:rPr>
                <w:szCs w:val="28"/>
              </w:rPr>
            </w:pPr>
          </w:p>
        </w:tc>
      </w:tr>
    </w:tbl>
    <w:p w14:paraId="6F5ABC29" w14:textId="3BE84A46" w:rsidR="001310FB" w:rsidRDefault="001310FB" w:rsidP="001310FB">
      <w:pPr>
        <w:tabs>
          <w:tab w:val="left" w:pos="2400"/>
        </w:tabs>
        <w:spacing w:before="160"/>
      </w:pPr>
      <w:r>
        <w:t xml:space="preserve">Nhận xét: Đánh giá SDD theo BMI, nhóm </w:t>
      </w:r>
      <w:r w:rsidR="00F77B86">
        <w:t>lao động tự do</w:t>
      </w:r>
      <w:r>
        <w:t xml:space="preserve"> có </w:t>
      </w:r>
      <w:r w:rsidR="00F5626E">
        <w:t xml:space="preserve">tỷ lệ </w:t>
      </w:r>
      <w:r>
        <w:t xml:space="preserve">bệnh nhân SDD là </w:t>
      </w:r>
      <w:r w:rsidR="00D64746" w:rsidRPr="00A615D6">
        <w:t>41.5%</w:t>
      </w:r>
      <w:r w:rsidR="0072055D">
        <w:t xml:space="preserve"> cao hơn các </w:t>
      </w:r>
      <w:r>
        <w:t xml:space="preserve">nhóm </w:t>
      </w:r>
      <w:r w:rsidR="0072055D">
        <w:t xml:space="preserve">nghề nghiệp khác là </w:t>
      </w:r>
      <w:r w:rsidR="0072055D" w:rsidRPr="004728E8">
        <w:t>28.0</w:t>
      </w:r>
      <w:r w:rsidR="0072055D">
        <w:t>%.</w:t>
      </w:r>
      <w:r>
        <w:t xml:space="preserve"> </w:t>
      </w:r>
      <w:r w:rsidR="003443D3">
        <w:t>OR = 0.548, khoảng tin cậy 95% của OR là 0</w:t>
      </w:r>
      <w:r w:rsidR="003443D3" w:rsidRPr="002A1DCE">
        <w:t>.</w:t>
      </w:r>
      <w:r w:rsidR="003443D3">
        <w:t>324-0</w:t>
      </w:r>
      <w:r w:rsidR="003443D3" w:rsidRPr="002A1DCE">
        <w:t>.9</w:t>
      </w:r>
      <w:r w:rsidR="003443D3">
        <w:t>30, s</w:t>
      </w:r>
      <w:r>
        <w:t xml:space="preserve">ự khác biệt </w:t>
      </w:r>
      <w:r w:rsidR="0072055D">
        <w:t>có</w:t>
      </w:r>
      <w:r>
        <w:t xml:space="preserve"> ý nghĩa thống kê với p = </w:t>
      </w:r>
      <w:r w:rsidR="00F441BC">
        <w:t>0</w:t>
      </w:r>
      <w:r w:rsidR="00F441BC" w:rsidRPr="00802A61">
        <w:t>.</w:t>
      </w:r>
      <w:r w:rsidR="00F441BC">
        <w:t>035</w:t>
      </w:r>
      <w:r>
        <w:t>.</w:t>
      </w:r>
    </w:p>
    <w:p w14:paraId="5E7AB476" w14:textId="372E7B5C" w:rsidR="00F724BC" w:rsidRPr="00707BC9" w:rsidRDefault="00F724BC" w:rsidP="00F724BC">
      <w:pPr>
        <w:pStyle w:val="Caption"/>
        <w:rPr>
          <w:b w:val="0"/>
          <w:bCs/>
        </w:rPr>
      </w:pPr>
      <w:bookmarkStart w:id="88" w:name="_Toc133590754"/>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11</w:t>
      </w:r>
      <w:r w:rsidR="000A1A5C">
        <w:fldChar w:fldCharType="end"/>
      </w:r>
      <w:r>
        <w:t xml:space="preserve">. </w:t>
      </w:r>
      <w:r w:rsidRPr="00707BC9">
        <w:rPr>
          <w:bCs/>
        </w:rPr>
        <w:t xml:space="preserve">Mối liên quan giữa nghề nghiệp và TTDD theo </w:t>
      </w:r>
      <w:r>
        <w:rPr>
          <w:bCs/>
        </w:rPr>
        <w:t>SGA</w:t>
      </w:r>
      <w:bookmarkEnd w:id="88"/>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0A469E" w14:paraId="551BB575" w14:textId="77777777" w:rsidTr="00CB787E">
        <w:tc>
          <w:tcPr>
            <w:tcW w:w="1573" w:type="pct"/>
            <w:vMerge w:val="restart"/>
            <w:tcBorders>
              <w:tl2br w:val="single" w:sz="4" w:space="0" w:color="auto"/>
            </w:tcBorders>
          </w:tcPr>
          <w:p w14:paraId="5874DA01" w14:textId="77777777" w:rsidR="000A469E" w:rsidRPr="002A15EF" w:rsidRDefault="000A469E" w:rsidP="00CB787E">
            <w:pPr>
              <w:jc w:val="right"/>
              <w:rPr>
                <w:b/>
                <w:bCs/>
                <w:szCs w:val="28"/>
              </w:rPr>
            </w:pPr>
            <w:bookmarkStart w:id="89" w:name="_Toc126527749"/>
            <w:r>
              <w:rPr>
                <w:b/>
                <w:bCs/>
                <w:szCs w:val="28"/>
              </w:rPr>
              <w:t>TTDD</w:t>
            </w:r>
          </w:p>
          <w:p w14:paraId="15DC4AA2" w14:textId="77777777" w:rsidR="000A469E" w:rsidRDefault="000A469E" w:rsidP="00CB787E">
            <w:pPr>
              <w:rPr>
                <w:b/>
                <w:bCs/>
                <w:szCs w:val="28"/>
              </w:rPr>
            </w:pPr>
          </w:p>
          <w:p w14:paraId="3F27DC67" w14:textId="4226001F" w:rsidR="000A469E" w:rsidRPr="002A15EF" w:rsidRDefault="00444081" w:rsidP="00CB787E">
            <w:pPr>
              <w:rPr>
                <w:b/>
                <w:bCs/>
                <w:szCs w:val="28"/>
              </w:rPr>
            </w:pPr>
            <w:r>
              <w:rPr>
                <w:b/>
                <w:bCs/>
                <w:szCs w:val="28"/>
              </w:rPr>
              <w:t>Nghề nghiệp</w:t>
            </w:r>
          </w:p>
        </w:tc>
        <w:tc>
          <w:tcPr>
            <w:tcW w:w="1783" w:type="pct"/>
            <w:gridSpan w:val="2"/>
          </w:tcPr>
          <w:p w14:paraId="773F340E" w14:textId="38195923" w:rsidR="000A469E" w:rsidRPr="002A15EF" w:rsidRDefault="00344395" w:rsidP="00CB787E">
            <w:pPr>
              <w:jc w:val="center"/>
              <w:rPr>
                <w:b/>
                <w:bCs/>
                <w:szCs w:val="28"/>
              </w:rPr>
            </w:pPr>
            <w:r>
              <w:rPr>
                <w:b/>
                <w:bCs/>
                <w:szCs w:val="28"/>
              </w:rPr>
              <w:t>SGA</w:t>
            </w:r>
          </w:p>
        </w:tc>
        <w:tc>
          <w:tcPr>
            <w:tcW w:w="1037" w:type="pct"/>
            <w:vMerge w:val="restart"/>
          </w:tcPr>
          <w:p w14:paraId="4EBCF8B8" w14:textId="77777777" w:rsidR="000A469E" w:rsidRDefault="000A469E" w:rsidP="00CB787E">
            <w:pPr>
              <w:jc w:val="center"/>
              <w:rPr>
                <w:b/>
                <w:bCs/>
              </w:rPr>
            </w:pPr>
            <w:r>
              <w:rPr>
                <w:b/>
                <w:bCs/>
              </w:rPr>
              <w:t>OR</w:t>
            </w:r>
          </w:p>
          <w:p w14:paraId="429E7998" w14:textId="77777777" w:rsidR="000A469E" w:rsidRPr="002A15EF" w:rsidRDefault="000A469E" w:rsidP="00CB787E">
            <w:pPr>
              <w:jc w:val="center"/>
              <w:rPr>
                <w:b/>
                <w:bCs/>
              </w:rPr>
            </w:pPr>
            <w:r>
              <w:rPr>
                <w:b/>
                <w:bCs/>
              </w:rPr>
              <w:t>(95% CI)</w:t>
            </w:r>
          </w:p>
        </w:tc>
        <w:tc>
          <w:tcPr>
            <w:tcW w:w="607" w:type="pct"/>
            <w:vMerge w:val="restart"/>
          </w:tcPr>
          <w:p w14:paraId="54AB9263" w14:textId="77777777" w:rsidR="000A469E" w:rsidRPr="002A15EF" w:rsidRDefault="000A469E" w:rsidP="00CB787E">
            <w:pPr>
              <w:jc w:val="center"/>
              <w:rPr>
                <w:b/>
                <w:bCs/>
                <w:szCs w:val="28"/>
              </w:rPr>
            </w:pPr>
            <w:r w:rsidRPr="002A15EF">
              <w:rPr>
                <w:b/>
                <w:bCs/>
                <w:szCs w:val="28"/>
              </w:rPr>
              <w:t>p</w:t>
            </w:r>
          </w:p>
        </w:tc>
      </w:tr>
      <w:tr w:rsidR="000A469E" w14:paraId="46FFCFC4" w14:textId="77777777" w:rsidTr="00CB787E">
        <w:tc>
          <w:tcPr>
            <w:tcW w:w="1573" w:type="pct"/>
            <w:vMerge/>
            <w:tcBorders>
              <w:tl2br w:val="single" w:sz="4" w:space="0" w:color="auto"/>
            </w:tcBorders>
          </w:tcPr>
          <w:p w14:paraId="230D2D03" w14:textId="77777777" w:rsidR="000A469E" w:rsidRPr="002A15EF" w:rsidRDefault="000A469E" w:rsidP="00CB787E">
            <w:pPr>
              <w:rPr>
                <w:szCs w:val="28"/>
              </w:rPr>
            </w:pPr>
          </w:p>
        </w:tc>
        <w:tc>
          <w:tcPr>
            <w:tcW w:w="943" w:type="pct"/>
          </w:tcPr>
          <w:p w14:paraId="4B8487F5" w14:textId="77777777" w:rsidR="000A469E" w:rsidRDefault="000A469E" w:rsidP="00CB787E">
            <w:pPr>
              <w:jc w:val="center"/>
              <w:rPr>
                <w:b/>
                <w:bCs/>
                <w:szCs w:val="28"/>
              </w:rPr>
            </w:pPr>
            <w:r>
              <w:rPr>
                <w:b/>
                <w:bCs/>
                <w:szCs w:val="28"/>
              </w:rPr>
              <w:t>Không SDD</w:t>
            </w:r>
          </w:p>
          <w:p w14:paraId="3660A0DD" w14:textId="77777777" w:rsidR="000A469E" w:rsidRPr="002A15EF" w:rsidRDefault="000A469E"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3408167A" w14:textId="77777777" w:rsidR="000A469E" w:rsidRPr="002A15EF" w:rsidRDefault="000A469E"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35531825" w14:textId="77777777" w:rsidR="000A469E" w:rsidRPr="002A15EF" w:rsidRDefault="000A469E" w:rsidP="00CB787E">
            <w:pPr>
              <w:jc w:val="center"/>
            </w:pPr>
          </w:p>
        </w:tc>
        <w:tc>
          <w:tcPr>
            <w:tcW w:w="607" w:type="pct"/>
            <w:vMerge/>
          </w:tcPr>
          <w:p w14:paraId="4FD20467" w14:textId="77777777" w:rsidR="000A469E" w:rsidRPr="002A15EF" w:rsidRDefault="000A469E" w:rsidP="00CB787E">
            <w:pPr>
              <w:jc w:val="center"/>
              <w:rPr>
                <w:szCs w:val="28"/>
              </w:rPr>
            </w:pPr>
          </w:p>
        </w:tc>
      </w:tr>
      <w:tr w:rsidR="00455BAB" w14:paraId="3771E9D4" w14:textId="77777777" w:rsidTr="00CB787E">
        <w:trPr>
          <w:trHeight w:val="354"/>
        </w:trPr>
        <w:tc>
          <w:tcPr>
            <w:tcW w:w="1573" w:type="pct"/>
          </w:tcPr>
          <w:p w14:paraId="5ED25EB4" w14:textId="60204944" w:rsidR="00455BAB" w:rsidRPr="003C2462" w:rsidRDefault="00455BAB" w:rsidP="00455BAB">
            <w:pPr>
              <w:rPr>
                <w:szCs w:val="28"/>
              </w:rPr>
            </w:pPr>
            <w:r>
              <w:rPr>
                <w:szCs w:val="28"/>
              </w:rPr>
              <w:t>Lao động tự do</w:t>
            </w:r>
          </w:p>
        </w:tc>
        <w:tc>
          <w:tcPr>
            <w:tcW w:w="943" w:type="pct"/>
            <w:vAlign w:val="top"/>
          </w:tcPr>
          <w:p w14:paraId="47880AB0" w14:textId="1BBE09DC" w:rsidR="00455BAB" w:rsidRPr="003C2462" w:rsidRDefault="00455BAB" w:rsidP="00455BAB">
            <w:pPr>
              <w:jc w:val="center"/>
              <w:rPr>
                <w:szCs w:val="28"/>
              </w:rPr>
            </w:pPr>
            <w:r>
              <w:t>67 (</w:t>
            </w:r>
            <w:r w:rsidRPr="00792BD3">
              <w:t>56.8%</w:t>
            </w:r>
            <w:r>
              <w:t>)</w:t>
            </w:r>
          </w:p>
        </w:tc>
        <w:tc>
          <w:tcPr>
            <w:tcW w:w="840" w:type="pct"/>
            <w:vAlign w:val="top"/>
          </w:tcPr>
          <w:p w14:paraId="490EDFF9" w14:textId="2B10A5AE" w:rsidR="00455BAB" w:rsidRPr="003C2462" w:rsidRDefault="00455BAB" w:rsidP="00455BAB">
            <w:pPr>
              <w:jc w:val="center"/>
              <w:rPr>
                <w:szCs w:val="28"/>
              </w:rPr>
            </w:pPr>
            <w:r>
              <w:t>51 (</w:t>
            </w:r>
            <w:r w:rsidRPr="00792BD3">
              <w:t>43.2%</w:t>
            </w:r>
            <w:r>
              <w:t>)</w:t>
            </w:r>
          </w:p>
        </w:tc>
        <w:tc>
          <w:tcPr>
            <w:tcW w:w="1037" w:type="pct"/>
            <w:vMerge w:val="restart"/>
          </w:tcPr>
          <w:p w14:paraId="16E981FA" w14:textId="77777777" w:rsidR="006F6AC0" w:rsidRDefault="006F6AC0" w:rsidP="00455BAB">
            <w:pPr>
              <w:jc w:val="center"/>
            </w:pPr>
            <w:r>
              <w:t>0</w:t>
            </w:r>
            <w:r w:rsidRPr="006F6AC0">
              <w:t>.613</w:t>
            </w:r>
          </w:p>
          <w:p w14:paraId="26A13100" w14:textId="437F8AB9" w:rsidR="00455BAB" w:rsidRPr="003C2462" w:rsidRDefault="006F6AC0" w:rsidP="00455BAB">
            <w:pPr>
              <w:jc w:val="center"/>
            </w:pPr>
            <w:r>
              <w:t>(0</w:t>
            </w:r>
            <w:r w:rsidRPr="006F6AC0">
              <w:t>.366</w:t>
            </w:r>
            <w:r>
              <w:t>-</w:t>
            </w:r>
            <w:r w:rsidRPr="006F6AC0">
              <w:t>1.028</w:t>
            </w:r>
            <w:r>
              <w:t>)</w:t>
            </w:r>
          </w:p>
        </w:tc>
        <w:tc>
          <w:tcPr>
            <w:tcW w:w="607" w:type="pct"/>
            <w:vMerge w:val="restart"/>
          </w:tcPr>
          <w:p w14:paraId="10E189D8" w14:textId="3FDB27A1" w:rsidR="00455BAB" w:rsidRPr="003C2462" w:rsidRDefault="00455BAB" w:rsidP="00455BAB">
            <w:pPr>
              <w:jc w:val="center"/>
              <w:rPr>
                <w:szCs w:val="28"/>
              </w:rPr>
            </w:pPr>
            <w:r>
              <w:rPr>
                <w:szCs w:val="28"/>
              </w:rPr>
              <w:t>0</w:t>
            </w:r>
            <w:r w:rsidRPr="00802A61">
              <w:rPr>
                <w:szCs w:val="28"/>
              </w:rPr>
              <w:t>.</w:t>
            </w:r>
            <w:r w:rsidR="00FF6091">
              <w:rPr>
                <w:szCs w:val="28"/>
              </w:rPr>
              <w:t>083</w:t>
            </w:r>
          </w:p>
        </w:tc>
      </w:tr>
      <w:tr w:rsidR="00455BAB" w14:paraId="40BCCCCD" w14:textId="77777777" w:rsidTr="00CB787E">
        <w:trPr>
          <w:trHeight w:val="70"/>
        </w:trPr>
        <w:tc>
          <w:tcPr>
            <w:tcW w:w="1573" w:type="pct"/>
          </w:tcPr>
          <w:p w14:paraId="282432FF" w14:textId="26991DE2" w:rsidR="00455BAB" w:rsidRPr="003C2462" w:rsidRDefault="00455BAB" w:rsidP="00455BAB">
            <w:pPr>
              <w:rPr>
                <w:szCs w:val="28"/>
              </w:rPr>
            </w:pPr>
            <w:r>
              <w:rPr>
                <w:szCs w:val="28"/>
              </w:rPr>
              <w:t>Nghề nghiệp khác</w:t>
            </w:r>
          </w:p>
        </w:tc>
        <w:tc>
          <w:tcPr>
            <w:tcW w:w="943" w:type="pct"/>
            <w:vAlign w:val="top"/>
          </w:tcPr>
          <w:p w14:paraId="0FC53755" w14:textId="3F9409F1" w:rsidR="00455BAB" w:rsidRPr="003C2462" w:rsidRDefault="00455BAB" w:rsidP="00455BAB">
            <w:pPr>
              <w:jc w:val="center"/>
              <w:rPr>
                <w:szCs w:val="28"/>
              </w:rPr>
            </w:pPr>
            <w:r>
              <w:t>90 (</w:t>
            </w:r>
            <w:r w:rsidRPr="002E30BF">
              <w:t>68.2%</w:t>
            </w:r>
            <w:r>
              <w:t>)</w:t>
            </w:r>
          </w:p>
        </w:tc>
        <w:tc>
          <w:tcPr>
            <w:tcW w:w="840" w:type="pct"/>
            <w:vAlign w:val="top"/>
          </w:tcPr>
          <w:p w14:paraId="1BE8716D" w14:textId="4D44B169" w:rsidR="00455BAB" w:rsidRPr="003C2462" w:rsidRDefault="00455BAB" w:rsidP="00455BAB">
            <w:pPr>
              <w:jc w:val="center"/>
              <w:rPr>
                <w:szCs w:val="28"/>
              </w:rPr>
            </w:pPr>
            <w:r>
              <w:t>42 (</w:t>
            </w:r>
            <w:r w:rsidRPr="002E30BF">
              <w:t>31.8%</w:t>
            </w:r>
            <w:r>
              <w:t>)</w:t>
            </w:r>
          </w:p>
        </w:tc>
        <w:tc>
          <w:tcPr>
            <w:tcW w:w="1037" w:type="pct"/>
            <w:vMerge/>
          </w:tcPr>
          <w:p w14:paraId="3F542941" w14:textId="77777777" w:rsidR="00455BAB" w:rsidRPr="003C2462" w:rsidRDefault="00455BAB" w:rsidP="00455BAB">
            <w:pPr>
              <w:jc w:val="center"/>
            </w:pPr>
          </w:p>
        </w:tc>
        <w:tc>
          <w:tcPr>
            <w:tcW w:w="607" w:type="pct"/>
            <w:vMerge/>
          </w:tcPr>
          <w:p w14:paraId="1ABF8778" w14:textId="77777777" w:rsidR="00455BAB" w:rsidRPr="003C2462" w:rsidRDefault="00455BAB" w:rsidP="00455BAB">
            <w:pPr>
              <w:jc w:val="center"/>
              <w:rPr>
                <w:szCs w:val="28"/>
              </w:rPr>
            </w:pPr>
          </w:p>
        </w:tc>
      </w:tr>
    </w:tbl>
    <w:p w14:paraId="0EBF7277" w14:textId="42615F7D" w:rsidR="00344395" w:rsidRDefault="00344395" w:rsidP="00344395">
      <w:pPr>
        <w:tabs>
          <w:tab w:val="left" w:pos="2400"/>
        </w:tabs>
        <w:spacing w:before="160"/>
      </w:pPr>
      <w:r>
        <w:t xml:space="preserve">Nhận xét: Đánh giá SDD theo </w:t>
      </w:r>
      <w:r w:rsidR="009B24F6">
        <w:t>SGA</w:t>
      </w:r>
      <w:r>
        <w:t xml:space="preserve">, nhóm lao động tự do có </w:t>
      </w:r>
      <w:r w:rsidR="006C6DB2">
        <w:t xml:space="preserve">tỷ lệ </w:t>
      </w:r>
      <w:r>
        <w:t xml:space="preserve">bệnh nhân SDD là </w:t>
      </w:r>
      <w:r w:rsidR="00596C43" w:rsidRPr="00792BD3">
        <w:t>43.2%</w:t>
      </w:r>
      <w:r w:rsidR="00596C43">
        <w:t xml:space="preserve"> </w:t>
      </w:r>
      <w:r>
        <w:t xml:space="preserve">cao hơn các nhóm nghề nghiệp khác là </w:t>
      </w:r>
      <w:r w:rsidR="00792BDD" w:rsidRPr="002E30BF">
        <w:t>31.8%</w:t>
      </w:r>
      <w:r w:rsidR="00792BDD">
        <w:t xml:space="preserve">. </w:t>
      </w:r>
      <w:r>
        <w:t xml:space="preserve">Sự khác biệt </w:t>
      </w:r>
      <w:r w:rsidR="00ED6B73">
        <w:t xml:space="preserve">chưa </w:t>
      </w:r>
      <w:r>
        <w:t>có ý nghĩa thống kê với p = 0</w:t>
      </w:r>
      <w:r w:rsidRPr="00802A61">
        <w:t>.</w:t>
      </w:r>
      <w:r>
        <w:t>0</w:t>
      </w:r>
      <w:r w:rsidR="00416286">
        <w:t>83</w:t>
      </w:r>
      <w:r>
        <w:t>.</w:t>
      </w:r>
    </w:p>
    <w:p w14:paraId="641C5C14" w14:textId="0074B3C8" w:rsidR="00334897" w:rsidRDefault="00334897" w:rsidP="00334897">
      <w:pPr>
        <w:pStyle w:val="Heading3"/>
      </w:pPr>
      <w:r>
        <w:t>3.</w:t>
      </w:r>
      <w:r w:rsidR="009C1972">
        <w:t>3</w:t>
      </w:r>
      <w:r>
        <w:t>.</w:t>
      </w:r>
      <w:r w:rsidR="00DB461B">
        <w:t>4</w:t>
      </w:r>
      <w:r>
        <w:t xml:space="preserve">. </w:t>
      </w:r>
      <w:bookmarkEnd w:id="89"/>
      <w:r>
        <w:t>Mối liên quan giữa khu vực địa lý và tình trạng dinh dưỡng</w:t>
      </w:r>
    </w:p>
    <w:p w14:paraId="2F054A47" w14:textId="1EE64B9D" w:rsidR="00334897" w:rsidRPr="00707BC9" w:rsidRDefault="00334897" w:rsidP="00334897">
      <w:pPr>
        <w:pStyle w:val="Caption"/>
        <w:rPr>
          <w:b w:val="0"/>
          <w:bCs/>
        </w:rPr>
      </w:pPr>
      <w:bookmarkStart w:id="90" w:name="_Toc133590755"/>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12</w:t>
      </w:r>
      <w:r w:rsidR="000A1A5C">
        <w:fldChar w:fldCharType="end"/>
      </w:r>
      <w:r>
        <w:t xml:space="preserve">. </w:t>
      </w:r>
      <w:r w:rsidRPr="00707BC9">
        <w:rPr>
          <w:bCs/>
        </w:rPr>
        <w:t>Mối liên quan giữa khu vực địa lý và TTDD theo BMI</w:t>
      </w:r>
      <w:bookmarkEnd w:id="90"/>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6A08D1" w14:paraId="79981755" w14:textId="77777777" w:rsidTr="00973C89">
        <w:tc>
          <w:tcPr>
            <w:tcW w:w="1573" w:type="pct"/>
            <w:vMerge w:val="restart"/>
            <w:tcBorders>
              <w:tl2br w:val="single" w:sz="4" w:space="0" w:color="auto"/>
            </w:tcBorders>
          </w:tcPr>
          <w:p w14:paraId="56D67FAD" w14:textId="77777777" w:rsidR="006A08D1" w:rsidRPr="002A15EF" w:rsidRDefault="006A08D1" w:rsidP="00973C89">
            <w:pPr>
              <w:jc w:val="right"/>
              <w:rPr>
                <w:b/>
                <w:bCs/>
                <w:szCs w:val="28"/>
              </w:rPr>
            </w:pPr>
            <w:r>
              <w:rPr>
                <w:b/>
                <w:bCs/>
                <w:szCs w:val="28"/>
              </w:rPr>
              <w:t>TTDD</w:t>
            </w:r>
          </w:p>
          <w:p w14:paraId="7DECFBE4" w14:textId="77777777" w:rsidR="006A08D1" w:rsidRDefault="006A08D1" w:rsidP="00973C89">
            <w:pPr>
              <w:rPr>
                <w:b/>
                <w:bCs/>
                <w:szCs w:val="28"/>
              </w:rPr>
            </w:pPr>
          </w:p>
          <w:p w14:paraId="07885730" w14:textId="2D266233" w:rsidR="006A08D1" w:rsidRPr="002A15EF" w:rsidRDefault="006A08D1" w:rsidP="00973C89">
            <w:pPr>
              <w:rPr>
                <w:b/>
                <w:bCs/>
                <w:szCs w:val="28"/>
              </w:rPr>
            </w:pPr>
            <w:r>
              <w:rPr>
                <w:b/>
                <w:bCs/>
                <w:szCs w:val="28"/>
              </w:rPr>
              <w:t>Khu vực địa lý</w:t>
            </w:r>
          </w:p>
        </w:tc>
        <w:tc>
          <w:tcPr>
            <w:tcW w:w="1783" w:type="pct"/>
            <w:gridSpan w:val="2"/>
          </w:tcPr>
          <w:p w14:paraId="14857B92" w14:textId="77777777" w:rsidR="006A08D1" w:rsidRPr="002A15EF" w:rsidRDefault="006A08D1" w:rsidP="00973C89">
            <w:pPr>
              <w:jc w:val="center"/>
              <w:rPr>
                <w:b/>
                <w:bCs/>
                <w:szCs w:val="28"/>
              </w:rPr>
            </w:pPr>
            <w:r>
              <w:rPr>
                <w:b/>
                <w:bCs/>
                <w:szCs w:val="28"/>
              </w:rPr>
              <w:t>BMI</w:t>
            </w:r>
          </w:p>
        </w:tc>
        <w:tc>
          <w:tcPr>
            <w:tcW w:w="1037" w:type="pct"/>
            <w:vMerge w:val="restart"/>
          </w:tcPr>
          <w:p w14:paraId="5FE24D2E" w14:textId="77777777" w:rsidR="006A08D1" w:rsidRDefault="006A08D1" w:rsidP="00973C89">
            <w:pPr>
              <w:jc w:val="center"/>
              <w:rPr>
                <w:b/>
                <w:bCs/>
              </w:rPr>
            </w:pPr>
            <w:r>
              <w:rPr>
                <w:b/>
                <w:bCs/>
              </w:rPr>
              <w:t>OR</w:t>
            </w:r>
          </w:p>
          <w:p w14:paraId="07B7BFF2" w14:textId="77777777" w:rsidR="006A08D1" w:rsidRPr="002A15EF" w:rsidRDefault="006A08D1" w:rsidP="00973C89">
            <w:pPr>
              <w:jc w:val="center"/>
              <w:rPr>
                <w:b/>
                <w:bCs/>
              </w:rPr>
            </w:pPr>
            <w:r>
              <w:rPr>
                <w:b/>
                <w:bCs/>
              </w:rPr>
              <w:t>(95% CI)</w:t>
            </w:r>
          </w:p>
        </w:tc>
        <w:tc>
          <w:tcPr>
            <w:tcW w:w="607" w:type="pct"/>
            <w:vMerge w:val="restart"/>
          </w:tcPr>
          <w:p w14:paraId="2F4B5F69" w14:textId="77777777" w:rsidR="006A08D1" w:rsidRPr="002A15EF" w:rsidRDefault="006A08D1" w:rsidP="00973C89">
            <w:pPr>
              <w:jc w:val="center"/>
              <w:rPr>
                <w:b/>
                <w:bCs/>
                <w:szCs w:val="28"/>
              </w:rPr>
            </w:pPr>
            <w:r w:rsidRPr="002A15EF">
              <w:rPr>
                <w:b/>
                <w:bCs/>
                <w:szCs w:val="28"/>
              </w:rPr>
              <w:t>p</w:t>
            </w:r>
          </w:p>
        </w:tc>
      </w:tr>
      <w:tr w:rsidR="006A08D1" w14:paraId="29C721C5" w14:textId="77777777" w:rsidTr="00973C89">
        <w:tc>
          <w:tcPr>
            <w:tcW w:w="1573" w:type="pct"/>
            <w:vMerge/>
            <w:tcBorders>
              <w:tl2br w:val="single" w:sz="4" w:space="0" w:color="auto"/>
            </w:tcBorders>
          </w:tcPr>
          <w:p w14:paraId="5AC41010" w14:textId="77777777" w:rsidR="006A08D1" w:rsidRPr="002A15EF" w:rsidRDefault="006A08D1" w:rsidP="00973C89">
            <w:pPr>
              <w:rPr>
                <w:szCs w:val="28"/>
              </w:rPr>
            </w:pPr>
          </w:p>
        </w:tc>
        <w:tc>
          <w:tcPr>
            <w:tcW w:w="943" w:type="pct"/>
          </w:tcPr>
          <w:p w14:paraId="2EA91D24" w14:textId="77777777" w:rsidR="006A08D1" w:rsidRDefault="006A08D1" w:rsidP="00973C89">
            <w:pPr>
              <w:jc w:val="center"/>
              <w:rPr>
                <w:b/>
                <w:bCs/>
                <w:szCs w:val="28"/>
              </w:rPr>
            </w:pPr>
            <w:r>
              <w:rPr>
                <w:b/>
                <w:bCs/>
                <w:szCs w:val="28"/>
              </w:rPr>
              <w:t>Không SDD</w:t>
            </w:r>
          </w:p>
          <w:p w14:paraId="28CFB410" w14:textId="77777777" w:rsidR="006A08D1" w:rsidRPr="002A15EF" w:rsidRDefault="006A08D1" w:rsidP="00973C89">
            <w:pPr>
              <w:jc w:val="center"/>
              <w:rPr>
                <w:b/>
                <w:bCs/>
                <w:szCs w:val="28"/>
              </w:rPr>
            </w:pPr>
            <w:r>
              <w:rPr>
                <w:b/>
                <w:bCs/>
                <w:szCs w:val="28"/>
              </w:rPr>
              <w:t xml:space="preserve">(n, </w:t>
            </w:r>
            <w:r w:rsidRPr="002A15EF">
              <w:rPr>
                <w:b/>
                <w:bCs/>
                <w:szCs w:val="28"/>
              </w:rPr>
              <w:t>%</w:t>
            </w:r>
            <w:r>
              <w:rPr>
                <w:b/>
                <w:bCs/>
                <w:szCs w:val="28"/>
              </w:rPr>
              <w:t>)</w:t>
            </w:r>
          </w:p>
        </w:tc>
        <w:tc>
          <w:tcPr>
            <w:tcW w:w="840" w:type="pct"/>
          </w:tcPr>
          <w:p w14:paraId="433B9650" w14:textId="77777777" w:rsidR="006A08D1" w:rsidRPr="002A15EF" w:rsidRDefault="006A08D1" w:rsidP="00973C89">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6002665C" w14:textId="77777777" w:rsidR="006A08D1" w:rsidRPr="002A15EF" w:rsidRDefault="006A08D1" w:rsidP="00973C89">
            <w:pPr>
              <w:jc w:val="center"/>
            </w:pPr>
          </w:p>
        </w:tc>
        <w:tc>
          <w:tcPr>
            <w:tcW w:w="607" w:type="pct"/>
            <w:vMerge/>
          </w:tcPr>
          <w:p w14:paraId="571DB575" w14:textId="77777777" w:rsidR="006A08D1" w:rsidRPr="002A15EF" w:rsidRDefault="006A08D1" w:rsidP="00973C89">
            <w:pPr>
              <w:jc w:val="center"/>
              <w:rPr>
                <w:szCs w:val="28"/>
              </w:rPr>
            </w:pPr>
          </w:p>
        </w:tc>
      </w:tr>
      <w:tr w:rsidR="00FC1B69" w14:paraId="56E50C3D" w14:textId="77777777" w:rsidTr="00973C89">
        <w:trPr>
          <w:trHeight w:val="354"/>
        </w:trPr>
        <w:tc>
          <w:tcPr>
            <w:tcW w:w="1573" w:type="pct"/>
          </w:tcPr>
          <w:p w14:paraId="57675B5B" w14:textId="405E4FFD" w:rsidR="00FC1B69" w:rsidRPr="003C2462" w:rsidRDefault="00FC1B69" w:rsidP="00FC1B69">
            <w:pPr>
              <w:rPr>
                <w:szCs w:val="28"/>
              </w:rPr>
            </w:pPr>
            <w:r>
              <w:rPr>
                <w:szCs w:val="28"/>
              </w:rPr>
              <w:t>Thành phố</w:t>
            </w:r>
          </w:p>
        </w:tc>
        <w:tc>
          <w:tcPr>
            <w:tcW w:w="943" w:type="pct"/>
            <w:vAlign w:val="top"/>
          </w:tcPr>
          <w:p w14:paraId="33289544" w14:textId="73D695E4" w:rsidR="00FC1B69" w:rsidRPr="003C2462" w:rsidRDefault="00FC1B69" w:rsidP="00FC1B69">
            <w:pPr>
              <w:jc w:val="center"/>
              <w:rPr>
                <w:szCs w:val="28"/>
              </w:rPr>
            </w:pPr>
            <w:r>
              <w:t>71 (</w:t>
            </w:r>
            <w:r w:rsidRPr="006B18A8">
              <w:t>67.6%</w:t>
            </w:r>
            <w:r>
              <w:t>)</w:t>
            </w:r>
          </w:p>
        </w:tc>
        <w:tc>
          <w:tcPr>
            <w:tcW w:w="840" w:type="pct"/>
            <w:vAlign w:val="top"/>
          </w:tcPr>
          <w:p w14:paraId="36F31810" w14:textId="19056A91" w:rsidR="00FC1B69" w:rsidRPr="003C2462" w:rsidRDefault="00FC1B69" w:rsidP="00FC1B69">
            <w:pPr>
              <w:jc w:val="center"/>
              <w:rPr>
                <w:szCs w:val="28"/>
              </w:rPr>
            </w:pPr>
            <w:r>
              <w:t>34 (</w:t>
            </w:r>
            <w:r w:rsidRPr="006B18A8">
              <w:t>32.4%</w:t>
            </w:r>
            <w:r>
              <w:t>)</w:t>
            </w:r>
          </w:p>
        </w:tc>
        <w:tc>
          <w:tcPr>
            <w:tcW w:w="1037" w:type="pct"/>
            <w:vMerge w:val="restart"/>
          </w:tcPr>
          <w:p w14:paraId="6A27F2D8" w14:textId="77777777" w:rsidR="002A1DCE" w:rsidRDefault="002A1DCE" w:rsidP="00FC1B69">
            <w:pPr>
              <w:jc w:val="center"/>
            </w:pPr>
            <w:r w:rsidRPr="002A1DCE">
              <w:t>1.168</w:t>
            </w:r>
          </w:p>
          <w:p w14:paraId="3618D070" w14:textId="4AB91B81" w:rsidR="00FC1B69" w:rsidRPr="003C2462" w:rsidRDefault="002A1DCE" w:rsidP="00FC1B69">
            <w:pPr>
              <w:jc w:val="center"/>
            </w:pPr>
            <w:r>
              <w:lastRenderedPageBreak/>
              <w:t>(0</w:t>
            </w:r>
            <w:r w:rsidRPr="002A1DCE">
              <w:t>.686</w:t>
            </w:r>
            <w:r>
              <w:t>-</w:t>
            </w:r>
            <w:r w:rsidRPr="002A1DCE">
              <w:t>1.986</w:t>
            </w:r>
            <w:r>
              <w:t>)</w:t>
            </w:r>
          </w:p>
        </w:tc>
        <w:tc>
          <w:tcPr>
            <w:tcW w:w="607" w:type="pct"/>
            <w:vMerge w:val="restart"/>
          </w:tcPr>
          <w:p w14:paraId="71013898" w14:textId="4C35BE0B" w:rsidR="00FC1B69" w:rsidRPr="003C2462" w:rsidRDefault="00FC1B69" w:rsidP="00FC1B69">
            <w:pPr>
              <w:jc w:val="center"/>
              <w:rPr>
                <w:szCs w:val="28"/>
              </w:rPr>
            </w:pPr>
            <w:r>
              <w:rPr>
                <w:szCs w:val="28"/>
              </w:rPr>
              <w:lastRenderedPageBreak/>
              <w:t>0</w:t>
            </w:r>
            <w:r w:rsidRPr="00802A61">
              <w:rPr>
                <w:szCs w:val="28"/>
              </w:rPr>
              <w:t>.</w:t>
            </w:r>
            <w:r w:rsidR="00BC1076">
              <w:rPr>
                <w:szCs w:val="28"/>
              </w:rPr>
              <w:t>662</w:t>
            </w:r>
          </w:p>
        </w:tc>
      </w:tr>
      <w:tr w:rsidR="00FC1B69" w14:paraId="56C35F0C" w14:textId="77777777" w:rsidTr="00973C89">
        <w:trPr>
          <w:trHeight w:val="70"/>
        </w:trPr>
        <w:tc>
          <w:tcPr>
            <w:tcW w:w="1573" w:type="pct"/>
          </w:tcPr>
          <w:p w14:paraId="2C136517" w14:textId="53E6FE1D" w:rsidR="00FC1B69" w:rsidRPr="003C2462" w:rsidRDefault="00FC1B69" w:rsidP="00FC1B69">
            <w:pPr>
              <w:rPr>
                <w:szCs w:val="28"/>
              </w:rPr>
            </w:pPr>
            <w:r>
              <w:rPr>
                <w:szCs w:val="28"/>
              </w:rPr>
              <w:lastRenderedPageBreak/>
              <w:t>Nông thôn và hải đảo</w:t>
            </w:r>
          </w:p>
        </w:tc>
        <w:tc>
          <w:tcPr>
            <w:tcW w:w="943" w:type="pct"/>
            <w:vAlign w:val="top"/>
          </w:tcPr>
          <w:p w14:paraId="7F19F087" w14:textId="0C046877" w:rsidR="00FC1B69" w:rsidRPr="003C2462" w:rsidRDefault="00FC1B69" w:rsidP="00FC1B69">
            <w:pPr>
              <w:jc w:val="center"/>
              <w:rPr>
                <w:szCs w:val="28"/>
              </w:rPr>
            </w:pPr>
            <w:r>
              <w:t>93 (</w:t>
            </w:r>
            <w:r w:rsidRPr="00D16334">
              <w:t>64.1%</w:t>
            </w:r>
            <w:r>
              <w:t>)</w:t>
            </w:r>
          </w:p>
        </w:tc>
        <w:tc>
          <w:tcPr>
            <w:tcW w:w="840" w:type="pct"/>
            <w:vAlign w:val="top"/>
          </w:tcPr>
          <w:p w14:paraId="212D6EB2" w14:textId="4D5F7F1D" w:rsidR="00FC1B69" w:rsidRPr="003C2462" w:rsidRDefault="00FC1B69" w:rsidP="00FC1B69">
            <w:pPr>
              <w:jc w:val="center"/>
              <w:rPr>
                <w:szCs w:val="28"/>
              </w:rPr>
            </w:pPr>
            <w:r>
              <w:t>52 (</w:t>
            </w:r>
            <w:r w:rsidRPr="00D16334">
              <w:t>35.9%</w:t>
            </w:r>
            <w:r>
              <w:t>)</w:t>
            </w:r>
          </w:p>
        </w:tc>
        <w:tc>
          <w:tcPr>
            <w:tcW w:w="1037" w:type="pct"/>
            <w:vMerge/>
          </w:tcPr>
          <w:p w14:paraId="66FC5BAF" w14:textId="77777777" w:rsidR="00FC1B69" w:rsidRPr="003C2462" w:rsidRDefault="00FC1B69" w:rsidP="00FC1B69">
            <w:pPr>
              <w:jc w:val="center"/>
            </w:pPr>
          </w:p>
        </w:tc>
        <w:tc>
          <w:tcPr>
            <w:tcW w:w="607" w:type="pct"/>
            <w:vMerge/>
          </w:tcPr>
          <w:p w14:paraId="7A562B2D" w14:textId="77777777" w:rsidR="00FC1B69" w:rsidRPr="003C2462" w:rsidRDefault="00FC1B69" w:rsidP="00FC1B69">
            <w:pPr>
              <w:jc w:val="center"/>
              <w:rPr>
                <w:szCs w:val="28"/>
              </w:rPr>
            </w:pPr>
          </w:p>
        </w:tc>
      </w:tr>
    </w:tbl>
    <w:p w14:paraId="475B9197" w14:textId="4B18DFA8" w:rsidR="00B0209D" w:rsidRDefault="00B0209D" w:rsidP="00B0209D">
      <w:pPr>
        <w:tabs>
          <w:tab w:val="left" w:pos="2400"/>
        </w:tabs>
        <w:spacing w:before="160"/>
      </w:pPr>
      <w:r>
        <w:t xml:space="preserve">Nhận xét: </w:t>
      </w:r>
      <w:r w:rsidR="006D1A4E">
        <w:t>T</w:t>
      </w:r>
      <w:r w:rsidR="00B33E2D">
        <w:t xml:space="preserve">ỷ lệ </w:t>
      </w:r>
      <w:r>
        <w:t xml:space="preserve">bệnh nhân SDD ở khu vực thành phố là </w:t>
      </w:r>
      <w:r w:rsidR="00070C10" w:rsidRPr="006B18A8">
        <w:t>32.4%</w:t>
      </w:r>
      <w:r w:rsidR="00070C10">
        <w:t xml:space="preserve"> thấp</w:t>
      </w:r>
      <w:r>
        <w:t xml:space="preserve"> hơn </w:t>
      </w:r>
      <w:r w:rsidR="005E136C">
        <w:t>khu vực nông thôn và hải đảo</w:t>
      </w:r>
      <w:r>
        <w:t xml:space="preserve"> là </w:t>
      </w:r>
      <w:r w:rsidR="005E136C" w:rsidRPr="00D16334">
        <w:t>35.9%</w:t>
      </w:r>
      <w:r w:rsidR="005E136C">
        <w:t xml:space="preserve">. </w:t>
      </w:r>
      <w:r>
        <w:t xml:space="preserve">Sự khác biệt </w:t>
      </w:r>
      <w:r w:rsidR="00F41EB2">
        <w:t xml:space="preserve">chưa </w:t>
      </w:r>
      <w:r>
        <w:t xml:space="preserve">có ý nghĩa thống kê với </w:t>
      </w:r>
      <w:r w:rsidR="00A957BE">
        <w:t xml:space="preserve">p = </w:t>
      </w:r>
      <w:r w:rsidR="003F6B73">
        <w:t>0</w:t>
      </w:r>
      <w:r w:rsidR="003F6B73" w:rsidRPr="00802A61">
        <w:t>.</w:t>
      </w:r>
      <w:r w:rsidR="003F6B73">
        <w:t>662</w:t>
      </w:r>
      <w:r>
        <w:t>.</w:t>
      </w:r>
    </w:p>
    <w:p w14:paraId="1F54E530" w14:textId="6ECBB704" w:rsidR="00F724BC" w:rsidRPr="00707BC9" w:rsidRDefault="00F724BC" w:rsidP="00F724BC">
      <w:pPr>
        <w:pStyle w:val="Caption"/>
        <w:rPr>
          <w:b w:val="0"/>
          <w:bCs/>
        </w:rPr>
      </w:pPr>
      <w:bookmarkStart w:id="91" w:name="_Toc133590756"/>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13</w:t>
      </w:r>
      <w:r w:rsidR="000A1A5C">
        <w:fldChar w:fldCharType="end"/>
      </w:r>
      <w:r>
        <w:t xml:space="preserve">. </w:t>
      </w:r>
      <w:r w:rsidRPr="00707BC9">
        <w:rPr>
          <w:bCs/>
        </w:rPr>
        <w:t xml:space="preserve">Mối liên quan giữa khu vực địa lý và TTDD theo </w:t>
      </w:r>
      <w:r>
        <w:rPr>
          <w:bCs/>
        </w:rPr>
        <w:t>SGA</w:t>
      </w:r>
      <w:bookmarkEnd w:id="91"/>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6A08D1" w14:paraId="046699D5" w14:textId="77777777" w:rsidTr="00973C89">
        <w:tc>
          <w:tcPr>
            <w:tcW w:w="1573" w:type="pct"/>
            <w:vMerge w:val="restart"/>
            <w:tcBorders>
              <w:tl2br w:val="single" w:sz="4" w:space="0" w:color="auto"/>
            </w:tcBorders>
          </w:tcPr>
          <w:p w14:paraId="5C003F43" w14:textId="77777777" w:rsidR="006A08D1" w:rsidRPr="002A15EF" w:rsidRDefault="006A08D1" w:rsidP="00973C89">
            <w:pPr>
              <w:jc w:val="right"/>
              <w:rPr>
                <w:b/>
                <w:bCs/>
                <w:szCs w:val="28"/>
              </w:rPr>
            </w:pPr>
            <w:bookmarkStart w:id="92" w:name="_Toc126527752"/>
            <w:r>
              <w:rPr>
                <w:b/>
                <w:bCs/>
                <w:szCs w:val="28"/>
              </w:rPr>
              <w:t>TTDD</w:t>
            </w:r>
          </w:p>
          <w:p w14:paraId="1087E54E" w14:textId="77777777" w:rsidR="006A08D1" w:rsidRDefault="006A08D1" w:rsidP="00973C89">
            <w:pPr>
              <w:rPr>
                <w:b/>
                <w:bCs/>
                <w:szCs w:val="28"/>
              </w:rPr>
            </w:pPr>
          </w:p>
          <w:p w14:paraId="48748D65" w14:textId="77777777" w:rsidR="006A08D1" w:rsidRPr="002A15EF" w:rsidRDefault="006A08D1" w:rsidP="00973C89">
            <w:pPr>
              <w:rPr>
                <w:b/>
                <w:bCs/>
                <w:szCs w:val="28"/>
              </w:rPr>
            </w:pPr>
            <w:r>
              <w:rPr>
                <w:b/>
                <w:bCs/>
                <w:szCs w:val="28"/>
              </w:rPr>
              <w:t>Nghề nghiệp</w:t>
            </w:r>
          </w:p>
        </w:tc>
        <w:tc>
          <w:tcPr>
            <w:tcW w:w="1783" w:type="pct"/>
            <w:gridSpan w:val="2"/>
          </w:tcPr>
          <w:p w14:paraId="3A612E0A" w14:textId="6E0D75DB" w:rsidR="006A08D1" w:rsidRPr="002A15EF" w:rsidRDefault="00813A43" w:rsidP="00973C89">
            <w:pPr>
              <w:jc w:val="center"/>
              <w:rPr>
                <w:b/>
                <w:bCs/>
                <w:szCs w:val="28"/>
              </w:rPr>
            </w:pPr>
            <w:r>
              <w:rPr>
                <w:b/>
                <w:bCs/>
                <w:szCs w:val="28"/>
              </w:rPr>
              <w:t>SGA</w:t>
            </w:r>
          </w:p>
        </w:tc>
        <w:tc>
          <w:tcPr>
            <w:tcW w:w="1037" w:type="pct"/>
            <w:vMerge w:val="restart"/>
          </w:tcPr>
          <w:p w14:paraId="3D300103" w14:textId="77777777" w:rsidR="006A08D1" w:rsidRDefault="006A08D1" w:rsidP="00973C89">
            <w:pPr>
              <w:jc w:val="center"/>
              <w:rPr>
                <w:b/>
                <w:bCs/>
              </w:rPr>
            </w:pPr>
            <w:r>
              <w:rPr>
                <w:b/>
                <w:bCs/>
              </w:rPr>
              <w:t>OR</w:t>
            </w:r>
          </w:p>
          <w:p w14:paraId="75A39F96" w14:textId="77777777" w:rsidR="006A08D1" w:rsidRPr="002A15EF" w:rsidRDefault="006A08D1" w:rsidP="00973C89">
            <w:pPr>
              <w:jc w:val="center"/>
              <w:rPr>
                <w:b/>
                <w:bCs/>
              </w:rPr>
            </w:pPr>
            <w:r>
              <w:rPr>
                <w:b/>
                <w:bCs/>
              </w:rPr>
              <w:t>(95% CI)</w:t>
            </w:r>
          </w:p>
        </w:tc>
        <w:tc>
          <w:tcPr>
            <w:tcW w:w="607" w:type="pct"/>
            <w:vMerge w:val="restart"/>
          </w:tcPr>
          <w:p w14:paraId="212E32FB" w14:textId="77777777" w:rsidR="006A08D1" w:rsidRPr="002A15EF" w:rsidRDefault="006A08D1" w:rsidP="00973C89">
            <w:pPr>
              <w:jc w:val="center"/>
              <w:rPr>
                <w:b/>
                <w:bCs/>
                <w:szCs w:val="28"/>
              </w:rPr>
            </w:pPr>
            <w:r w:rsidRPr="002A15EF">
              <w:rPr>
                <w:b/>
                <w:bCs/>
                <w:szCs w:val="28"/>
              </w:rPr>
              <w:t>p</w:t>
            </w:r>
          </w:p>
        </w:tc>
      </w:tr>
      <w:tr w:rsidR="006A08D1" w14:paraId="3F188BDA" w14:textId="77777777" w:rsidTr="00973C89">
        <w:tc>
          <w:tcPr>
            <w:tcW w:w="1573" w:type="pct"/>
            <w:vMerge/>
            <w:tcBorders>
              <w:tl2br w:val="single" w:sz="4" w:space="0" w:color="auto"/>
            </w:tcBorders>
          </w:tcPr>
          <w:p w14:paraId="6F284144" w14:textId="77777777" w:rsidR="006A08D1" w:rsidRPr="002A15EF" w:rsidRDefault="006A08D1" w:rsidP="00973C89">
            <w:pPr>
              <w:rPr>
                <w:szCs w:val="28"/>
              </w:rPr>
            </w:pPr>
          </w:p>
        </w:tc>
        <w:tc>
          <w:tcPr>
            <w:tcW w:w="943" w:type="pct"/>
          </w:tcPr>
          <w:p w14:paraId="765CB314" w14:textId="77777777" w:rsidR="006A08D1" w:rsidRDefault="006A08D1" w:rsidP="00973C89">
            <w:pPr>
              <w:jc w:val="center"/>
              <w:rPr>
                <w:b/>
                <w:bCs/>
                <w:szCs w:val="28"/>
              </w:rPr>
            </w:pPr>
            <w:r>
              <w:rPr>
                <w:b/>
                <w:bCs/>
                <w:szCs w:val="28"/>
              </w:rPr>
              <w:t>Không SDD</w:t>
            </w:r>
          </w:p>
          <w:p w14:paraId="5D4EFD53" w14:textId="77777777" w:rsidR="006A08D1" w:rsidRPr="002A15EF" w:rsidRDefault="006A08D1" w:rsidP="00973C89">
            <w:pPr>
              <w:jc w:val="center"/>
              <w:rPr>
                <w:b/>
                <w:bCs/>
                <w:szCs w:val="28"/>
              </w:rPr>
            </w:pPr>
            <w:r>
              <w:rPr>
                <w:b/>
                <w:bCs/>
                <w:szCs w:val="28"/>
              </w:rPr>
              <w:t xml:space="preserve">(n, </w:t>
            </w:r>
            <w:r w:rsidRPr="002A15EF">
              <w:rPr>
                <w:b/>
                <w:bCs/>
                <w:szCs w:val="28"/>
              </w:rPr>
              <w:t>%</w:t>
            </w:r>
            <w:r>
              <w:rPr>
                <w:b/>
                <w:bCs/>
                <w:szCs w:val="28"/>
              </w:rPr>
              <w:t>)</w:t>
            </w:r>
          </w:p>
        </w:tc>
        <w:tc>
          <w:tcPr>
            <w:tcW w:w="840" w:type="pct"/>
          </w:tcPr>
          <w:p w14:paraId="3A594B1E" w14:textId="77777777" w:rsidR="006A08D1" w:rsidRPr="002A15EF" w:rsidRDefault="006A08D1" w:rsidP="00973C89">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0EA3A24E" w14:textId="77777777" w:rsidR="006A08D1" w:rsidRPr="002A15EF" w:rsidRDefault="006A08D1" w:rsidP="00973C89">
            <w:pPr>
              <w:jc w:val="center"/>
            </w:pPr>
          </w:p>
        </w:tc>
        <w:tc>
          <w:tcPr>
            <w:tcW w:w="607" w:type="pct"/>
            <w:vMerge/>
          </w:tcPr>
          <w:p w14:paraId="36964D19" w14:textId="77777777" w:rsidR="006A08D1" w:rsidRPr="002A15EF" w:rsidRDefault="006A08D1" w:rsidP="00973C89">
            <w:pPr>
              <w:jc w:val="center"/>
              <w:rPr>
                <w:szCs w:val="28"/>
              </w:rPr>
            </w:pPr>
          </w:p>
        </w:tc>
      </w:tr>
      <w:tr w:rsidR="00813A43" w14:paraId="1E0642FF" w14:textId="77777777" w:rsidTr="00973C89">
        <w:trPr>
          <w:trHeight w:val="354"/>
        </w:trPr>
        <w:tc>
          <w:tcPr>
            <w:tcW w:w="1573" w:type="pct"/>
          </w:tcPr>
          <w:p w14:paraId="2BBA06E2" w14:textId="18AB6FD1" w:rsidR="00813A43" w:rsidRPr="003C2462" w:rsidRDefault="00813A43" w:rsidP="00813A43">
            <w:pPr>
              <w:rPr>
                <w:szCs w:val="28"/>
              </w:rPr>
            </w:pPr>
            <w:r>
              <w:rPr>
                <w:szCs w:val="28"/>
              </w:rPr>
              <w:t>Thành phố</w:t>
            </w:r>
          </w:p>
        </w:tc>
        <w:tc>
          <w:tcPr>
            <w:tcW w:w="943" w:type="pct"/>
            <w:vAlign w:val="top"/>
          </w:tcPr>
          <w:p w14:paraId="1AA6DA08" w14:textId="6FDA03FD" w:rsidR="00813A43" w:rsidRPr="003C2462" w:rsidRDefault="00813A43" w:rsidP="00813A43">
            <w:pPr>
              <w:jc w:val="center"/>
              <w:rPr>
                <w:szCs w:val="28"/>
              </w:rPr>
            </w:pPr>
            <w:r>
              <w:t>69 (</w:t>
            </w:r>
            <w:r w:rsidRPr="0060450A">
              <w:t>65.7%</w:t>
            </w:r>
            <w:r>
              <w:t>)</w:t>
            </w:r>
          </w:p>
        </w:tc>
        <w:tc>
          <w:tcPr>
            <w:tcW w:w="840" w:type="pct"/>
            <w:vAlign w:val="top"/>
          </w:tcPr>
          <w:p w14:paraId="0E0714CA" w14:textId="0CBE3DBC" w:rsidR="00813A43" w:rsidRPr="003C2462" w:rsidRDefault="00813A43" w:rsidP="00813A43">
            <w:pPr>
              <w:jc w:val="center"/>
              <w:rPr>
                <w:szCs w:val="28"/>
              </w:rPr>
            </w:pPr>
            <w:r>
              <w:t>36 (</w:t>
            </w:r>
            <w:r w:rsidRPr="0060450A">
              <w:t>34.3%</w:t>
            </w:r>
            <w:r>
              <w:t>)</w:t>
            </w:r>
          </w:p>
        </w:tc>
        <w:tc>
          <w:tcPr>
            <w:tcW w:w="1037" w:type="pct"/>
            <w:vMerge w:val="restart"/>
          </w:tcPr>
          <w:p w14:paraId="012589E0" w14:textId="77777777" w:rsidR="00813A43" w:rsidRDefault="00813A43" w:rsidP="00813A43">
            <w:pPr>
              <w:jc w:val="center"/>
            </w:pPr>
            <w:r w:rsidRPr="005D705F">
              <w:t>1.241</w:t>
            </w:r>
          </w:p>
          <w:p w14:paraId="04513112" w14:textId="1826F805" w:rsidR="00813A43" w:rsidRPr="003C2462" w:rsidRDefault="00813A43" w:rsidP="00813A43">
            <w:pPr>
              <w:jc w:val="center"/>
            </w:pPr>
            <w:r>
              <w:t>(0</w:t>
            </w:r>
            <w:r w:rsidRPr="005D705F">
              <w:t>.736</w:t>
            </w:r>
            <w:r>
              <w:t>-</w:t>
            </w:r>
            <w:r w:rsidRPr="005D705F">
              <w:t>2.094</w:t>
            </w:r>
            <w:r>
              <w:t>)</w:t>
            </w:r>
          </w:p>
        </w:tc>
        <w:tc>
          <w:tcPr>
            <w:tcW w:w="607" w:type="pct"/>
            <w:vMerge w:val="restart"/>
          </w:tcPr>
          <w:p w14:paraId="39D43BC8" w14:textId="7CB0ABAF" w:rsidR="00813A43" w:rsidRPr="003C2462" w:rsidRDefault="00813A43" w:rsidP="00813A43">
            <w:pPr>
              <w:jc w:val="center"/>
              <w:rPr>
                <w:szCs w:val="28"/>
              </w:rPr>
            </w:pPr>
            <w:r>
              <w:rPr>
                <w:szCs w:val="28"/>
              </w:rPr>
              <w:t>0</w:t>
            </w:r>
            <w:r w:rsidRPr="00802A61">
              <w:rPr>
                <w:szCs w:val="28"/>
              </w:rPr>
              <w:t>.4</w:t>
            </w:r>
            <w:r w:rsidR="00624211">
              <w:rPr>
                <w:szCs w:val="28"/>
              </w:rPr>
              <w:t>9</w:t>
            </w:r>
            <w:r w:rsidRPr="00802A61">
              <w:rPr>
                <w:szCs w:val="28"/>
              </w:rPr>
              <w:t>7</w:t>
            </w:r>
          </w:p>
        </w:tc>
      </w:tr>
      <w:tr w:rsidR="00813A43" w14:paraId="79D36653" w14:textId="77777777" w:rsidTr="00973C89">
        <w:trPr>
          <w:trHeight w:val="70"/>
        </w:trPr>
        <w:tc>
          <w:tcPr>
            <w:tcW w:w="1573" w:type="pct"/>
          </w:tcPr>
          <w:p w14:paraId="7144F438" w14:textId="2451ED24" w:rsidR="00813A43" w:rsidRPr="003C2462" w:rsidRDefault="00813A43" w:rsidP="00813A43">
            <w:pPr>
              <w:rPr>
                <w:szCs w:val="28"/>
              </w:rPr>
            </w:pPr>
            <w:r>
              <w:rPr>
                <w:szCs w:val="28"/>
              </w:rPr>
              <w:t>Nông thôn và hải đảo</w:t>
            </w:r>
          </w:p>
        </w:tc>
        <w:tc>
          <w:tcPr>
            <w:tcW w:w="943" w:type="pct"/>
            <w:vAlign w:val="top"/>
          </w:tcPr>
          <w:p w14:paraId="7D5A0266" w14:textId="1B1A5413" w:rsidR="00813A43" w:rsidRPr="003C2462" w:rsidRDefault="00813A43" w:rsidP="00813A43">
            <w:pPr>
              <w:jc w:val="center"/>
              <w:rPr>
                <w:szCs w:val="28"/>
              </w:rPr>
            </w:pPr>
            <w:r>
              <w:t>88 (</w:t>
            </w:r>
            <w:r w:rsidRPr="00AC74A4">
              <w:t>60.7%</w:t>
            </w:r>
            <w:r>
              <w:t>)</w:t>
            </w:r>
          </w:p>
        </w:tc>
        <w:tc>
          <w:tcPr>
            <w:tcW w:w="840" w:type="pct"/>
            <w:vAlign w:val="top"/>
          </w:tcPr>
          <w:p w14:paraId="011AFF37" w14:textId="220C9CEB" w:rsidR="00813A43" w:rsidRPr="003C2462" w:rsidRDefault="00813A43" w:rsidP="00813A43">
            <w:pPr>
              <w:jc w:val="center"/>
              <w:rPr>
                <w:szCs w:val="28"/>
              </w:rPr>
            </w:pPr>
            <w:r>
              <w:t>57 (</w:t>
            </w:r>
            <w:r w:rsidRPr="00AC74A4">
              <w:t>39.3%</w:t>
            </w:r>
            <w:r>
              <w:t>)</w:t>
            </w:r>
          </w:p>
        </w:tc>
        <w:tc>
          <w:tcPr>
            <w:tcW w:w="1037" w:type="pct"/>
            <w:vMerge/>
          </w:tcPr>
          <w:p w14:paraId="03BD93B6" w14:textId="77777777" w:rsidR="00813A43" w:rsidRPr="003C2462" w:rsidRDefault="00813A43" w:rsidP="00813A43">
            <w:pPr>
              <w:jc w:val="center"/>
            </w:pPr>
          </w:p>
        </w:tc>
        <w:tc>
          <w:tcPr>
            <w:tcW w:w="607" w:type="pct"/>
            <w:vMerge/>
          </w:tcPr>
          <w:p w14:paraId="1AD85F79" w14:textId="77777777" w:rsidR="00813A43" w:rsidRPr="003C2462" w:rsidRDefault="00813A43" w:rsidP="00813A43">
            <w:pPr>
              <w:jc w:val="center"/>
              <w:rPr>
                <w:szCs w:val="28"/>
              </w:rPr>
            </w:pPr>
          </w:p>
        </w:tc>
      </w:tr>
    </w:tbl>
    <w:p w14:paraId="2D029E1D" w14:textId="6964A5E9" w:rsidR="00E64758" w:rsidRDefault="00E64758" w:rsidP="00E64758">
      <w:pPr>
        <w:tabs>
          <w:tab w:val="left" w:pos="2400"/>
        </w:tabs>
        <w:spacing w:before="160"/>
      </w:pPr>
      <w:r>
        <w:t xml:space="preserve">Nhận xét: </w:t>
      </w:r>
      <w:r w:rsidR="00EC4CD8">
        <w:t>T</w:t>
      </w:r>
      <w:r w:rsidR="00B33E2D">
        <w:t xml:space="preserve">ỷ lệ </w:t>
      </w:r>
      <w:r>
        <w:t xml:space="preserve">bệnh nhân SDD ở khu vực thành phố là </w:t>
      </w:r>
      <w:r w:rsidRPr="006B18A8">
        <w:t>3</w:t>
      </w:r>
      <w:r w:rsidR="002258A4">
        <w:t>4</w:t>
      </w:r>
      <w:r w:rsidRPr="006B18A8">
        <w:t>.</w:t>
      </w:r>
      <w:r w:rsidR="002258A4">
        <w:t>3</w:t>
      </w:r>
      <w:r w:rsidRPr="006B18A8">
        <w:t>%</w:t>
      </w:r>
      <w:r>
        <w:t xml:space="preserve"> thấp hơn khu vực nông thôn và hải đảo là </w:t>
      </w:r>
      <w:r w:rsidRPr="00D16334">
        <w:t>3</w:t>
      </w:r>
      <w:r w:rsidR="002258A4">
        <w:t>9</w:t>
      </w:r>
      <w:r w:rsidRPr="00D16334">
        <w:t>.</w:t>
      </w:r>
      <w:r w:rsidR="002258A4">
        <w:t>3</w:t>
      </w:r>
      <w:r w:rsidRPr="00D16334">
        <w:t>%</w:t>
      </w:r>
      <w:r>
        <w:t>. Sự khác biệt chưa có ý nghĩa thống kê với</w:t>
      </w:r>
      <w:r w:rsidR="005C5F34">
        <w:t xml:space="preserve"> p =</w:t>
      </w:r>
      <w:r>
        <w:t xml:space="preserve"> 0</w:t>
      </w:r>
      <w:r w:rsidRPr="00802A61">
        <w:t>.</w:t>
      </w:r>
      <w:r w:rsidR="002258A4">
        <w:t>497</w:t>
      </w:r>
      <w:r>
        <w:t>.</w:t>
      </w:r>
    </w:p>
    <w:p w14:paraId="363E22AA" w14:textId="430D450E" w:rsidR="00334897" w:rsidRDefault="00334897" w:rsidP="00334897">
      <w:pPr>
        <w:pStyle w:val="Heading3"/>
      </w:pPr>
      <w:r>
        <w:t>3.</w:t>
      </w:r>
      <w:r w:rsidR="009C1972">
        <w:t>3</w:t>
      </w:r>
      <w:r>
        <w:t>.</w:t>
      </w:r>
      <w:r w:rsidR="009C1972">
        <w:t>5</w:t>
      </w:r>
      <w:r>
        <w:t xml:space="preserve">. </w:t>
      </w:r>
      <w:bookmarkEnd w:id="92"/>
      <w:r>
        <w:t>Mối liên quan thời gian chẩn đoán bệnh và tình trạng dinh dưỡng</w:t>
      </w:r>
    </w:p>
    <w:p w14:paraId="08C4AD27" w14:textId="524E3636" w:rsidR="00334897" w:rsidRPr="008977C9" w:rsidRDefault="00334897" w:rsidP="00334897">
      <w:pPr>
        <w:pStyle w:val="Caption"/>
        <w:jc w:val="both"/>
        <w:rPr>
          <w:b w:val="0"/>
          <w:bCs/>
        </w:rPr>
      </w:pPr>
      <w:bookmarkStart w:id="93" w:name="_Toc133590757"/>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14</w:t>
      </w:r>
      <w:r w:rsidR="000A1A5C">
        <w:fldChar w:fldCharType="end"/>
      </w:r>
      <w:r w:rsidRPr="008977C9">
        <w:rPr>
          <w:bCs/>
        </w:rPr>
        <w:t>.</w:t>
      </w:r>
      <w:r>
        <w:rPr>
          <w:bCs/>
        </w:rPr>
        <w:t xml:space="preserve"> </w:t>
      </w:r>
      <w:r w:rsidRPr="008977C9">
        <w:rPr>
          <w:bCs/>
        </w:rPr>
        <w:t>Mối liên quan giữa thời gian chẩn đoán và TTDD theo BMI</w:t>
      </w:r>
      <w:bookmarkEnd w:id="93"/>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180635" w14:paraId="2BD1D8B8" w14:textId="77777777" w:rsidTr="00CB787E">
        <w:tc>
          <w:tcPr>
            <w:tcW w:w="1573" w:type="pct"/>
            <w:vMerge w:val="restart"/>
            <w:tcBorders>
              <w:tl2br w:val="single" w:sz="4" w:space="0" w:color="auto"/>
            </w:tcBorders>
          </w:tcPr>
          <w:p w14:paraId="10BDAA08" w14:textId="77777777" w:rsidR="00180635" w:rsidRPr="002A15EF" w:rsidRDefault="00180635" w:rsidP="00CB787E">
            <w:pPr>
              <w:jc w:val="right"/>
              <w:rPr>
                <w:b/>
                <w:bCs/>
                <w:szCs w:val="28"/>
              </w:rPr>
            </w:pPr>
            <w:r>
              <w:rPr>
                <w:b/>
                <w:bCs/>
                <w:szCs w:val="28"/>
              </w:rPr>
              <w:t>TTDD</w:t>
            </w:r>
          </w:p>
          <w:p w14:paraId="5730AE13" w14:textId="77777777" w:rsidR="00180635" w:rsidRDefault="00180635" w:rsidP="00CB787E">
            <w:pPr>
              <w:rPr>
                <w:b/>
                <w:bCs/>
                <w:szCs w:val="28"/>
              </w:rPr>
            </w:pPr>
          </w:p>
          <w:p w14:paraId="47CF8C05" w14:textId="77777777" w:rsidR="00180635" w:rsidRDefault="00180635" w:rsidP="00CB787E">
            <w:pPr>
              <w:rPr>
                <w:b/>
                <w:bCs/>
                <w:szCs w:val="28"/>
              </w:rPr>
            </w:pPr>
            <w:r>
              <w:rPr>
                <w:b/>
                <w:bCs/>
                <w:szCs w:val="28"/>
              </w:rPr>
              <w:t>Thời gian</w:t>
            </w:r>
          </w:p>
          <w:p w14:paraId="0192FF73" w14:textId="154ED3F0" w:rsidR="00180635" w:rsidRPr="002A15EF" w:rsidRDefault="00F75451" w:rsidP="00CB787E">
            <w:pPr>
              <w:rPr>
                <w:b/>
                <w:bCs/>
                <w:szCs w:val="28"/>
              </w:rPr>
            </w:pPr>
            <w:r>
              <w:rPr>
                <w:b/>
                <w:bCs/>
                <w:szCs w:val="28"/>
              </w:rPr>
              <w:t>c</w:t>
            </w:r>
            <w:r w:rsidR="00180635">
              <w:rPr>
                <w:b/>
                <w:bCs/>
                <w:szCs w:val="28"/>
              </w:rPr>
              <w:t>hẩn đoán</w:t>
            </w:r>
          </w:p>
        </w:tc>
        <w:tc>
          <w:tcPr>
            <w:tcW w:w="1783" w:type="pct"/>
            <w:gridSpan w:val="2"/>
          </w:tcPr>
          <w:p w14:paraId="7F5E8B82" w14:textId="6DB650DC" w:rsidR="00180635" w:rsidRPr="002A15EF" w:rsidRDefault="00ED63B7" w:rsidP="00CB787E">
            <w:pPr>
              <w:jc w:val="center"/>
              <w:rPr>
                <w:b/>
                <w:bCs/>
                <w:szCs w:val="28"/>
              </w:rPr>
            </w:pPr>
            <w:r>
              <w:rPr>
                <w:b/>
                <w:bCs/>
                <w:szCs w:val="28"/>
              </w:rPr>
              <w:t>BMI</w:t>
            </w:r>
          </w:p>
        </w:tc>
        <w:tc>
          <w:tcPr>
            <w:tcW w:w="1037" w:type="pct"/>
            <w:vMerge w:val="restart"/>
          </w:tcPr>
          <w:p w14:paraId="691AE4EC" w14:textId="77777777" w:rsidR="00180635" w:rsidRDefault="00180635" w:rsidP="00CB787E">
            <w:pPr>
              <w:jc w:val="center"/>
              <w:rPr>
                <w:b/>
                <w:bCs/>
              </w:rPr>
            </w:pPr>
            <w:r>
              <w:rPr>
                <w:b/>
                <w:bCs/>
              </w:rPr>
              <w:t>OR</w:t>
            </w:r>
          </w:p>
          <w:p w14:paraId="47CD304A" w14:textId="77777777" w:rsidR="00180635" w:rsidRPr="002A15EF" w:rsidRDefault="00180635" w:rsidP="00CB787E">
            <w:pPr>
              <w:jc w:val="center"/>
              <w:rPr>
                <w:b/>
                <w:bCs/>
              </w:rPr>
            </w:pPr>
            <w:r>
              <w:rPr>
                <w:b/>
                <w:bCs/>
              </w:rPr>
              <w:t>(95% CI)</w:t>
            </w:r>
          </w:p>
        </w:tc>
        <w:tc>
          <w:tcPr>
            <w:tcW w:w="607" w:type="pct"/>
            <w:vMerge w:val="restart"/>
          </w:tcPr>
          <w:p w14:paraId="25C258B5" w14:textId="77777777" w:rsidR="00180635" w:rsidRPr="002A15EF" w:rsidRDefault="00180635" w:rsidP="00CB787E">
            <w:pPr>
              <w:jc w:val="center"/>
              <w:rPr>
                <w:b/>
                <w:bCs/>
                <w:szCs w:val="28"/>
              </w:rPr>
            </w:pPr>
            <w:r w:rsidRPr="002A15EF">
              <w:rPr>
                <w:b/>
                <w:bCs/>
                <w:szCs w:val="28"/>
              </w:rPr>
              <w:t>p</w:t>
            </w:r>
          </w:p>
        </w:tc>
      </w:tr>
      <w:tr w:rsidR="00180635" w14:paraId="0762A468" w14:textId="77777777" w:rsidTr="00CB787E">
        <w:tc>
          <w:tcPr>
            <w:tcW w:w="1573" w:type="pct"/>
            <w:vMerge/>
            <w:tcBorders>
              <w:tl2br w:val="single" w:sz="4" w:space="0" w:color="auto"/>
            </w:tcBorders>
          </w:tcPr>
          <w:p w14:paraId="2C73D0D4" w14:textId="77777777" w:rsidR="00180635" w:rsidRPr="002A15EF" w:rsidRDefault="00180635" w:rsidP="00CB787E">
            <w:pPr>
              <w:rPr>
                <w:szCs w:val="28"/>
              </w:rPr>
            </w:pPr>
          </w:p>
        </w:tc>
        <w:tc>
          <w:tcPr>
            <w:tcW w:w="943" w:type="pct"/>
          </w:tcPr>
          <w:p w14:paraId="721F2184" w14:textId="77777777" w:rsidR="00180635" w:rsidRDefault="00180635" w:rsidP="00CB787E">
            <w:pPr>
              <w:jc w:val="center"/>
              <w:rPr>
                <w:b/>
                <w:bCs/>
                <w:szCs w:val="28"/>
              </w:rPr>
            </w:pPr>
            <w:r>
              <w:rPr>
                <w:b/>
                <w:bCs/>
                <w:szCs w:val="28"/>
              </w:rPr>
              <w:t>Không SDD</w:t>
            </w:r>
          </w:p>
          <w:p w14:paraId="2F55B040" w14:textId="77777777" w:rsidR="00180635" w:rsidRPr="002A15EF" w:rsidRDefault="00180635"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0557654A" w14:textId="77777777" w:rsidR="00180635" w:rsidRPr="002A15EF" w:rsidRDefault="00180635"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04D579CA" w14:textId="77777777" w:rsidR="00180635" w:rsidRPr="002A15EF" w:rsidRDefault="00180635" w:rsidP="00CB787E">
            <w:pPr>
              <w:jc w:val="center"/>
            </w:pPr>
          </w:p>
        </w:tc>
        <w:tc>
          <w:tcPr>
            <w:tcW w:w="607" w:type="pct"/>
            <w:vMerge/>
          </w:tcPr>
          <w:p w14:paraId="0CADECD0" w14:textId="77777777" w:rsidR="00180635" w:rsidRPr="002A15EF" w:rsidRDefault="00180635" w:rsidP="00CB787E">
            <w:pPr>
              <w:jc w:val="center"/>
              <w:rPr>
                <w:szCs w:val="28"/>
              </w:rPr>
            </w:pPr>
          </w:p>
        </w:tc>
      </w:tr>
      <w:tr w:rsidR="00180635" w14:paraId="35C8195A" w14:textId="77777777" w:rsidTr="00CB787E">
        <w:trPr>
          <w:trHeight w:val="354"/>
        </w:trPr>
        <w:tc>
          <w:tcPr>
            <w:tcW w:w="1573" w:type="pct"/>
          </w:tcPr>
          <w:p w14:paraId="6E49F023" w14:textId="1100DEEE" w:rsidR="00180635" w:rsidRPr="003C2462" w:rsidRDefault="00180635" w:rsidP="00180635">
            <w:pPr>
              <w:rPr>
                <w:szCs w:val="28"/>
              </w:rPr>
            </w:pPr>
            <w:r>
              <w:rPr>
                <w:szCs w:val="28"/>
              </w:rPr>
              <w:t>Trước 2 tháng</w:t>
            </w:r>
          </w:p>
        </w:tc>
        <w:tc>
          <w:tcPr>
            <w:tcW w:w="943" w:type="pct"/>
            <w:vAlign w:val="top"/>
          </w:tcPr>
          <w:p w14:paraId="258E5E0F" w14:textId="4A80B036" w:rsidR="00180635" w:rsidRPr="003C2462" w:rsidRDefault="00180635" w:rsidP="00180635">
            <w:pPr>
              <w:jc w:val="center"/>
              <w:rPr>
                <w:szCs w:val="28"/>
              </w:rPr>
            </w:pPr>
            <w:r>
              <w:t>132 (</w:t>
            </w:r>
            <w:r w:rsidRPr="006A3897">
              <w:t>67.7%</w:t>
            </w:r>
            <w:r>
              <w:t>)</w:t>
            </w:r>
          </w:p>
        </w:tc>
        <w:tc>
          <w:tcPr>
            <w:tcW w:w="840" w:type="pct"/>
            <w:vAlign w:val="top"/>
          </w:tcPr>
          <w:p w14:paraId="61BB3C4A" w14:textId="5E6BB7D2" w:rsidR="00180635" w:rsidRPr="003C2462" w:rsidRDefault="00180635" w:rsidP="00180635">
            <w:pPr>
              <w:jc w:val="center"/>
              <w:rPr>
                <w:szCs w:val="28"/>
              </w:rPr>
            </w:pPr>
            <w:r>
              <w:t>63 (</w:t>
            </w:r>
            <w:r w:rsidRPr="006A3897">
              <w:t>32.3%</w:t>
            </w:r>
            <w:r>
              <w:t>)</w:t>
            </w:r>
          </w:p>
        </w:tc>
        <w:tc>
          <w:tcPr>
            <w:tcW w:w="1037" w:type="pct"/>
            <w:vMerge w:val="restart"/>
          </w:tcPr>
          <w:p w14:paraId="430A79DF" w14:textId="77777777" w:rsidR="00180635" w:rsidRDefault="00180635" w:rsidP="00180635">
            <w:pPr>
              <w:jc w:val="center"/>
            </w:pPr>
            <w:r w:rsidRPr="005C4DEF">
              <w:t>1.506</w:t>
            </w:r>
          </w:p>
          <w:p w14:paraId="3EC85459" w14:textId="03F23D60" w:rsidR="00180635" w:rsidRPr="003C2462" w:rsidRDefault="00180635" w:rsidP="00180635">
            <w:pPr>
              <w:jc w:val="center"/>
            </w:pPr>
            <w:r>
              <w:t>(0</w:t>
            </w:r>
            <w:r w:rsidRPr="005C4DEF">
              <w:t>.815</w:t>
            </w:r>
            <w:r>
              <w:t>-</w:t>
            </w:r>
            <w:r w:rsidRPr="005C4DEF">
              <w:t>2.783</w:t>
            </w:r>
            <w:r>
              <w:t>)</w:t>
            </w:r>
          </w:p>
        </w:tc>
        <w:tc>
          <w:tcPr>
            <w:tcW w:w="607" w:type="pct"/>
            <w:vMerge w:val="restart"/>
          </w:tcPr>
          <w:p w14:paraId="2658BFF0" w14:textId="6E4D5BE6" w:rsidR="00180635" w:rsidRPr="003C2462" w:rsidRDefault="00180635" w:rsidP="00180635">
            <w:pPr>
              <w:jc w:val="center"/>
              <w:rPr>
                <w:szCs w:val="28"/>
              </w:rPr>
            </w:pPr>
            <w:r>
              <w:rPr>
                <w:szCs w:val="28"/>
              </w:rPr>
              <w:t>0.250</w:t>
            </w:r>
          </w:p>
        </w:tc>
      </w:tr>
      <w:tr w:rsidR="00180635" w14:paraId="097075D1" w14:textId="77777777" w:rsidTr="00CB787E">
        <w:trPr>
          <w:trHeight w:val="70"/>
        </w:trPr>
        <w:tc>
          <w:tcPr>
            <w:tcW w:w="1573" w:type="pct"/>
          </w:tcPr>
          <w:p w14:paraId="58817041" w14:textId="7DC2A674" w:rsidR="00180635" w:rsidRPr="003C2462" w:rsidRDefault="001701E7" w:rsidP="00180635">
            <w:pPr>
              <w:rPr>
                <w:szCs w:val="28"/>
              </w:rPr>
            </w:pPr>
            <w:r>
              <w:rPr>
                <w:szCs w:val="28"/>
              </w:rPr>
              <w:t>Từ</w:t>
            </w:r>
            <w:r w:rsidR="00180635">
              <w:rPr>
                <w:szCs w:val="28"/>
              </w:rPr>
              <w:t xml:space="preserve"> 2 tháng</w:t>
            </w:r>
            <w:r>
              <w:rPr>
                <w:szCs w:val="28"/>
              </w:rPr>
              <w:t xml:space="preserve"> trở lên</w:t>
            </w:r>
          </w:p>
        </w:tc>
        <w:tc>
          <w:tcPr>
            <w:tcW w:w="943" w:type="pct"/>
            <w:vAlign w:val="top"/>
          </w:tcPr>
          <w:p w14:paraId="78BC504A" w14:textId="2AD37FB0" w:rsidR="00180635" w:rsidRPr="003C2462" w:rsidRDefault="00180635" w:rsidP="00180635">
            <w:pPr>
              <w:jc w:val="center"/>
              <w:rPr>
                <w:szCs w:val="28"/>
              </w:rPr>
            </w:pPr>
            <w:r>
              <w:t>32 (</w:t>
            </w:r>
            <w:r w:rsidRPr="003222B5">
              <w:t>58.2%</w:t>
            </w:r>
            <w:r>
              <w:t>)</w:t>
            </w:r>
          </w:p>
        </w:tc>
        <w:tc>
          <w:tcPr>
            <w:tcW w:w="840" w:type="pct"/>
            <w:vAlign w:val="top"/>
          </w:tcPr>
          <w:p w14:paraId="6B612F8D" w14:textId="4CAA1E64" w:rsidR="00180635" w:rsidRPr="003C2462" w:rsidRDefault="00180635" w:rsidP="00180635">
            <w:pPr>
              <w:jc w:val="center"/>
              <w:rPr>
                <w:szCs w:val="28"/>
              </w:rPr>
            </w:pPr>
            <w:r>
              <w:t>23 (</w:t>
            </w:r>
            <w:r w:rsidRPr="003222B5">
              <w:t>41.8%</w:t>
            </w:r>
            <w:r>
              <w:t>)</w:t>
            </w:r>
          </w:p>
        </w:tc>
        <w:tc>
          <w:tcPr>
            <w:tcW w:w="1037" w:type="pct"/>
            <w:vMerge/>
          </w:tcPr>
          <w:p w14:paraId="0A6A1A0E" w14:textId="77777777" w:rsidR="00180635" w:rsidRPr="003C2462" w:rsidRDefault="00180635" w:rsidP="00180635">
            <w:pPr>
              <w:jc w:val="center"/>
            </w:pPr>
          </w:p>
        </w:tc>
        <w:tc>
          <w:tcPr>
            <w:tcW w:w="607" w:type="pct"/>
            <w:vMerge/>
          </w:tcPr>
          <w:p w14:paraId="237638DF" w14:textId="77777777" w:rsidR="00180635" w:rsidRPr="003C2462" w:rsidRDefault="00180635" w:rsidP="00180635">
            <w:pPr>
              <w:jc w:val="center"/>
              <w:rPr>
                <w:szCs w:val="28"/>
              </w:rPr>
            </w:pPr>
          </w:p>
        </w:tc>
      </w:tr>
    </w:tbl>
    <w:p w14:paraId="0981D0DF" w14:textId="541325FF" w:rsidR="00B33E2D" w:rsidRDefault="00B33E2D" w:rsidP="00B33E2D">
      <w:pPr>
        <w:tabs>
          <w:tab w:val="left" w:pos="2400"/>
        </w:tabs>
        <w:spacing w:before="160"/>
      </w:pPr>
      <w:r>
        <w:t>Nhận xét: Đánh giá SDD theo BMI, bệnh nhân có thời gian phát hiện</w:t>
      </w:r>
      <w:r w:rsidR="00674CC1">
        <w:t xml:space="preserve"> lao phổi</w:t>
      </w:r>
      <w:r>
        <w:t xml:space="preserve"> trước 2 tháng</w:t>
      </w:r>
      <w:r w:rsidR="00674CC1">
        <w:t xml:space="preserve"> có tỷ lệ SDD là</w:t>
      </w:r>
      <w:r>
        <w:t xml:space="preserve"> </w:t>
      </w:r>
      <w:r w:rsidRPr="006B18A8">
        <w:t>32.</w:t>
      </w:r>
      <w:r w:rsidR="00674CC1">
        <w:t>3</w:t>
      </w:r>
      <w:r w:rsidRPr="006B18A8">
        <w:t>%</w:t>
      </w:r>
      <w:r>
        <w:t xml:space="preserve"> thấp hơn </w:t>
      </w:r>
      <w:r w:rsidR="001701E7">
        <w:t xml:space="preserve">bệnh nhân có thời gian phát hiện bệnh </w:t>
      </w:r>
      <w:r w:rsidR="00D25A67">
        <w:t>từ</w:t>
      </w:r>
      <w:r w:rsidR="001701E7">
        <w:t xml:space="preserve"> 2 tháng</w:t>
      </w:r>
      <w:r w:rsidR="00D25A67">
        <w:t xml:space="preserve"> trở lên</w:t>
      </w:r>
      <w:r w:rsidR="0001353C">
        <w:t xml:space="preserve"> là</w:t>
      </w:r>
      <w:r>
        <w:t xml:space="preserve"> </w:t>
      </w:r>
      <w:r w:rsidR="000A2644">
        <w:t>41</w:t>
      </w:r>
      <w:r w:rsidRPr="00D16334">
        <w:t>.</w:t>
      </w:r>
      <w:r w:rsidR="000A2644">
        <w:t>8</w:t>
      </w:r>
      <w:r w:rsidRPr="00D16334">
        <w:t>%</w:t>
      </w:r>
      <w:r>
        <w:t xml:space="preserve">. </w:t>
      </w:r>
      <w:r w:rsidR="00AC6FA4">
        <w:t>Tuy nhiên, s</w:t>
      </w:r>
      <w:r>
        <w:t xml:space="preserve">ự khác biệt chưa có ý nghĩa thống kê với </w:t>
      </w:r>
      <w:r w:rsidR="00AE2210">
        <w:t xml:space="preserve">p = </w:t>
      </w:r>
      <w:r>
        <w:t>0</w:t>
      </w:r>
      <w:r w:rsidRPr="00802A61">
        <w:t>.</w:t>
      </w:r>
      <w:r w:rsidR="00AE2210">
        <w:t>250</w:t>
      </w:r>
      <w:r>
        <w:t>.</w:t>
      </w:r>
    </w:p>
    <w:p w14:paraId="4665B31E" w14:textId="392FF1F9" w:rsidR="00334897" w:rsidRPr="004D4832" w:rsidRDefault="00334897" w:rsidP="00334897">
      <w:pPr>
        <w:pStyle w:val="Caption"/>
        <w:jc w:val="both"/>
        <w:rPr>
          <w:b w:val="0"/>
          <w:bCs/>
        </w:rPr>
      </w:pPr>
      <w:bookmarkStart w:id="94" w:name="_Toc133590758"/>
      <w:r>
        <w:lastRenderedPageBreak/>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15</w:t>
      </w:r>
      <w:r w:rsidR="000A1A5C">
        <w:fldChar w:fldCharType="end"/>
      </w:r>
      <w:r>
        <w:t xml:space="preserve">. </w:t>
      </w:r>
      <w:r>
        <w:rPr>
          <w:bCs/>
        </w:rPr>
        <w:t>Mối liên quan giữa thời gian chẩn đoán và TTDD theo SGA</w:t>
      </w:r>
      <w:bookmarkEnd w:id="94"/>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906D30" w14:paraId="77127482" w14:textId="77777777" w:rsidTr="00CB787E">
        <w:tc>
          <w:tcPr>
            <w:tcW w:w="1573" w:type="pct"/>
            <w:vMerge w:val="restart"/>
            <w:tcBorders>
              <w:tl2br w:val="single" w:sz="4" w:space="0" w:color="auto"/>
            </w:tcBorders>
          </w:tcPr>
          <w:p w14:paraId="7F5FC025" w14:textId="77777777" w:rsidR="00906D30" w:rsidRPr="002A15EF" w:rsidRDefault="00906D30" w:rsidP="00CB787E">
            <w:pPr>
              <w:jc w:val="right"/>
              <w:rPr>
                <w:b/>
                <w:bCs/>
                <w:szCs w:val="28"/>
              </w:rPr>
            </w:pPr>
            <w:r>
              <w:rPr>
                <w:b/>
                <w:bCs/>
                <w:szCs w:val="28"/>
              </w:rPr>
              <w:t>TTDD</w:t>
            </w:r>
          </w:p>
          <w:p w14:paraId="175B42E2" w14:textId="77777777" w:rsidR="00906D30" w:rsidRDefault="00906D30" w:rsidP="00CB787E">
            <w:pPr>
              <w:rPr>
                <w:b/>
                <w:bCs/>
                <w:szCs w:val="28"/>
              </w:rPr>
            </w:pPr>
          </w:p>
          <w:p w14:paraId="232190D3" w14:textId="77777777" w:rsidR="00906D30" w:rsidRDefault="00906D30" w:rsidP="00CB787E">
            <w:pPr>
              <w:rPr>
                <w:b/>
                <w:bCs/>
                <w:szCs w:val="28"/>
              </w:rPr>
            </w:pPr>
            <w:r>
              <w:rPr>
                <w:b/>
                <w:bCs/>
                <w:szCs w:val="28"/>
              </w:rPr>
              <w:t>Thời gian</w:t>
            </w:r>
          </w:p>
          <w:p w14:paraId="59BDB562" w14:textId="77777777" w:rsidR="00906D30" w:rsidRPr="002A15EF" w:rsidRDefault="00906D30" w:rsidP="00CB787E">
            <w:pPr>
              <w:rPr>
                <w:b/>
                <w:bCs/>
                <w:szCs w:val="28"/>
              </w:rPr>
            </w:pPr>
            <w:r>
              <w:rPr>
                <w:b/>
                <w:bCs/>
                <w:szCs w:val="28"/>
              </w:rPr>
              <w:t>chẩn đoán</w:t>
            </w:r>
          </w:p>
        </w:tc>
        <w:tc>
          <w:tcPr>
            <w:tcW w:w="1783" w:type="pct"/>
            <w:gridSpan w:val="2"/>
          </w:tcPr>
          <w:p w14:paraId="5DE45C6C" w14:textId="14CBD8FE" w:rsidR="00906D30" w:rsidRPr="002A15EF" w:rsidRDefault="00906D30" w:rsidP="00CB787E">
            <w:pPr>
              <w:jc w:val="center"/>
              <w:rPr>
                <w:b/>
                <w:bCs/>
                <w:szCs w:val="28"/>
              </w:rPr>
            </w:pPr>
            <w:r>
              <w:rPr>
                <w:b/>
                <w:bCs/>
                <w:szCs w:val="28"/>
              </w:rPr>
              <w:t>SGA</w:t>
            </w:r>
          </w:p>
        </w:tc>
        <w:tc>
          <w:tcPr>
            <w:tcW w:w="1037" w:type="pct"/>
            <w:vMerge w:val="restart"/>
          </w:tcPr>
          <w:p w14:paraId="1CBA83B0" w14:textId="77777777" w:rsidR="00906D30" w:rsidRDefault="00906D30" w:rsidP="00CB787E">
            <w:pPr>
              <w:jc w:val="center"/>
              <w:rPr>
                <w:b/>
                <w:bCs/>
              </w:rPr>
            </w:pPr>
            <w:r>
              <w:rPr>
                <w:b/>
                <w:bCs/>
              </w:rPr>
              <w:t>OR</w:t>
            </w:r>
          </w:p>
          <w:p w14:paraId="3A5AB25B" w14:textId="77777777" w:rsidR="00906D30" w:rsidRPr="002A15EF" w:rsidRDefault="00906D30" w:rsidP="00CB787E">
            <w:pPr>
              <w:jc w:val="center"/>
              <w:rPr>
                <w:b/>
                <w:bCs/>
              </w:rPr>
            </w:pPr>
            <w:r>
              <w:rPr>
                <w:b/>
                <w:bCs/>
              </w:rPr>
              <w:t>(95% CI)</w:t>
            </w:r>
          </w:p>
        </w:tc>
        <w:tc>
          <w:tcPr>
            <w:tcW w:w="607" w:type="pct"/>
            <w:vMerge w:val="restart"/>
          </w:tcPr>
          <w:p w14:paraId="44792879" w14:textId="77777777" w:rsidR="00906D30" w:rsidRPr="002A15EF" w:rsidRDefault="00906D30" w:rsidP="00CB787E">
            <w:pPr>
              <w:jc w:val="center"/>
              <w:rPr>
                <w:b/>
                <w:bCs/>
                <w:szCs w:val="28"/>
              </w:rPr>
            </w:pPr>
            <w:r w:rsidRPr="002A15EF">
              <w:rPr>
                <w:b/>
                <w:bCs/>
                <w:szCs w:val="28"/>
              </w:rPr>
              <w:t>p</w:t>
            </w:r>
          </w:p>
        </w:tc>
      </w:tr>
      <w:tr w:rsidR="00906D30" w14:paraId="2E084B0C" w14:textId="77777777" w:rsidTr="00CB787E">
        <w:tc>
          <w:tcPr>
            <w:tcW w:w="1573" w:type="pct"/>
            <w:vMerge/>
            <w:tcBorders>
              <w:tl2br w:val="single" w:sz="4" w:space="0" w:color="auto"/>
            </w:tcBorders>
          </w:tcPr>
          <w:p w14:paraId="1A0C952B" w14:textId="77777777" w:rsidR="00906D30" w:rsidRPr="002A15EF" w:rsidRDefault="00906D30" w:rsidP="00CB787E">
            <w:pPr>
              <w:rPr>
                <w:szCs w:val="28"/>
              </w:rPr>
            </w:pPr>
          </w:p>
        </w:tc>
        <w:tc>
          <w:tcPr>
            <w:tcW w:w="943" w:type="pct"/>
          </w:tcPr>
          <w:p w14:paraId="6FC3427F" w14:textId="77777777" w:rsidR="00906D30" w:rsidRDefault="00906D30" w:rsidP="00CB787E">
            <w:pPr>
              <w:jc w:val="center"/>
              <w:rPr>
                <w:b/>
                <w:bCs/>
                <w:szCs w:val="28"/>
              </w:rPr>
            </w:pPr>
            <w:r>
              <w:rPr>
                <w:b/>
                <w:bCs/>
                <w:szCs w:val="28"/>
              </w:rPr>
              <w:t>Không SDD</w:t>
            </w:r>
          </w:p>
          <w:p w14:paraId="30DB04F6" w14:textId="77777777" w:rsidR="00906D30" w:rsidRPr="002A15EF" w:rsidRDefault="00906D30"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5D5A30E6" w14:textId="77777777" w:rsidR="00906D30" w:rsidRPr="002A15EF" w:rsidRDefault="00906D30"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6812D818" w14:textId="77777777" w:rsidR="00906D30" w:rsidRPr="002A15EF" w:rsidRDefault="00906D30" w:rsidP="00CB787E">
            <w:pPr>
              <w:jc w:val="center"/>
            </w:pPr>
          </w:p>
        </w:tc>
        <w:tc>
          <w:tcPr>
            <w:tcW w:w="607" w:type="pct"/>
            <w:vMerge/>
          </w:tcPr>
          <w:p w14:paraId="35F90A2E" w14:textId="77777777" w:rsidR="00906D30" w:rsidRPr="002A15EF" w:rsidRDefault="00906D30" w:rsidP="00CB787E">
            <w:pPr>
              <w:jc w:val="center"/>
              <w:rPr>
                <w:szCs w:val="28"/>
              </w:rPr>
            </w:pPr>
          </w:p>
        </w:tc>
      </w:tr>
      <w:tr w:rsidR="009D46D9" w14:paraId="6B58BF0A" w14:textId="77777777" w:rsidTr="00CB787E">
        <w:trPr>
          <w:trHeight w:val="354"/>
        </w:trPr>
        <w:tc>
          <w:tcPr>
            <w:tcW w:w="1573" w:type="pct"/>
          </w:tcPr>
          <w:p w14:paraId="0F33D804" w14:textId="77777777" w:rsidR="009D46D9" w:rsidRPr="003C2462" w:rsidRDefault="009D46D9" w:rsidP="009D46D9">
            <w:pPr>
              <w:rPr>
                <w:szCs w:val="28"/>
              </w:rPr>
            </w:pPr>
            <w:r>
              <w:rPr>
                <w:szCs w:val="28"/>
              </w:rPr>
              <w:t>Trước 2 tháng</w:t>
            </w:r>
          </w:p>
        </w:tc>
        <w:tc>
          <w:tcPr>
            <w:tcW w:w="943" w:type="pct"/>
            <w:vAlign w:val="top"/>
          </w:tcPr>
          <w:p w14:paraId="52F2BDF6" w14:textId="1848E0E6" w:rsidR="009D46D9" w:rsidRPr="003C2462" w:rsidRDefault="009D46D9" w:rsidP="009D46D9">
            <w:pPr>
              <w:jc w:val="center"/>
              <w:rPr>
                <w:szCs w:val="28"/>
              </w:rPr>
            </w:pPr>
            <w:r>
              <w:t>127 (</w:t>
            </w:r>
            <w:r w:rsidRPr="000A147F">
              <w:t>65.1%</w:t>
            </w:r>
            <w:r>
              <w:t>)</w:t>
            </w:r>
          </w:p>
        </w:tc>
        <w:tc>
          <w:tcPr>
            <w:tcW w:w="840" w:type="pct"/>
            <w:vAlign w:val="top"/>
          </w:tcPr>
          <w:p w14:paraId="456E5C29" w14:textId="0D0B1877" w:rsidR="009D46D9" w:rsidRPr="003C2462" w:rsidRDefault="009D46D9" w:rsidP="009D46D9">
            <w:pPr>
              <w:jc w:val="center"/>
              <w:rPr>
                <w:szCs w:val="28"/>
              </w:rPr>
            </w:pPr>
            <w:r>
              <w:t>68 (</w:t>
            </w:r>
            <w:r w:rsidRPr="000A147F">
              <w:t>34.9%</w:t>
            </w:r>
            <w:r>
              <w:t>)</w:t>
            </w:r>
          </w:p>
        </w:tc>
        <w:tc>
          <w:tcPr>
            <w:tcW w:w="1037" w:type="pct"/>
            <w:vMerge w:val="restart"/>
          </w:tcPr>
          <w:p w14:paraId="19088B3A" w14:textId="77777777" w:rsidR="00ED14E6" w:rsidRDefault="00ED14E6" w:rsidP="009D46D9">
            <w:pPr>
              <w:jc w:val="center"/>
            </w:pPr>
            <w:r w:rsidRPr="00ED14E6">
              <w:t>1.556</w:t>
            </w:r>
            <w:r w:rsidRPr="00ED14E6">
              <w:tab/>
            </w:r>
          </w:p>
          <w:p w14:paraId="6435E164" w14:textId="3CB39987" w:rsidR="009D46D9" w:rsidRPr="003C2462" w:rsidRDefault="00ED14E6" w:rsidP="009D46D9">
            <w:pPr>
              <w:jc w:val="center"/>
            </w:pPr>
            <w:r>
              <w:t>(0</w:t>
            </w:r>
            <w:r w:rsidRPr="00ED14E6">
              <w:t>.848</w:t>
            </w:r>
            <w:r>
              <w:t>-</w:t>
            </w:r>
            <w:r w:rsidRPr="00ED14E6">
              <w:t>2.856</w:t>
            </w:r>
            <w:r>
              <w:t>)</w:t>
            </w:r>
          </w:p>
        </w:tc>
        <w:tc>
          <w:tcPr>
            <w:tcW w:w="607" w:type="pct"/>
            <w:vMerge w:val="restart"/>
          </w:tcPr>
          <w:p w14:paraId="021499B1" w14:textId="4735267A" w:rsidR="009D46D9" w:rsidRPr="003C2462" w:rsidRDefault="009D46D9" w:rsidP="009D46D9">
            <w:pPr>
              <w:jc w:val="center"/>
              <w:rPr>
                <w:szCs w:val="28"/>
              </w:rPr>
            </w:pPr>
            <w:r>
              <w:rPr>
                <w:szCs w:val="28"/>
              </w:rPr>
              <w:t>0.2</w:t>
            </w:r>
            <w:r w:rsidR="002E78C0">
              <w:rPr>
                <w:szCs w:val="28"/>
              </w:rPr>
              <w:t>02</w:t>
            </w:r>
          </w:p>
        </w:tc>
      </w:tr>
      <w:tr w:rsidR="009D46D9" w14:paraId="536166E5" w14:textId="77777777" w:rsidTr="00CB787E">
        <w:trPr>
          <w:trHeight w:val="70"/>
        </w:trPr>
        <w:tc>
          <w:tcPr>
            <w:tcW w:w="1573" w:type="pct"/>
          </w:tcPr>
          <w:p w14:paraId="46A5D520" w14:textId="0599C6F6" w:rsidR="009D46D9" w:rsidRPr="003C2462" w:rsidRDefault="00A20AF1" w:rsidP="009D46D9">
            <w:pPr>
              <w:rPr>
                <w:szCs w:val="28"/>
              </w:rPr>
            </w:pPr>
            <w:r>
              <w:rPr>
                <w:szCs w:val="28"/>
              </w:rPr>
              <w:t>Từ</w:t>
            </w:r>
            <w:r w:rsidR="009D46D9">
              <w:rPr>
                <w:szCs w:val="28"/>
              </w:rPr>
              <w:t xml:space="preserve"> 2 tháng</w:t>
            </w:r>
            <w:r>
              <w:rPr>
                <w:szCs w:val="28"/>
              </w:rPr>
              <w:t xml:space="preserve"> trở lên</w:t>
            </w:r>
          </w:p>
        </w:tc>
        <w:tc>
          <w:tcPr>
            <w:tcW w:w="943" w:type="pct"/>
            <w:vAlign w:val="top"/>
          </w:tcPr>
          <w:p w14:paraId="62EE0C28" w14:textId="31103F3F" w:rsidR="009D46D9" w:rsidRPr="003C2462" w:rsidRDefault="009D46D9" w:rsidP="009D46D9">
            <w:pPr>
              <w:jc w:val="center"/>
              <w:rPr>
                <w:szCs w:val="28"/>
              </w:rPr>
            </w:pPr>
            <w:r>
              <w:t>30 (</w:t>
            </w:r>
            <w:r w:rsidRPr="00496624">
              <w:t>54.5%</w:t>
            </w:r>
            <w:r>
              <w:t>)</w:t>
            </w:r>
          </w:p>
        </w:tc>
        <w:tc>
          <w:tcPr>
            <w:tcW w:w="840" w:type="pct"/>
            <w:vAlign w:val="top"/>
          </w:tcPr>
          <w:p w14:paraId="61554B12" w14:textId="1425CA13" w:rsidR="009D46D9" w:rsidRPr="003C2462" w:rsidRDefault="009D46D9" w:rsidP="009D46D9">
            <w:pPr>
              <w:jc w:val="center"/>
              <w:rPr>
                <w:szCs w:val="28"/>
              </w:rPr>
            </w:pPr>
            <w:r>
              <w:t>25 (</w:t>
            </w:r>
            <w:r w:rsidRPr="00496624">
              <w:t>45.5%</w:t>
            </w:r>
            <w:r>
              <w:t>)</w:t>
            </w:r>
          </w:p>
        </w:tc>
        <w:tc>
          <w:tcPr>
            <w:tcW w:w="1037" w:type="pct"/>
            <w:vMerge/>
          </w:tcPr>
          <w:p w14:paraId="202DEB00" w14:textId="77777777" w:rsidR="009D46D9" w:rsidRPr="003C2462" w:rsidRDefault="009D46D9" w:rsidP="009D46D9">
            <w:pPr>
              <w:jc w:val="center"/>
            </w:pPr>
          </w:p>
        </w:tc>
        <w:tc>
          <w:tcPr>
            <w:tcW w:w="607" w:type="pct"/>
            <w:vMerge/>
          </w:tcPr>
          <w:p w14:paraId="1C9D2356" w14:textId="77777777" w:rsidR="009D46D9" w:rsidRPr="003C2462" w:rsidRDefault="009D46D9" w:rsidP="009D46D9">
            <w:pPr>
              <w:jc w:val="center"/>
              <w:rPr>
                <w:szCs w:val="28"/>
              </w:rPr>
            </w:pPr>
          </w:p>
        </w:tc>
      </w:tr>
    </w:tbl>
    <w:p w14:paraId="769B2009" w14:textId="75E4A87A" w:rsidR="00E40206" w:rsidRDefault="00E40206" w:rsidP="00E40206">
      <w:pPr>
        <w:tabs>
          <w:tab w:val="left" w:pos="2400"/>
        </w:tabs>
        <w:spacing w:before="160"/>
      </w:pPr>
      <w:r>
        <w:t xml:space="preserve">Nhận xét: Đánh giá SDD theo SGA, bệnh nhân có thời gian phát hiện lao phổi trước 2 tháng có tỷ lệ SDD là </w:t>
      </w:r>
      <w:r w:rsidRPr="006B18A8">
        <w:t>3</w:t>
      </w:r>
      <w:r w:rsidR="00340D5D">
        <w:t>4</w:t>
      </w:r>
      <w:r w:rsidRPr="006B18A8">
        <w:t>.</w:t>
      </w:r>
      <w:r w:rsidR="00340D5D">
        <w:t>9</w:t>
      </w:r>
      <w:r w:rsidRPr="006B18A8">
        <w:t>%</w:t>
      </w:r>
      <w:r>
        <w:t xml:space="preserve"> thấp hơn bệnh nhân có thời gian phát hiện bệnh từ 2 tháng trở lên là 4</w:t>
      </w:r>
      <w:r w:rsidR="00BB3280">
        <w:t>5</w:t>
      </w:r>
      <w:r w:rsidRPr="00D16334">
        <w:t>.</w:t>
      </w:r>
      <w:r w:rsidR="00BB3280">
        <w:t>5</w:t>
      </w:r>
      <w:r w:rsidRPr="00D16334">
        <w:t>%</w:t>
      </w:r>
      <w:r>
        <w:t>. Tuy nhiên, sự khác biệt chưa có ý nghĩa thống kê với p = 0</w:t>
      </w:r>
      <w:r w:rsidRPr="00802A61">
        <w:t>.</w:t>
      </w:r>
      <w:r>
        <w:t>20</w:t>
      </w:r>
      <w:r w:rsidR="00866DBE">
        <w:t>2</w:t>
      </w:r>
      <w:r>
        <w:t>.</w:t>
      </w:r>
    </w:p>
    <w:p w14:paraId="0C7FFB71" w14:textId="798D85CA" w:rsidR="007831D5" w:rsidRDefault="007831D5" w:rsidP="007831D5">
      <w:pPr>
        <w:pStyle w:val="Heading3"/>
      </w:pPr>
      <w:r>
        <w:t>3.</w:t>
      </w:r>
      <w:r w:rsidR="009C1972">
        <w:t>3</w:t>
      </w:r>
      <w:r>
        <w:t>.</w:t>
      </w:r>
      <w:r w:rsidR="009C1972">
        <w:t>6</w:t>
      </w:r>
      <w:r>
        <w:t>. Mối liên quan giữa mức độ tổn thương trên phim X-quang</w:t>
      </w:r>
      <w:r w:rsidR="009061D0">
        <w:t xml:space="preserve"> phổi</w:t>
      </w:r>
      <w:r>
        <w:t xml:space="preserve"> và tình trạng dinh dưỡng</w:t>
      </w:r>
    </w:p>
    <w:p w14:paraId="2A6BFCA4" w14:textId="33F3D9D9" w:rsidR="003234FE" w:rsidRDefault="003234FE" w:rsidP="009061D0">
      <w:pPr>
        <w:pStyle w:val="Caption"/>
        <w:rPr>
          <w:b w:val="0"/>
          <w:bCs/>
        </w:rPr>
      </w:pPr>
      <w:bookmarkStart w:id="95" w:name="_Toc133590759"/>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16</w:t>
      </w:r>
      <w:r w:rsidR="000A1A5C">
        <w:fldChar w:fldCharType="end"/>
      </w:r>
      <w:r>
        <w:t xml:space="preserve">. </w:t>
      </w:r>
      <w:r>
        <w:rPr>
          <w:bCs/>
        </w:rPr>
        <w:t>Mối liên quan giữa mức độ tổn thương trên</w:t>
      </w:r>
      <w:r w:rsidR="009061D0">
        <w:rPr>
          <w:bCs/>
        </w:rPr>
        <w:t xml:space="preserve"> phim</w:t>
      </w:r>
      <w:r>
        <w:rPr>
          <w:bCs/>
        </w:rPr>
        <w:t xml:space="preserve"> X-quang</w:t>
      </w:r>
      <w:r w:rsidR="009061D0">
        <w:rPr>
          <w:bCs/>
        </w:rPr>
        <w:t xml:space="preserve"> </w:t>
      </w:r>
      <w:r w:rsidR="009F2209">
        <w:rPr>
          <w:bCs/>
        </w:rPr>
        <w:t xml:space="preserve">phổi </w:t>
      </w:r>
      <w:r>
        <w:rPr>
          <w:bCs/>
        </w:rPr>
        <w:t>và TTDD theo BMI</w:t>
      </w:r>
      <w:bookmarkEnd w:id="95"/>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2F2074" w14:paraId="788E1FFB" w14:textId="77777777" w:rsidTr="00CB787E">
        <w:tc>
          <w:tcPr>
            <w:tcW w:w="1573" w:type="pct"/>
            <w:vMerge w:val="restart"/>
            <w:tcBorders>
              <w:tl2br w:val="single" w:sz="4" w:space="0" w:color="auto"/>
            </w:tcBorders>
          </w:tcPr>
          <w:p w14:paraId="5549227F" w14:textId="77777777" w:rsidR="002F2074" w:rsidRPr="002A15EF" w:rsidRDefault="002F2074" w:rsidP="00CB787E">
            <w:pPr>
              <w:jc w:val="right"/>
              <w:rPr>
                <w:b/>
                <w:bCs/>
                <w:szCs w:val="28"/>
              </w:rPr>
            </w:pPr>
            <w:r>
              <w:rPr>
                <w:b/>
                <w:bCs/>
                <w:szCs w:val="28"/>
              </w:rPr>
              <w:t>TTDD</w:t>
            </w:r>
          </w:p>
          <w:p w14:paraId="71BD523A" w14:textId="77777777" w:rsidR="002F2074" w:rsidRDefault="002F2074" w:rsidP="00CB787E">
            <w:pPr>
              <w:rPr>
                <w:b/>
                <w:bCs/>
                <w:szCs w:val="28"/>
              </w:rPr>
            </w:pPr>
          </w:p>
          <w:p w14:paraId="69E70FC3" w14:textId="7D8EA62E" w:rsidR="002F2074" w:rsidRPr="002A15EF" w:rsidRDefault="002F2074" w:rsidP="00CB787E">
            <w:pPr>
              <w:rPr>
                <w:b/>
                <w:bCs/>
                <w:szCs w:val="28"/>
              </w:rPr>
            </w:pPr>
            <w:r>
              <w:rPr>
                <w:b/>
                <w:bCs/>
                <w:szCs w:val="28"/>
              </w:rPr>
              <w:t>X-quang phổi</w:t>
            </w:r>
          </w:p>
        </w:tc>
        <w:tc>
          <w:tcPr>
            <w:tcW w:w="1783" w:type="pct"/>
            <w:gridSpan w:val="2"/>
          </w:tcPr>
          <w:p w14:paraId="6054A393" w14:textId="77777777" w:rsidR="002F2074" w:rsidRPr="002A15EF" w:rsidRDefault="002F2074" w:rsidP="00CB787E">
            <w:pPr>
              <w:jc w:val="center"/>
              <w:rPr>
                <w:b/>
                <w:bCs/>
                <w:szCs w:val="28"/>
              </w:rPr>
            </w:pPr>
            <w:r>
              <w:rPr>
                <w:b/>
                <w:bCs/>
                <w:szCs w:val="28"/>
              </w:rPr>
              <w:t>BMI</w:t>
            </w:r>
          </w:p>
        </w:tc>
        <w:tc>
          <w:tcPr>
            <w:tcW w:w="1037" w:type="pct"/>
            <w:vMerge w:val="restart"/>
          </w:tcPr>
          <w:p w14:paraId="2A142249" w14:textId="77777777" w:rsidR="002F2074" w:rsidRDefault="002F2074" w:rsidP="00CB787E">
            <w:pPr>
              <w:jc w:val="center"/>
              <w:rPr>
                <w:b/>
                <w:bCs/>
              </w:rPr>
            </w:pPr>
            <w:r>
              <w:rPr>
                <w:b/>
                <w:bCs/>
              </w:rPr>
              <w:t>OR</w:t>
            </w:r>
          </w:p>
          <w:p w14:paraId="617402DD" w14:textId="77777777" w:rsidR="002F2074" w:rsidRPr="002A15EF" w:rsidRDefault="002F2074" w:rsidP="00CB787E">
            <w:pPr>
              <w:jc w:val="center"/>
              <w:rPr>
                <w:b/>
                <w:bCs/>
              </w:rPr>
            </w:pPr>
            <w:r>
              <w:rPr>
                <w:b/>
                <w:bCs/>
              </w:rPr>
              <w:t>(95% CI)</w:t>
            </w:r>
          </w:p>
        </w:tc>
        <w:tc>
          <w:tcPr>
            <w:tcW w:w="607" w:type="pct"/>
            <w:vMerge w:val="restart"/>
          </w:tcPr>
          <w:p w14:paraId="3A9EC8E7" w14:textId="77777777" w:rsidR="002F2074" w:rsidRPr="002A15EF" w:rsidRDefault="002F2074" w:rsidP="00CB787E">
            <w:pPr>
              <w:jc w:val="center"/>
              <w:rPr>
                <w:b/>
                <w:bCs/>
                <w:szCs w:val="28"/>
              </w:rPr>
            </w:pPr>
            <w:r w:rsidRPr="002A15EF">
              <w:rPr>
                <w:b/>
                <w:bCs/>
                <w:szCs w:val="28"/>
              </w:rPr>
              <w:t>p</w:t>
            </w:r>
          </w:p>
        </w:tc>
      </w:tr>
      <w:tr w:rsidR="002F2074" w14:paraId="3C9BC784" w14:textId="77777777" w:rsidTr="00CB787E">
        <w:tc>
          <w:tcPr>
            <w:tcW w:w="1573" w:type="pct"/>
            <w:vMerge/>
            <w:tcBorders>
              <w:tl2br w:val="single" w:sz="4" w:space="0" w:color="auto"/>
            </w:tcBorders>
          </w:tcPr>
          <w:p w14:paraId="7F6DC6C2" w14:textId="77777777" w:rsidR="002F2074" w:rsidRPr="002A15EF" w:rsidRDefault="002F2074" w:rsidP="00CB787E">
            <w:pPr>
              <w:rPr>
                <w:szCs w:val="28"/>
              </w:rPr>
            </w:pPr>
          </w:p>
        </w:tc>
        <w:tc>
          <w:tcPr>
            <w:tcW w:w="943" w:type="pct"/>
          </w:tcPr>
          <w:p w14:paraId="316EF3F1" w14:textId="77777777" w:rsidR="002F2074" w:rsidRDefault="002F2074" w:rsidP="00CB787E">
            <w:pPr>
              <w:jc w:val="center"/>
              <w:rPr>
                <w:b/>
                <w:bCs/>
                <w:szCs w:val="28"/>
              </w:rPr>
            </w:pPr>
            <w:r>
              <w:rPr>
                <w:b/>
                <w:bCs/>
                <w:szCs w:val="28"/>
              </w:rPr>
              <w:t>Không SDD</w:t>
            </w:r>
          </w:p>
          <w:p w14:paraId="08913AF2" w14:textId="77777777" w:rsidR="002F2074" w:rsidRPr="002A15EF" w:rsidRDefault="002F2074"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468F19F3" w14:textId="77777777" w:rsidR="002F2074" w:rsidRPr="002A15EF" w:rsidRDefault="002F2074"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7AE3566A" w14:textId="77777777" w:rsidR="002F2074" w:rsidRPr="002A15EF" w:rsidRDefault="002F2074" w:rsidP="00CB787E">
            <w:pPr>
              <w:jc w:val="center"/>
            </w:pPr>
          </w:p>
        </w:tc>
        <w:tc>
          <w:tcPr>
            <w:tcW w:w="607" w:type="pct"/>
            <w:vMerge/>
          </w:tcPr>
          <w:p w14:paraId="7E772A39" w14:textId="77777777" w:rsidR="002F2074" w:rsidRPr="002A15EF" w:rsidRDefault="002F2074" w:rsidP="00CB787E">
            <w:pPr>
              <w:jc w:val="center"/>
              <w:rPr>
                <w:szCs w:val="28"/>
              </w:rPr>
            </w:pPr>
          </w:p>
        </w:tc>
      </w:tr>
      <w:tr w:rsidR="00AA28AB" w14:paraId="0B20015D" w14:textId="77777777" w:rsidTr="00CB787E">
        <w:trPr>
          <w:trHeight w:val="354"/>
        </w:trPr>
        <w:tc>
          <w:tcPr>
            <w:tcW w:w="1573" w:type="pct"/>
          </w:tcPr>
          <w:p w14:paraId="3F41E1B4" w14:textId="15CA8EEF" w:rsidR="00AA28AB" w:rsidRPr="003C2462" w:rsidRDefault="00AA28AB" w:rsidP="00AA28AB">
            <w:pPr>
              <w:rPr>
                <w:szCs w:val="28"/>
              </w:rPr>
            </w:pPr>
            <w:r>
              <w:rPr>
                <w:szCs w:val="28"/>
              </w:rPr>
              <w:t>Độ I</w:t>
            </w:r>
          </w:p>
        </w:tc>
        <w:tc>
          <w:tcPr>
            <w:tcW w:w="943" w:type="pct"/>
            <w:vAlign w:val="top"/>
          </w:tcPr>
          <w:p w14:paraId="5D7C8C8F" w14:textId="552271F2" w:rsidR="00AA28AB" w:rsidRPr="003C2462" w:rsidRDefault="00AA28AB" w:rsidP="00AA28AB">
            <w:pPr>
              <w:jc w:val="center"/>
              <w:rPr>
                <w:szCs w:val="28"/>
              </w:rPr>
            </w:pPr>
            <w:r>
              <w:t>77 (</w:t>
            </w:r>
            <w:r w:rsidRPr="00946903">
              <w:t>80.2%</w:t>
            </w:r>
            <w:r>
              <w:t>)</w:t>
            </w:r>
          </w:p>
        </w:tc>
        <w:tc>
          <w:tcPr>
            <w:tcW w:w="840" w:type="pct"/>
            <w:vAlign w:val="top"/>
          </w:tcPr>
          <w:p w14:paraId="0E291F72" w14:textId="739E125A" w:rsidR="00AA28AB" w:rsidRPr="003C2462" w:rsidRDefault="00AA28AB" w:rsidP="00AA28AB">
            <w:pPr>
              <w:jc w:val="center"/>
              <w:rPr>
                <w:szCs w:val="28"/>
              </w:rPr>
            </w:pPr>
            <w:r>
              <w:t>19 (</w:t>
            </w:r>
            <w:r w:rsidRPr="00946903">
              <w:t>19.8%</w:t>
            </w:r>
            <w:r>
              <w:t>)</w:t>
            </w:r>
          </w:p>
        </w:tc>
        <w:tc>
          <w:tcPr>
            <w:tcW w:w="1037" w:type="pct"/>
            <w:vMerge w:val="restart"/>
          </w:tcPr>
          <w:p w14:paraId="59DD6555" w14:textId="77777777" w:rsidR="00EF3456" w:rsidRDefault="00EF3456" w:rsidP="00AA28AB">
            <w:pPr>
              <w:jc w:val="center"/>
            </w:pPr>
            <w:r w:rsidRPr="00EF3456">
              <w:t>3.121</w:t>
            </w:r>
          </w:p>
          <w:p w14:paraId="7D4FCAD0" w14:textId="06323422" w:rsidR="00AA28AB" w:rsidRPr="003C2462" w:rsidRDefault="00EF3456" w:rsidP="00AA28AB">
            <w:pPr>
              <w:jc w:val="center"/>
            </w:pPr>
            <w:r>
              <w:t>(</w:t>
            </w:r>
            <w:r w:rsidRPr="00EF3456">
              <w:t>1.722</w:t>
            </w:r>
            <w:r>
              <w:t>-</w:t>
            </w:r>
            <w:r w:rsidRPr="00EF3456">
              <w:t>5.656</w:t>
            </w:r>
            <w:r>
              <w:t>)</w:t>
            </w:r>
          </w:p>
        </w:tc>
        <w:tc>
          <w:tcPr>
            <w:tcW w:w="607" w:type="pct"/>
            <w:vMerge w:val="restart"/>
          </w:tcPr>
          <w:p w14:paraId="792492C8" w14:textId="67DC29F1" w:rsidR="00AA28AB" w:rsidRPr="003C2462" w:rsidRDefault="003451AC" w:rsidP="00AA28AB">
            <w:pPr>
              <w:jc w:val="center"/>
              <w:rPr>
                <w:szCs w:val="28"/>
              </w:rPr>
            </w:pPr>
            <w:r>
              <w:rPr>
                <w:szCs w:val="28"/>
              </w:rPr>
              <w:t>&lt;</w:t>
            </w:r>
            <w:r w:rsidR="00AA28AB">
              <w:rPr>
                <w:szCs w:val="28"/>
              </w:rPr>
              <w:t>0</w:t>
            </w:r>
            <w:r w:rsidR="00072C2E">
              <w:rPr>
                <w:szCs w:val="28"/>
              </w:rPr>
              <w:t>.00</w:t>
            </w:r>
            <w:r>
              <w:rPr>
                <w:szCs w:val="28"/>
              </w:rPr>
              <w:t>1</w:t>
            </w:r>
          </w:p>
        </w:tc>
      </w:tr>
      <w:tr w:rsidR="00AA28AB" w14:paraId="3B594F9F" w14:textId="77777777" w:rsidTr="00CB787E">
        <w:trPr>
          <w:trHeight w:val="70"/>
        </w:trPr>
        <w:tc>
          <w:tcPr>
            <w:tcW w:w="1573" w:type="pct"/>
          </w:tcPr>
          <w:p w14:paraId="65E10641" w14:textId="5B9B4489" w:rsidR="00AA28AB" w:rsidRPr="003C2462" w:rsidRDefault="00AA28AB" w:rsidP="00AA28AB">
            <w:pPr>
              <w:rPr>
                <w:szCs w:val="28"/>
              </w:rPr>
            </w:pPr>
            <w:r>
              <w:rPr>
                <w:szCs w:val="28"/>
              </w:rPr>
              <w:t>Độ II và III</w:t>
            </w:r>
          </w:p>
        </w:tc>
        <w:tc>
          <w:tcPr>
            <w:tcW w:w="943" w:type="pct"/>
            <w:vAlign w:val="top"/>
          </w:tcPr>
          <w:p w14:paraId="04B9D1AB" w14:textId="469A2536" w:rsidR="00AA28AB" w:rsidRPr="003C2462" w:rsidRDefault="005A4AD3" w:rsidP="00AA28AB">
            <w:pPr>
              <w:jc w:val="center"/>
              <w:rPr>
                <w:szCs w:val="28"/>
              </w:rPr>
            </w:pPr>
            <w:r>
              <w:t>87 (</w:t>
            </w:r>
            <w:r w:rsidR="00AA28AB" w:rsidRPr="000D4E27">
              <w:t>56.5%</w:t>
            </w:r>
            <w:r>
              <w:t>)</w:t>
            </w:r>
          </w:p>
        </w:tc>
        <w:tc>
          <w:tcPr>
            <w:tcW w:w="840" w:type="pct"/>
            <w:vAlign w:val="top"/>
          </w:tcPr>
          <w:p w14:paraId="67AD4FBB" w14:textId="4BC56DF7" w:rsidR="00AA28AB" w:rsidRPr="003C2462" w:rsidRDefault="005A4AD3" w:rsidP="00AA28AB">
            <w:pPr>
              <w:jc w:val="center"/>
              <w:rPr>
                <w:szCs w:val="28"/>
              </w:rPr>
            </w:pPr>
            <w:r>
              <w:t>67 (</w:t>
            </w:r>
            <w:r w:rsidR="00AA28AB" w:rsidRPr="000D4E27">
              <w:t>43.5%</w:t>
            </w:r>
            <w:r>
              <w:t>)</w:t>
            </w:r>
          </w:p>
        </w:tc>
        <w:tc>
          <w:tcPr>
            <w:tcW w:w="1037" w:type="pct"/>
            <w:vMerge/>
          </w:tcPr>
          <w:p w14:paraId="7ED8A520" w14:textId="77777777" w:rsidR="00AA28AB" w:rsidRPr="003C2462" w:rsidRDefault="00AA28AB" w:rsidP="00AA28AB">
            <w:pPr>
              <w:jc w:val="center"/>
            </w:pPr>
          </w:p>
        </w:tc>
        <w:tc>
          <w:tcPr>
            <w:tcW w:w="607" w:type="pct"/>
            <w:vMerge/>
          </w:tcPr>
          <w:p w14:paraId="5843C7EA" w14:textId="77777777" w:rsidR="00AA28AB" w:rsidRPr="003C2462" w:rsidRDefault="00AA28AB" w:rsidP="00AA28AB">
            <w:pPr>
              <w:jc w:val="center"/>
              <w:rPr>
                <w:szCs w:val="28"/>
              </w:rPr>
            </w:pPr>
          </w:p>
        </w:tc>
      </w:tr>
    </w:tbl>
    <w:p w14:paraId="6F1DE863" w14:textId="7C3E9431" w:rsidR="0063060A" w:rsidRDefault="0063060A" w:rsidP="0063060A">
      <w:pPr>
        <w:tabs>
          <w:tab w:val="left" w:pos="2400"/>
        </w:tabs>
        <w:spacing w:before="160"/>
      </w:pPr>
      <w:r>
        <w:t xml:space="preserve">Nhận xét: </w:t>
      </w:r>
      <w:r w:rsidR="00C014BE">
        <w:t>B</w:t>
      </w:r>
      <w:r>
        <w:t xml:space="preserve">ệnh nhân </w:t>
      </w:r>
      <w:r w:rsidR="006B048C">
        <w:t>tổn thương phổi</w:t>
      </w:r>
      <w:r w:rsidR="00422EFA">
        <w:t xml:space="preserve"> độ I</w:t>
      </w:r>
      <w:r w:rsidR="006B048C">
        <w:t xml:space="preserve"> trên phim X-quang</w:t>
      </w:r>
      <w:r>
        <w:t xml:space="preserve"> có tỷ lệ SDD là </w:t>
      </w:r>
      <w:r w:rsidR="00422EFA" w:rsidRPr="00946903">
        <w:t>19.8</w:t>
      </w:r>
      <w:r w:rsidRPr="006B18A8">
        <w:t>%</w:t>
      </w:r>
      <w:r>
        <w:t xml:space="preserve"> thấp hơn bệnh nhân </w:t>
      </w:r>
      <w:r w:rsidR="000065BD">
        <w:t>tổn thương phổi độ II và III trên phim X-quang</w:t>
      </w:r>
      <w:r>
        <w:t xml:space="preserve"> là 4</w:t>
      </w:r>
      <w:r w:rsidR="00DF48F0">
        <w:t>3</w:t>
      </w:r>
      <w:r w:rsidRPr="00D16334">
        <w:t>.</w:t>
      </w:r>
      <w:r w:rsidR="00DF48F0">
        <w:t>5</w:t>
      </w:r>
      <w:r w:rsidRPr="00D16334">
        <w:t>%</w:t>
      </w:r>
      <w:r>
        <w:t xml:space="preserve">. </w:t>
      </w:r>
      <w:r w:rsidR="00B37B01">
        <w:t xml:space="preserve">OR = 3.121, khoảng tin cậy 95% của OR là </w:t>
      </w:r>
      <w:r w:rsidR="00B37B01" w:rsidRPr="00EF3456">
        <w:t>1.722</w:t>
      </w:r>
      <w:r w:rsidR="00B37B01">
        <w:t>-</w:t>
      </w:r>
      <w:r w:rsidR="00B37B01" w:rsidRPr="00EF3456">
        <w:t>5.656</w:t>
      </w:r>
      <w:r w:rsidR="00B37B01">
        <w:t>,</w:t>
      </w:r>
      <w:r>
        <w:t xml:space="preserve"> sự khác biệt có ý nghĩa thống kê với p </w:t>
      </w:r>
      <w:r w:rsidR="00B37B01">
        <w:t>&lt;</w:t>
      </w:r>
      <w:r>
        <w:t xml:space="preserve"> 0</w:t>
      </w:r>
      <w:r w:rsidRPr="00802A61">
        <w:t>.</w:t>
      </w:r>
      <w:r w:rsidR="00B37B01">
        <w:t>0</w:t>
      </w:r>
      <w:r>
        <w:t>0</w:t>
      </w:r>
      <w:r w:rsidR="00B37B01">
        <w:t>1</w:t>
      </w:r>
      <w:r>
        <w:t>.</w:t>
      </w:r>
    </w:p>
    <w:p w14:paraId="11879C5A" w14:textId="66C3C0A7" w:rsidR="003234FE" w:rsidRDefault="003234FE" w:rsidP="003234FE">
      <w:pPr>
        <w:pStyle w:val="Caption"/>
        <w:rPr>
          <w:b w:val="0"/>
          <w:bCs/>
        </w:rPr>
      </w:pPr>
      <w:bookmarkStart w:id="96" w:name="_Toc133590760"/>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17</w:t>
      </w:r>
      <w:r w:rsidR="000A1A5C">
        <w:fldChar w:fldCharType="end"/>
      </w:r>
      <w:r>
        <w:t xml:space="preserve">. </w:t>
      </w:r>
      <w:r>
        <w:rPr>
          <w:bCs/>
        </w:rPr>
        <w:t>Mối liên quan giữa mức độ tổn thương trên</w:t>
      </w:r>
      <w:r w:rsidR="009061D0">
        <w:rPr>
          <w:bCs/>
        </w:rPr>
        <w:t xml:space="preserve"> phim</w:t>
      </w:r>
      <w:r>
        <w:rPr>
          <w:bCs/>
        </w:rPr>
        <w:t xml:space="preserve"> X-quang</w:t>
      </w:r>
      <w:r w:rsidR="009F2209">
        <w:rPr>
          <w:bCs/>
        </w:rPr>
        <w:t xml:space="preserve"> phổi</w:t>
      </w:r>
      <w:r w:rsidR="009061D0">
        <w:rPr>
          <w:bCs/>
        </w:rPr>
        <w:t xml:space="preserve"> </w:t>
      </w:r>
      <w:r>
        <w:rPr>
          <w:bCs/>
        </w:rPr>
        <w:t>và TTDD theo SGA</w:t>
      </w:r>
      <w:bookmarkEnd w:id="96"/>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2F2074" w14:paraId="5AC3A08E" w14:textId="77777777" w:rsidTr="00CB787E">
        <w:tc>
          <w:tcPr>
            <w:tcW w:w="1573" w:type="pct"/>
            <w:vMerge w:val="restart"/>
            <w:tcBorders>
              <w:tl2br w:val="single" w:sz="4" w:space="0" w:color="auto"/>
            </w:tcBorders>
          </w:tcPr>
          <w:p w14:paraId="4FD82EA6" w14:textId="77777777" w:rsidR="002F2074" w:rsidRPr="002A15EF" w:rsidRDefault="002F2074" w:rsidP="00CB787E">
            <w:pPr>
              <w:jc w:val="right"/>
              <w:rPr>
                <w:b/>
                <w:bCs/>
                <w:szCs w:val="28"/>
              </w:rPr>
            </w:pPr>
            <w:r>
              <w:rPr>
                <w:b/>
                <w:bCs/>
                <w:szCs w:val="28"/>
              </w:rPr>
              <w:lastRenderedPageBreak/>
              <w:t>TTDD</w:t>
            </w:r>
          </w:p>
          <w:p w14:paraId="33827A2F" w14:textId="77777777" w:rsidR="002F2074" w:rsidRDefault="002F2074" w:rsidP="00CB787E">
            <w:pPr>
              <w:rPr>
                <w:b/>
                <w:bCs/>
                <w:szCs w:val="28"/>
              </w:rPr>
            </w:pPr>
          </w:p>
          <w:p w14:paraId="2F963BC9" w14:textId="77777777" w:rsidR="002F2074" w:rsidRPr="002A15EF" w:rsidRDefault="002F2074" w:rsidP="00CB787E">
            <w:pPr>
              <w:rPr>
                <w:b/>
                <w:bCs/>
                <w:szCs w:val="28"/>
              </w:rPr>
            </w:pPr>
            <w:r>
              <w:rPr>
                <w:b/>
                <w:bCs/>
                <w:szCs w:val="28"/>
              </w:rPr>
              <w:t>X-quang phổi</w:t>
            </w:r>
          </w:p>
        </w:tc>
        <w:tc>
          <w:tcPr>
            <w:tcW w:w="1783" w:type="pct"/>
            <w:gridSpan w:val="2"/>
          </w:tcPr>
          <w:p w14:paraId="31805846" w14:textId="6C14637E" w:rsidR="002F2074" w:rsidRPr="002A15EF" w:rsidRDefault="00EE7376" w:rsidP="00CB787E">
            <w:pPr>
              <w:jc w:val="center"/>
              <w:rPr>
                <w:b/>
                <w:bCs/>
                <w:szCs w:val="28"/>
              </w:rPr>
            </w:pPr>
            <w:r>
              <w:rPr>
                <w:b/>
                <w:bCs/>
                <w:szCs w:val="28"/>
              </w:rPr>
              <w:t>SGA</w:t>
            </w:r>
          </w:p>
        </w:tc>
        <w:tc>
          <w:tcPr>
            <w:tcW w:w="1037" w:type="pct"/>
            <w:vMerge w:val="restart"/>
          </w:tcPr>
          <w:p w14:paraId="23C74F7F" w14:textId="77777777" w:rsidR="002F2074" w:rsidRDefault="002F2074" w:rsidP="00CB787E">
            <w:pPr>
              <w:jc w:val="center"/>
              <w:rPr>
                <w:b/>
                <w:bCs/>
              </w:rPr>
            </w:pPr>
            <w:r>
              <w:rPr>
                <w:b/>
                <w:bCs/>
              </w:rPr>
              <w:t>OR</w:t>
            </w:r>
          </w:p>
          <w:p w14:paraId="30417B5A" w14:textId="77777777" w:rsidR="002F2074" w:rsidRPr="002A15EF" w:rsidRDefault="002F2074" w:rsidP="00CB787E">
            <w:pPr>
              <w:jc w:val="center"/>
              <w:rPr>
                <w:b/>
                <w:bCs/>
              </w:rPr>
            </w:pPr>
            <w:r>
              <w:rPr>
                <w:b/>
                <w:bCs/>
              </w:rPr>
              <w:t>(95% CI)</w:t>
            </w:r>
          </w:p>
        </w:tc>
        <w:tc>
          <w:tcPr>
            <w:tcW w:w="607" w:type="pct"/>
            <w:vMerge w:val="restart"/>
          </w:tcPr>
          <w:p w14:paraId="5B25F8B8" w14:textId="77777777" w:rsidR="002F2074" w:rsidRPr="002A15EF" w:rsidRDefault="002F2074" w:rsidP="00CB787E">
            <w:pPr>
              <w:jc w:val="center"/>
              <w:rPr>
                <w:b/>
                <w:bCs/>
                <w:szCs w:val="28"/>
              </w:rPr>
            </w:pPr>
            <w:r w:rsidRPr="002A15EF">
              <w:rPr>
                <w:b/>
                <w:bCs/>
                <w:szCs w:val="28"/>
              </w:rPr>
              <w:t>p</w:t>
            </w:r>
          </w:p>
        </w:tc>
      </w:tr>
      <w:tr w:rsidR="002F2074" w14:paraId="13335829" w14:textId="77777777" w:rsidTr="00CB787E">
        <w:tc>
          <w:tcPr>
            <w:tcW w:w="1573" w:type="pct"/>
            <w:vMerge/>
            <w:tcBorders>
              <w:tl2br w:val="single" w:sz="4" w:space="0" w:color="auto"/>
            </w:tcBorders>
          </w:tcPr>
          <w:p w14:paraId="1DF34F24" w14:textId="77777777" w:rsidR="002F2074" w:rsidRPr="002A15EF" w:rsidRDefault="002F2074" w:rsidP="00CB787E">
            <w:pPr>
              <w:rPr>
                <w:szCs w:val="28"/>
              </w:rPr>
            </w:pPr>
          </w:p>
        </w:tc>
        <w:tc>
          <w:tcPr>
            <w:tcW w:w="943" w:type="pct"/>
          </w:tcPr>
          <w:p w14:paraId="1A2FCC9B" w14:textId="77777777" w:rsidR="002F2074" w:rsidRDefault="002F2074" w:rsidP="00CB787E">
            <w:pPr>
              <w:jc w:val="center"/>
              <w:rPr>
                <w:b/>
                <w:bCs/>
                <w:szCs w:val="28"/>
              </w:rPr>
            </w:pPr>
            <w:r>
              <w:rPr>
                <w:b/>
                <w:bCs/>
                <w:szCs w:val="28"/>
              </w:rPr>
              <w:t>Không SDD</w:t>
            </w:r>
          </w:p>
          <w:p w14:paraId="36C91673" w14:textId="77777777" w:rsidR="002F2074" w:rsidRPr="002A15EF" w:rsidRDefault="002F2074"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5B6EFFD5" w14:textId="77777777" w:rsidR="002F2074" w:rsidRPr="002A15EF" w:rsidRDefault="002F2074"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4C598836" w14:textId="77777777" w:rsidR="002F2074" w:rsidRPr="002A15EF" w:rsidRDefault="002F2074" w:rsidP="00CB787E">
            <w:pPr>
              <w:jc w:val="center"/>
            </w:pPr>
          </w:p>
        </w:tc>
        <w:tc>
          <w:tcPr>
            <w:tcW w:w="607" w:type="pct"/>
            <w:vMerge/>
          </w:tcPr>
          <w:p w14:paraId="21CB66CC" w14:textId="77777777" w:rsidR="002F2074" w:rsidRPr="002A15EF" w:rsidRDefault="002F2074" w:rsidP="00CB787E">
            <w:pPr>
              <w:jc w:val="center"/>
              <w:rPr>
                <w:szCs w:val="28"/>
              </w:rPr>
            </w:pPr>
          </w:p>
        </w:tc>
      </w:tr>
      <w:tr w:rsidR="0038404C" w14:paraId="77AD872B" w14:textId="77777777" w:rsidTr="00CB787E">
        <w:trPr>
          <w:trHeight w:val="354"/>
        </w:trPr>
        <w:tc>
          <w:tcPr>
            <w:tcW w:w="1573" w:type="pct"/>
          </w:tcPr>
          <w:p w14:paraId="33C9CB47" w14:textId="66491FE3" w:rsidR="0038404C" w:rsidRPr="003C2462" w:rsidRDefault="0038404C" w:rsidP="0038404C">
            <w:pPr>
              <w:rPr>
                <w:szCs w:val="28"/>
              </w:rPr>
            </w:pPr>
            <w:r>
              <w:rPr>
                <w:szCs w:val="28"/>
              </w:rPr>
              <w:t>Độ I</w:t>
            </w:r>
          </w:p>
        </w:tc>
        <w:tc>
          <w:tcPr>
            <w:tcW w:w="943" w:type="pct"/>
            <w:vAlign w:val="top"/>
          </w:tcPr>
          <w:p w14:paraId="5F8826FA" w14:textId="44FCFE15" w:rsidR="0038404C" w:rsidRPr="003C2462" w:rsidRDefault="0038404C" w:rsidP="0038404C">
            <w:pPr>
              <w:jc w:val="center"/>
              <w:rPr>
                <w:szCs w:val="28"/>
              </w:rPr>
            </w:pPr>
            <w:r>
              <w:t>71 (</w:t>
            </w:r>
            <w:r w:rsidRPr="00892A4C">
              <w:t>74.0%</w:t>
            </w:r>
            <w:r>
              <w:t>)</w:t>
            </w:r>
          </w:p>
        </w:tc>
        <w:tc>
          <w:tcPr>
            <w:tcW w:w="840" w:type="pct"/>
            <w:vAlign w:val="top"/>
          </w:tcPr>
          <w:p w14:paraId="054C29E7" w14:textId="5449D784" w:rsidR="0038404C" w:rsidRPr="003C2462" w:rsidRDefault="0038404C" w:rsidP="0038404C">
            <w:pPr>
              <w:jc w:val="center"/>
              <w:rPr>
                <w:szCs w:val="28"/>
              </w:rPr>
            </w:pPr>
            <w:r>
              <w:t>25 (</w:t>
            </w:r>
            <w:r w:rsidRPr="00892A4C">
              <w:t>26.0%</w:t>
            </w:r>
            <w:r>
              <w:t>)</w:t>
            </w:r>
          </w:p>
        </w:tc>
        <w:tc>
          <w:tcPr>
            <w:tcW w:w="1037" w:type="pct"/>
            <w:vMerge w:val="restart"/>
          </w:tcPr>
          <w:p w14:paraId="466D28D4" w14:textId="77777777" w:rsidR="001562AC" w:rsidRDefault="001562AC" w:rsidP="0038404C">
            <w:pPr>
              <w:jc w:val="center"/>
            </w:pPr>
            <w:r w:rsidRPr="001562AC">
              <w:t>2.246</w:t>
            </w:r>
          </w:p>
          <w:p w14:paraId="7B947029" w14:textId="053D12CE" w:rsidR="0038404C" w:rsidRPr="003C2462" w:rsidRDefault="001562AC" w:rsidP="0038404C">
            <w:pPr>
              <w:jc w:val="center"/>
            </w:pPr>
            <w:r>
              <w:t>(</w:t>
            </w:r>
            <w:r w:rsidRPr="001562AC">
              <w:t>1.288</w:t>
            </w:r>
            <w:r>
              <w:t>-</w:t>
            </w:r>
            <w:r w:rsidRPr="001562AC">
              <w:t>3.915</w:t>
            </w:r>
            <w:r>
              <w:t>)</w:t>
            </w:r>
          </w:p>
        </w:tc>
        <w:tc>
          <w:tcPr>
            <w:tcW w:w="607" w:type="pct"/>
            <w:vMerge w:val="restart"/>
          </w:tcPr>
          <w:p w14:paraId="089FDB52" w14:textId="44281814" w:rsidR="0038404C" w:rsidRPr="003C2462" w:rsidRDefault="0038404C" w:rsidP="0038404C">
            <w:pPr>
              <w:jc w:val="center"/>
              <w:rPr>
                <w:szCs w:val="28"/>
              </w:rPr>
            </w:pPr>
            <w:r>
              <w:rPr>
                <w:szCs w:val="28"/>
              </w:rPr>
              <w:t>0.</w:t>
            </w:r>
            <w:r w:rsidR="00CE7C5D">
              <w:rPr>
                <w:szCs w:val="28"/>
              </w:rPr>
              <w:t>0</w:t>
            </w:r>
            <w:r>
              <w:rPr>
                <w:szCs w:val="28"/>
              </w:rPr>
              <w:t>0</w:t>
            </w:r>
            <w:r w:rsidR="00CE7C5D">
              <w:rPr>
                <w:szCs w:val="28"/>
              </w:rPr>
              <w:t>6</w:t>
            </w:r>
          </w:p>
        </w:tc>
      </w:tr>
      <w:tr w:rsidR="0038404C" w14:paraId="48CF9F1F" w14:textId="77777777" w:rsidTr="00CB787E">
        <w:trPr>
          <w:trHeight w:val="70"/>
        </w:trPr>
        <w:tc>
          <w:tcPr>
            <w:tcW w:w="1573" w:type="pct"/>
          </w:tcPr>
          <w:p w14:paraId="5727672B" w14:textId="614A865D" w:rsidR="0038404C" w:rsidRPr="003C2462" w:rsidRDefault="0038404C" w:rsidP="0038404C">
            <w:pPr>
              <w:rPr>
                <w:szCs w:val="28"/>
              </w:rPr>
            </w:pPr>
            <w:r>
              <w:rPr>
                <w:szCs w:val="28"/>
              </w:rPr>
              <w:t>Độ II và III</w:t>
            </w:r>
          </w:p>
        </w:tc>
        <w:tc>
          <w:tcPr>
            <w:tcW w:w="943" w:type="pct"/>
            <w:vAlign w:val="top"/>
          </w:tcPr>
          <w:p w14:paraId="1DADC1DA" w14:textId="080DC82D" w:rsidR="0038404C" w:rsidRPr="003C2462" w:rsidRDefault="00662383" w:rsidP="0038404C">
            <w:pPr>
              <w:jc w:val="center"/>
              <w:rPr>
                <w:szCs w:val="28"/>
              </w:rPr>
            </w:pPr>
            <w:r>
              <w:t>86 (</w:t>
            </w:r>
            <w:r w:rsidR="0038404C" w:rsidRPr="00D319D7">
              <w:t>55.8%</w:t>
            </w:r>
            <w:r>
              <w:t>)</w:t>
            </w:r>
          </w:p>
        </w:tc>
        <w:tc>
          <w:tcPr>
            <w:tcW w:w="840" w:type="pct"/>
            <w:vAlign w:val="top"/>
          </w:tcPr>
          <w:p w14:paraId="2DF28AE2" w14:textId="56EBA9EE" w:rsidR="0038404C" w:rsidRPr="003C2462" w:rsidRDefault="00662383" w:rsidP="0038404C">
            <w:pPr>
              <w:jc w:val="center"/>
              <w:rPr>
                <w:szCs w:val="28"/>
              </w:rPr>
            </w:pPr>
            <w:r>
              <w:t>68 (</w:t>
            </w:r>
            <w:r w:rsidR="0038404C" w:rsidRPr="00D319D7">
              <w:t>44.2%</w:t>
            </w:r>
            <w:r>
              <w:t>)</w:t>
            </w:r>
          </w:p>
        </w:tc>
        <w:tc>
          <w:tcPr>
            <w:tcW w:w="1037" w:type="pct"/>
            <w:vMerge/>
          </w:tcPr>
          <w:p w14:paraId="4CC6CCE7" w14:textId="77777777" w:rsidR="0038404C" w:rsidRPr="003C2462" w:rsidRDefault="0038404C" w:rsidP="0038404C">
            <w:pPr>
              <w:jc w:val="center"/>
            </w:pPr>
          </w:p>
        </w:tc>
        <w:tc>
          <w:tcPr>
            <w:tcW w:w="607" w:type="pct"/>
            <w:vMerge/>
          </w:tcPr>
          <w:p w14:paraId="01AF9ABB" w14:textId="77777777" w:rsidR="0038404C" w:rsidRPr="003C2462" w:rsidRDefault="0038404C" w:rsidP="0038404C">
            <w:pPr>
              <w:jc w:val="center"/>
              <w:rPr>
                <w:szCs w:val="28"/>
              </w:rPr>
            </w:pPr>
          </w:p>
        </w:tc>
      </w:tr>
    </w:tbl>
    <w:p w14:paraId="0A3FDBBA" w14:textId="0B6ED742" w:rsidR="00957A58" w:rsidRDefault="00957A58" w:rsidP="00957A58">
      <w:pPr>
        <w:tabs>
          <w:tab w:val="left" w:pos="2400"/>
        </w:tabs>
        <w:spacing w:before="160"/>
      </w:pPr>
      <w:r>
        <w:t xml:space="preserve">Nhận xét: </w:t>
      </w:r>
      <w:r w:rsidR="00493204">
        <w:t>B</w:t>
      </w:r>
      <w:r>
        <w:t xml:space="preserve">ệnh nhân tổn thương phổi độ I trên phim X-quang có tỷ lệ SDD là </w:t>
      </w:r>
      <w:r w:rsidR="00657D91">
        <w:t>26</w:t>
      </w:r>
      <w:r w:rsidRPr="00946903">
        <w:t>.</w:t>
      </w:r>
      <w:r w:rsidR="00657D91">
        <w:t>0</w:t>
      </w:r>
      <w:r w:rsidRPr="006B18A8">
        <w:t>%</w:t>
      </w:r>
      <w:r>
        <w:t xml:space="preserve"> thấp hơn bệnh nhân tổn thương phổi độ II và III trên phim X-quang là 4</w:t>
      </w:r>
      <w:r w:rsidR="00DD2DD0">
        <w:t>4</w:t>
      </w:r>
      <w:r w:rsidRPr="00D16334">
        <w:t>.</w:t>
      </w:r>
      <w:r w:rsidR="00DD2DD0">
        <w:t>2</w:t>
      </w:r>
      <w:r w:rsidRPr="00D16334">
        <w:t>%</w:t>
      </w:r>
      <w:r>
        <w:t xml:space="preserve">. OR = </w:t>
      </w:r>
      <w:r w:rsidR="00854F5A">
        <w:t>2</w:t>
      </w:r>
      <w:r>
        <w:t>.</w:t>
      </w:r>
      <w:r w:rsidR="00854F5A">
        <w:t>246</w:t>
      </w:r>
      <w:r>
        <w:t xml:space="preserve">, khoảng tin cậy 95% của OR là </w:t>
      </w:r>
      <w:r w:rsidR="00193B50" w:rsidRPr="001562AC">
        <w:t>1.288</w:t>
      </w:r>
      <w:r w:rsidR="00193B50">
        <w:t>-</w:t>
      </w:r>
      <w:r w:rsidR="00193B50" w:rsidRPr="001562AC">
        <w:t>3.915</w:t>
      </w:r>
      <w:r>
        <w:t xml:space="preserve">, sự khác biệt có ý nghĩa thống kê với p </w:t>
      </w:r>
      <w:r w:rsidR="0004739E">
        <w:t>=</w:t>
      </w:r>
      <w:r>
        <w:t xml:space="preserve"> 0</w:t>
      </w:r>
      <w:r w:rsidRPr="00802A61">
        <w:t>.</w:t>
      </w:r>
      <w:r>
        <w:t>00</w:t>
      </w:r>
      <w:r w:rsidR="0004739E">
        <w:t>6</w:t>
      </w:r>
      <w:r>
        <w:t>.</w:t>
      </w:r>
    </w:p>
    <w:p w14:paraId="3035305C" w14:textId="32CC95C2" w:rsidR="00B66447" w:rsidRDefault="00AA7FE0" w:rsidP="00B66447">
      <w:pPr>
        <w:pStyle w:val="Heading3"/>
      </w:pPr>
      <w:r>
        <w:t>3.</w:t>
      </w:r>
      <w:r w:rsidR="009C1972">
        <w:t>3</w:t>
      </w:r>
      <w:r>
        <w:t>.</w:t>
      </w:r>
      <w:r w:rsidR="009C1972">
        <w:t>7</w:t>
      </w:r>
      <w:r>
        <w:t>. Mối liên quan giữa tổn thương trên phim X-quang phổi có hang và tình trạng dinh dưỡng</w:t>
      </w:r>
    </w:p>
    <w:p w14:paraId="642371FE" w14:textId="24143AC5" w:rsidR="0086510D" w:rsidRDefault="0086510D" w:rsidP="0086510D">
      <w:pPr>
        <w:pStyle w:val="Caption"/>
        <w:rPr>
          <w:b w:val="0"/>
          <w:bCs/>
        </w:rPr>
      </w:pPr>
      <w:bookmarkStart w:id="97" w:name="_Toc133590761"/>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18</w:t>
      </w:r>
      <w:r w:rsidR="000A1A5C">
        <w:fldChar w:fldCharType="end"/>
      </w:r>
      <w:r>
        <w:t xml:space="preserve">. </w:t>
      </w:r>
      <w:r>
        <w:rPr>
          <w:bCs/>
        </w:rPr>
        <w:t xml:space="preserve">Mối liên quan giữa tổn thương trên phim X-quang </w:t>
      </w:r>
      <w:r w:rsidR="009F2209">
        <w:rPr>
          <w:bCs/>
        </w:rPr>
        <w:t xml:space="preserve">phổi </w:t>
      </w:r>
      <w:r w:rsidR="00B66447">
        <w:rPr>
          <w:bCs/>
        </w:rPr>
        <w:t>có hang</w:t>
      </w:r>
      <w:r>
        <w:rPr>
          <w:bCs/>
        </w:rPr>
        <w:t xml:space="preserve"> và TTDD theo BMI</w:t>
      </w:r>
      <w:bookmarkEnd w:id="97"/>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980CC4" w14:paraId="71192D17" w14:textId="77777777" w:rsidTr="00CB787E">
        <w:tc>
          <w:tcPr>
            <w:tcW w:w="1573" w:type="pct"/>
            <w:vMerge w:val="restart"/>
            <w:tcBorders>
              <w:tl2br w:val="single" w:sz="4" w:space="0" w:color="auto"/>
            </w:tcBorders>
          </w:tcPr>
          <w:p w14:paraId="4BC78BE4" w14:textId="77777777" w:rsidR="00980CC4" w:rsidRPr="002A15EF" w:rsidRDefault="00980CC4" w:rsidP="00CB787E">
            <w:pPr>
              <w:jc w:val="right"/>
              <w:rPr>
                <w:b/>
                <w:bCs/>
                <w:szCs w:val="28"/>
              </w:rPr>
            </w:pPr>
            <w:r>
              <w:rPr>
                <w:b/>
                <w:bCs/>
                <w:szCs w:val="28"/>
              </w:rPr>
              <w:t>TTDD</w:t>
            </w:r>
          </w:p>
          <w:p w14:paraId="414E8025" w14:textId="77777777" w:rsidR="00980CC4" w:rsidRDefault="00980CC4" w:rsidP="00CB787E">
            <w:pPr>
              <w:rPr>
                <w:b/>
                <w:bCs/>
                <w:szCs w:val="28"/>
              </w:rPr>
            </w:pPr>
          </w:p>
          <w:p w14:paraId="7B96EEDE" w14:textId="77777777" w:rsidR="00980CC4" w:rsidRPr="002A15EF" w:rsidRDefault="00980CC4" w:rsidP="00CB787E">
            <w:pPr>
              <w:rPr>
                <w:b/>
                <w:bCs/>
                <w:szCs w:val="28"/>
              </w:rPr>
            </w:pPr>
            <w:r>
              <w:rPr>
                <w:b/>
                <w:bCs/>
                <w:szCs w:val="28"/>
              </w:rPr>
              <w:t>X-quang phổi</w:t>
            </w:r>
          </w:p>
        </w:tc>
        <w:tc>
          <w:tcPr>
            <w:tcW w:w="1783" w:type="pct"/>
            <w:gridSpan w:val="2"/>
          </w:tcPr>
          <w:p w14:paraId="6856BC46" w14:textId="77777777" w:rsidR="00980CC4" w:rsidRPr="002A15EF" w:rsidRDefault="00980CC4" w:rsidP="00CB787E">
            <w:pPr>
              <w:jc w:val="center"/>
              <w:rPr>
                <w:b/>
                <w:bCs/>
                <w:szCs w:val="28"/>
              </w:rPr>
            </w:pPr>
            <w:r>
              <w:rPr>
                <w:b/>
                <w:bCs/>
                <w:szCs w:val="28"/>
              </w:rPr>
              <w:t>BMI</w:t>
            </w:r>
          </w:p>
        </w:tc>
        <w:tc>
          <w:tcPr>
            <w:tcW w:w="1037" w:type="pct"/>
            <w:vMerge w:val="restart"/>
          </w:tcPr>
          <w:p w14:paraId="6281AC8F" w14:textId="77777777" w:rsidR="00980CC4" w:rsidRDefault="00980CC4" w:rsidP="00CB787E">
            <w:pPr>
              <w:jc w:val="center"/>
              <w:rPr>
                <w:b/>
                <w:bCs/>
              </w:rPr>
            </w:pPr>
            <w:r>
              <w:rPr>
                <w:b/>
                <w:bCs/>
              </w:rPr>
              <w:t>OR</w:t>
            </w:r>
          </w:p>
          <w:p w14:paraId="23C5CFB4" w14:textId="77777777" w:rsidR="00980CC4" w:rsidRPr="002A15EF" w:rsidRDefault="00980CC4" w:rsidP="00CB787E">
            <w:pPr>
              <w:jc w:val="center"/>
              <w:rPr>
                <w:b/>
                <w:bCs/>
              </w:rPr>
            </w:pPr>
            <w:r>
              <w:rPr>
                <w:b/>
                <w:bCs/>
              </w:rPr>
              <w:t>(95% CI)</w:t>
            </w:r>
          </w:p>
        </w:tc>
        <w:tc>
          <w:tcPr>
            <w:tcW w:w="607" w:type="pct"/>
            <w:vMerge w:val="restart"/>
          </w:tcPr>
          <w:p w14:paraId="76BDF97D" w14:textId="77777777" w:rsidR="00980CC4" w:rsidRPr="002A15EF" w:rsidRDefault="00980CC4" w:rsidP="00CB787E">
            <w:pPr>
              <w:jc w:val="center"/>
              <w:rPr>
                <w:b/>
                <w:bCs/>
                <w:szCs w:val="28"/>
              </w:rPr>
            </w:pPr>
            <w:r w:rsidRPr="002A15EF">
              <w:rPr>
                <w:b/>
                <w:bCs/>
                <w:szCs w:val="28"/>
              </w:rPr>
              <w:t>p</w:t>
            </w:r>
          </w:p>
        </w:tc>
      </w:tr>
      <w:tr w:rsidR="00980CC4" w14:paraId="61A7F82C" w14:textId="77777777" w:rsidTr="00CB787E">
        <w:tc>
          <w:tcPr>
            <w:tcW w:w="1573" w:type="pct"/>
            <w:vMerge/>
            <w:tcBorders>
              <w:tl2br w:val="single" w:sz="4" w:space="0" w:color="auto"/>
            </w:tcBorders>
          </w:tcPr>
          <w:p w14:paraId="6DE3AEC8" w14:textId="77777777" w:rsidR="00980CC4" w:rsidRPr="002A15EF" w:rsidRDefault="00980CC4" w:rsidP="00CB787E">
            <w:pPr>
              <w:rPr>
                <w:szCs w:val="28"/>
              </w:rPr>
            </w:pPr>
          </w:p>
        </w:tc>
        <w:tc>
          <w:tcPr>
            <w:tcW w:w="943" w:type="pct"/>
          </w:tcPr>
          <w:p w14:paraId="52B5305B" w14:textId="77777777" w:rsidR="00980CC4" w:rsidRDefault="00980CC4" w:rsidP="00CB787E">
            <w:pPr>
              <w:jc w:val="center"/>
              <w:rPr>
                <w:b/>
                <w:bCs/>
                <w:szCs w:val="28"/>
              </w:rPr>
            </w:pPr>
            <w:r>
              <w:rPr>
                <w:b/>
                <w:bCs/>
                <w:szCs w:val="28"/>
              </w:rPr>
              <w:t>Không SDD</w:t>
            </w:r>
          </w:p>
          <w:p w14:paraId="0C0CFD16" w14:textId="77777777" w:rsidR="00980CC4" w:rsidRPr="002A15EF" w:rsidRDefault="00980CC4"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6955E94A" w14:textId="77777777" w:rsidR="00980CC4" w:rsidRPr="002A15EF" w:rsidRDefault="00980CC4"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1FE3B3D8" w14:textId="77777777" w:rsidR="00980CC4" w:rsidRPr="002A15EF" w:rsidRDefault="00980CC4" w:rsidP="00CB787E">
            <w:pPr>
              <w:jc w:val="center"/>
            </w:pPr>
          </w:p>
        </w:tc>
        <w:tc>
          <w:tcPr>
            <w:tcW w:w="607" w:type="pct"/>
            <w:vMerge/>
          </w:tcPr>
          <w:p w14:paraId="7D7737E3" w14:textId="77777777" w:rsidR="00980CC4" w:rsidRPr="002A15EF" w:rsidRDefault="00980CC4" w:rsidP="00CB787E">
            <w:pPr>
              <w:jc w:val="center"/>
              <w:rPr>
                <w:szCs w:val="28"/>
              </w:rPr>
            </w:pPr>
          </w:p>
        </w:tc>
      </w:tr>
      <w:tr w:rsidR="006D5FB0" w14:paraId="16131F48" w14:textId="77777777" w:rsidTr="00CB787E">
        <w:trPr>
          <w:trHeight w:val="354"/>
        </w:trPr>
        <w:tc>
          <w:tcPr>
            <w:tcW w:w="1573" w:type="pct"/>
          </w:tcPr>
          <w:p w14:paraId="03E8A1CE" w14:textId="7EF211AB" w:rsidR="006D5FB0" w:rsidRPr="003C2462" w:rsidRDefault="006D5FB0" w:rsidP="006D5FB0">
            <w:pPr>
              <w:rPr>
                <w:szCs w:val="28"/>
              </w:rPr>
            </w:pPr>
            <w:r>
              <w:rPr>
                <w:szCs w:val="28"/>
              </w:rPr>
              <w:t>Không hang</w:t>
            </w:r>
          </w:p>
        </w:tc>
        <w:tc>
          <w:tcPr>
            <w:tcW w:w="943" w:type="pct"/>
            <w:vAlign w:val="top"/>
          </w:tcPr>
          <w:p w14:paraId="0E940BF1" w14:textId="7D12A10B" w:rsidR="006D5FB0" w:rsidRPr="003C2462" w:rsidRDefault="006D5FB0" w:rsidP="006D5FB0">
            <w:pPr>
              <w:jc w:val="center"/>
              <w:rPr>
                <w:szCs w:val="28"/>
              </w:rPr>
            </w:pPr>
            <w:r>
              <w:t>91 (</w:t>
            </w:r>
            <w:r w:rsidRPr="003E4CDA">
              <w:t>79.1%</w:t>
            </w:r>
            <w:r>
              <w:t>)</w:t>
            </w:r>
          </w:p>
        </w:tc>
        <w:tc>
          <w:tcPr>
            <w:tcW w:w="840" w:type="pct"/>
            <w:vAlign w:val="top"/>
          </w:tcPr>
          <w:p w14:paraId="609AE78D" w14:textId="6ABBF608" w:rsidR="006D5FB0" w:rsidRPr="003C2462" w:rsidRDefault="006D5FB0" w:rsidP="006D5FB0">
            <w:pPr>
              <w:jc w:val="center"/>
              <w:rPr>
                <w:szCs w:val="28"/>
              </w:rPr>
            </w:pPr>
            <w:r>
              <w:t>24 (</w:t>
            </w:r>
            <w:r w:rsidRPr="003E4CDA">
              <w:t>20.9%</w:t>
            </w:r>
            <w:r>
              <w:t>)</w:t>
            </w:r>
          </w:p>
        </w:tc>
        <w:tc>
          <w:tcPr>
            <w:tcW w:w="1037" w:type="pct"/>
            <w:vMerge w:val="restart"/>
          </w:tcPr>
          <w:p w14:paraId="01E3A3AC" w14:textId="77777777" w:rsidR="0061603B" w:rsidRDefault="0061603B" w:rsidP="006D5FB0">
            <w:pPr>
              <w:jc w:val="center"/>
            </w:pPr>
            <w:r w:rsidRPr="0061603B">
              <w:t>3.220</w:t>
            </w:r>
          </w:p>
          <w:p w14:paraId="158DEF0B" w14:textId="5F5135EB" w:rsidR="006D5FB0" w:rsidRPr="003C2462" w:rsidRDefault="0061603B" w:rsidP="0061603B">
            <w:pPr>
              <w:jc w:val="center"/>
            </w:pPr>
            <w:r>
              <w:t>(</w:t>
            </w:r>
            <w:r w:rsidRPr="0061603B">
              <w:t>1.834</w:t>
            </w:r>
            <w:r>
              <w:t>-</w:t>
            </w:r>
            <w:r w:rsidRPr="0061603B">
              <w:t>5.654</w:t>
            </w:r>
            <w:r>
              <w:t>)</w:t>
            </w:r>
          </w:p>
        </w:tc>
        <w:tc>
          <w:tcPr>
            <w:tcW w:w="607" w:type="pct"/>
            <w:vMerge w:val="restart"/>
          </w:tcPr>
          <w:p w14:paraId="01182369" w14:textId="77777777" w:rsidR="006D5FB0" w:rsidRPr="003C2462" w:rsidRDefault="006D5FB0" w:rsidP="006D5FB0">
            <w:pPr>
              <w:jc w:val="center"/>
              <w:rPr>
                <w:szCs w:val="28"/>
              </w:rPr>
            </w:pPr>
            <w:r>
              <w:rPr>
                <w:szCs w:val="28"/>
              </w:rPr>
              <w:t>&lt;0.001</w:t>
            </w:r>
          </w:p>
        </w:tc>
      </w:tr>
      <w:tr w:rsidR="006D5FB0" w14:paraId="4B928261" w14:textId="77777777" w:rsidTr="00CB787E">
        <w:trPr>
          <w:trHeight w:val="70"/>
        </w:trPr>
        <w:tc>
          <w:tcPr>
            <w:tcW w:w="1573" w:type="pct"/>
          </w:tcPr>
          <w:p w14:paraId="76A3C01B" w14:textId="35EA5407" w:rsidR="006D5FB0" w:rsidRPr="003C2462" w:rsidRDefault="006D5FB0" w:rsidP="006D5FB0">
            <w:pPr>
              <w:rPr>
                <w:szCs w:val="28"/>
              </w:rPr>
            </w:pPr>
            <w:r>
              <w:rPr>
                <w:szCs w:val="28"/>
              </w:rPr>
              <w:t>Có hang</w:t>
            </w:r>
          </w:p>
        </w:tc>
        <w:tc>
          <w:tcPr>
            <w:tcW w:w="943" w:type="pct"/>
            <w:vAlign w:val="top"/>
          </w:tcPr>
          <w:p w14:paraId="030DC4EF" w14:textId="6B486090" w:rsidR="006D5FB0" w:rsidRPr="003C2462" w:rsidRDefault="006D5FB0" w:rsidP="006D5FB0">
            <w:pPr>
              <w:jc w:val="center"/>
              <w:rPr>
                <w:szCs w:val="28"/>
              </w:rPr>
            </w:pPr>
            <w:r>
              <w:t>73 (</w:t>
            </w:r>
            <w:r w:rsidRPr="00963054">
              <w:t>54.1%</w:t>
            </w:r>
            <w:r>
              <w:t>)</w:t>
            </w:r>
          </w:p>
        </w:tc>
        <w:tc>
          <w:tcPr>
            <w:tcW w:w="840" w:type="pct"/>
            <w:vAlign w:val="top"/>
          </w:tcPr>
          <w:p w14:paraId="4248BD18" w14:textId="180F41B2" w:rsidR="006D5FB0" w:rsidRPr="003C2462" w:rsidRDefault="006D5FB0" w:rsidP="006D5FB0">
            <w:pPr>
              <w:jc w:val="center"/>
              <w:rPr>
                <w:szCs w:val="28"/>
              </w:rPr>
            </w:pPr>
            <w:r>
              <w:t>62 (</w:t>
            </w:r>
            <w:r w:rsidRPr="00963054">
              <w:t>45.9%</w:t>
            </w:r>
            <w:r>
              <w:t>)</w:t>
            </w:r>
          </w:p>
        </w:tc>
        <w:tc>
          <w:tcPr>
            <w:tcW w:w="1037" w:type="pct"/>
            <w:vMerge/>
          </w:tcPr>
          <w:p w14:paraId="7B8B2B5E" w14:textId="77777777" w:rsidR="006D5FB0" w:rsidRPr="003C2462" w:rsidRDefault="006D5FB0" w:rsidP="006D5FB0">
            <w:pPr>
              <w:jc w:val="center"/>
            </w:pPr>
          </w:p>
        </w:tc>
        <w:tc>
          <w:tcPr>
            <w:tcW w:w="607" w:type="pct"/>
            <w:vMerge/>
          </w:tcPr>
          <w:p w14:paraId="250BAA57" w14:textId="77777777" w:rsidR="006D5FB0" w:rsidRPr="003C2462" w:rsidRDefault="006D5FB0" w:rsidP="006D5FB0">
            <w:pPr>
              <w:jc w:val="center"/>
              <w:rPr>
                <w:szCs w:val="28"/>
              </w:rPr>
            </w:pPr>
          </w:p>
        </w:tc>
      </w:tr>
    </w:tbl>
    <w:p w14:paraId="43E3FDC7" w14:textId="3EE937FB" w:rsidR="001D4020" w:rsidRDefault="001D4020" w:rsidP="001D4020">
      <w:pPr>
        <w:tabs>
          <w:tab w:val="left" w:pos="2400"/>
        </w:tabs>
        <w:spacing w:before="160"/>
      </w:pPr>
      <w:r>
        <w:t xml:space="preserve">Nhận xét: </w:t>
      </w:r>
      <w:r w:rsidR="00F86D14">
        <w:t>B</w:t>
      </w:r>
      <w:r>
        <w:t xml:space="preserve">ệnh nhân tổn thương </w:t>
      </w:r>
      <w:r w:rsidR="00A85B85">
        <w:t>không</w:t>
      </w:r>
      <w:r>
        <w:t xml:space="preserve"> hang trên phim X-quang phổi có tỷ lệ SDD là </w:t>
      </w:r>
      <w:r w:rsidR="00E00124">
        <w:t>20</w:t>
      </w:r>
      <w:r w:rsidRPr="00946903">
        <w:t>.</w:t>
      </w:r>
      <w:r w:rsidR="00E00124">
        <w:t>9</w:t>
      </w:r>
      <w:r w:rsidRPr="006B18A8">
        <w:t>%</w:t>
      </w:r>
      <w:r>
        <w:t xml:space="preserve"> thấp hơn bệnh nhân tổn thương </w:t>
      </w:r>
      <w:r w:rsidR="00C21F5F">
        <w:t xml:space="preserve">có hang </w:t>
      </w:r>
      <w:r>
        <w:t>trên phim X-quang</w:t>
      </w:r>
      <w:r w:rsidR="00C21F5F">
        <w:t xml:space="preserve"> phổi</w:t>
      </w:r>
      <w:r>
        <w:t xml:space="preserve"> là 4</w:t>
      </w:r>
      <w:r w:rsidR="00C21F5F">
        <w:t>5</w:t>
      </w:r>
      <w:r w:rsidRPr="00D16334">
        <w:t>.</w:t>
      </w:r>
      <w:r w:rsidR="00C21F5F">
        <w:t>9</w:t>
      </w:r>
      <w:r w:rsidRPr="00D16334">
        <w:t>%</w:t>
      </w:r>
      <w:r>
        <w:t xml:space="preserve">. OR = </w:t>
      </w:r>
      <w:r w:rsidR="00FB6694">
        <w:t>3.220</w:t>
      </w:r>
      <w:r>
        <w:t xml:space="preserve">, khoảng tin cậy 95% của OR là </w:t>
      </w:r>
      <w:r w:rsidR="002B2684" w:rsidRPr="0061603B">
        <w:t>1.834</w:t>
      </w:r>
      <w:r w:rsidR="002B2684">
        <w:t>-</w:t>
      </w:r>
      <w:r w:rsidR="002B2684" w:rsidRPr="0061603B">
        <w:t>5.654</w:t>
      </w:r>
      <w:r>
        <w:t xml:space="preserve">, sự khác biệt có ý nghĩa thống kê với p </w:t>
      </w:r>
      <w:r w:rsidR="00B73BC4">
        <w:t>&lt;</w:t>
      </w:r>
      <w:r>
        <w:t xml:space="preserve"> 0</w:t>
      </w:r>
      <w:r w:rsidRPr="00802A61">
        <w:t>.</w:t>
      </w:r>
      <w:r>
        <w:t>00</w:t>
      </w:r>
      <w:r w:rsidR="00B73BC4">
        <w:t>1</w:t>
      </w:r>
      <w:r>
        <w:t>.</w:t>
      </w:r>
    </w:p>
    <w:p w14:paraId="52111C7D" w14:textId="0F51F54B" w:rsidR="0086510D" w:rsidRDefault="0086510D" w:rsidP="0086510D">
      <w:pPr>
        <w:pStyle w:val="Caption"/>
        <w:rPr>
          <w:b w:val="0"/>
          <w:bCs/>
        </w:rPr>
      </w:pPr>
      <w:bookmarkStart w:id="98" w:name="_Toc133590762"/>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19</w:t>
      </w:r>
      <w:r w:rsidR="000A1A5C">
        <w:fldChar w:fldCharType="end"/>
      </w:r>
      <w:r>
        <w:t xml:space="preserve">. </w:t>
      </w:r>
      <w:r>
        <w:rPr>
          <w:bCs/>
        </w:rPr>
        <w:t>Mối liên quan giữa tổn thương trên phim X-quang</w:t>
      </w:r>
      <w:r w:rsidR="007633A7">
        <w:rPr>
          <w:bCs/>
        </w:rPr>
        <w:t xml:space="preserve"> </w:t>
      </w:r>
      <w:r w:rsidR="009F2209">
        <w:rPr>
          <w:bCs/>
        </w:rPr>
        <w:t xml:space="preserve">phổi </w:t>
      </w:r>
      <w:r w:rsidR="007633A7">
        <w:rPr>
          <w:bCs/>
        </w:rPr>
        <w:t>có hang</w:t>
      </w:r>
      <w:r>
        <w:rPr>
          <w:bCs/>
        </w:rPr>
        <w:t xml:space="preserve"> và TTDD theo SGA</w:t>
      </w:r>
      <w:bookmarkEnd w:id="98"/>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9F4DAD" w14:paraId="22E1E4F8" w14:textId="77777777" w:rsidTr="00CB787E">
        <w:tc>
          <w:tcPr>
            <w:tcW w:w="1573" w:type="pct"/>
            <w:vMerge w:val="restart"/>
            <w:tcBorders>
              <w:tl2br w:val="single" w:sz="4" w:space="0" w:color="auto"/>
            </w:tcBorders>
          </w:tcPr>
          <w:p w14:paraId="7F09B73A" w14:textId="77777777" w:rsidR="009F4DAD" w:rsidRPr="002A15EF" w:rsidRDefault="009F4DAD" w:rsidP="00CB787E">
            <w:pPr>
              <w:jc w:val="right"/>
              <w:rPr>
                <w:b/>
                <w:bCs/>
                <w:szCs w:val="28"/>
              </w:rPr>
            </w:pPr>
            <w:r>
              <w:rPr>
                <w:b/>
                <w:bCs/>
                <w:szCs w:val="28"/>
              </w:rPr>
              <w:t>TTDD</w:t>
            </w:r>
          </w:p>
          <w:p w14:paraId="32C72023" w14:textId="77777777" w:rsidR="009F4DAD" w:rsidRDefault="009F4DAD" w:rsidP="00CB787E">
            <w:pPr>
              <w:rPr>
                <w:b/>
                <w:bCs/>
                <w:szCs w:val="28"/>
              </w:rPr>
            </w:pPr>
          </w:p>
          <w:p w14:paraId="1C28A021" w14:textId="77777777" w:rsidR="009F4DAD" w:rsidRPr="002A15EF" w:rsidRDefault="009F4DAD" w:rsidP="00CB787E">
            <w:pPr>
              <w:rPr>
                <w:b/>
                <w:bCs/>
                <w:szCs w:val="28"/>
              </w:rPr>
            </w:pPr>
            <w:r>
              <w:rPr>
                <w:b/>
                <w:bCs/>
                <w:szCs w:val="28"/>
              </w:rPr>
              <w:t>X-quang phổi</w:t>
            </w:r>
          </w:p>
        </w:tc>
        <w:tc>
          <w:tcPr>
            <w:tcW w:w="1783" w:type="pct"/>
            <w:gridSpan w:val="2"/>
          </w:tcPr>
          <w:p w14:paraId="5D93DB6B" w14:textId="47C3BF30" w:rsidR="009F4DAD" w:rsidRPr="002A15EF" w:rsidRDefault="001A56B6" w:rsidP="00CB787E">
            <w:pPr>
              <w:jc w:val="center"/>
              <w:rPr>
                <w:b/>
                <w:bCs/>
                <w:szCs w:val="28"/>
              </w:rPr>
            </w:pPr>
            <w:r>
              <w:rPr>
                <w:b/>
                <w:bCs/>
                <w:szCs w:val="28"/>
              </w:rPr>
              <w:lastRenderedPageBreak/>
              <w:t>SGA</w:t>
            </w:r>
          </w:p>
        </w:tc>
        <w:tc>
          <w:tcPr>
            <w:tcW w:w="1037" w:type="pct"/>
            <w:vMerge w:val="restart"/>
          </w:tcPr>
          <w:p w14:paraId="0C557203" w14:textId="77777777" w:rsidR="009F4DAD" w:rsidRDefault="009F4DAD" w:rsidP="00CB787E">
            <w:pPr>
              <w:jc w:val="center"/>
              <w:rPr>
                <w:b/>
                <w:bCs/>
              </w:rPr>
            </w:pPr>
            <w:r>
              <w:rPr>
                <w:b/>
                <w:bCs/>
              </w:rPr>
              <w:t>OR</w:t>
            </w:r>
          </w:p>
          <w:p w14:paraId="4503A446" w14:textId="77777777" w:rsidR="009F4DAD" w:rsidRPr="002A15EF" w:rsidRDefault="009F4DAD" w:rsidP="00CB787E">
            <w:pPr>
              <w:jc w:val="center"/>
              <w:rPr>
                <w:b/>
                <w:bCs/>
              </w:rPr>
            </w:pPr>
            <w:r>
              <w:rPr>
                <w:b/>
                <w:bCs/>
              </w:rPr>
              <w:lastRenderedPageBreak/>
              <w:t>(95% CI)</w:t>
            </w:r>
          </w:p>
        </w:tc>
        <w:tc>
          <w:tcPr>
            <w:tcW w:w="607" w:type="pct"/>
            <w:vMerge w:val="restart"/>
          </w:tcPr>
          <w:p w14:paraId="37C1DA56" w14:textId="77777777" w:rsidR="009F4DAD" w:rsidRPr="002A15EF" w:rsidRDefault="009F4DAD" w:rsidP="00CB787E">
            <w:pPr>
              <w:jc w:val="center"/>
              <w:rPr>
                <w:b/>
                <w:bCs/>
                <w:szCs w:val="28"/>
              </w:rPr>
            </w:pPr>
            <w:r w:rsidRPr="002A15EF">
              <w:rPr>
                <w:b/>
                <w:bCs/>
                <w:szCs w:val="28"/>
              </w:rPr>
              <w:lastRenderedPageBreak/>
              <w:t>p</w:t>
            </w:r>
          </w:p>
        </w:tc>
      </w:tr>
      <w:tr w:rsidR="009F4DAD" w14:paraId="417C1483" w14:textId="77777777" w:rsidTr="00CB787E">
        <w:tc>
          <w:tcPr>
            <w:tcW w:w="1573" w:type="pct"/>
            <w:vMerge/>
            <w:tcBorders>
              <w:tl2br w:val="single" w:sz="4" w:space="0" w:color="auto"/>
            </w:tcBorders>
          </w:tcPr>
          <w:p w14:paraId="4F19BBC2" w14:textId="77777777" w:rsidR="009F4DAD" w:rsidRPr="002A15EF" w:rsidRDefault="009F4DAD" w:rsidP="00CB787E">
            <w:pPr>
              <w:rPr>
                <w:szCs w:val="28"/>
              </w:rPr>
            </w:pPr>
          </w:p>
        </w:tc>
        <w:tc>
          <w:tcPr>
            <w:tcW w:w="943" w:type="pct"/>
          </w:tcPr>
          <w:p w14:paraId="2944EE20" w14:textId="77777777" w:rsidR="009F4DAD" w:rsidRDefault="009F4DAD" w:rsidP="00CB787E">
            <w:pPr>
              <w:jc w:val="center"/>
              <w:rPr>
                <w:b/>
                <w:bCs/>
                <w:szCs w:val="28"/>
              </w:rPr>
            </w:pPr>
            <w:r>
              <w:rPr>
                <w:b/>
                <w:bCs/>
                <w:szCs w:val="28"/>
              </w:rPr>
              <w:t>Không SDD</w:t>
            </w:r>
          </w:p>
          <w:p w14:paraId="547003A3" w14:textId="77777777" w:rsidR="009F4DAD" w:rsidRPr="002A15EF" w:rsidRDefault="009F4DAD"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68485F07" w14:textId="77777777" w:rsidR="009F4DAD" w:rsidRPr="002A15EF" w:rsidRDefault="009F4DAD"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3B726F14" w14:textId="77777777" w:rsidR="009F4DAD" w:rsidRPr="002A15EF" w:rsidRDefault="009F4DAD" w:rsidP="00CB787E">
            <w:pPr>
              <w:jc w:val="center"/>
            </w:pPr>
          </w:p>
        </w:tc>
        <w:tc>
          <w:tcPr>
            <w:tcW w:w="607" w:type="pct"/>
            <w:vMerge/>
          </w:tcPr>
          <w:p w14:paraId="301C1C72" w14:textId="77777777" w:rsidR="009F4DAD" w:rsidRPr="002A15EF" w:rsidRDefault="009F4DAD" w:rsidP="00CB787E">
            <w:pPr>
              <w:jc w:val="center"/>
              <w:rPr>
                <w:szCs w:val="28"/>
              </w:rPr>
            </w:pPr>
          </w:p>
        </w:tc>
      </w:tr>
      <w:tr w:rsidR="00E856E9" w14:paraId="19CB178D" w14:textId="77777777" w:rsidTr="00CB787E">
        <w:trPr>
          <w:trHeight w:val="354"/>
        </w:trPr>
        <w:tc>
          <w:tcPr>
            <w:tcW w:w="1573" w:type="pct"/>
          </w:tcPr>
          <w:p w14:paraId="502BA9EC" w14:textId="32C5B48C" w:rsidR="00E856E9" w:rsidRPr="003C2462" w:rsidRDefault="00E856E9" w:rsidP="00E856E9">
            <w:pPr>
              <w:rPr>
                <w:szCs w:val="28"/>
              </w:rPr>
            </w:pPr>
            <w:r>
              <w:rPr>
                <w:szCs w:val="28"/>
              </w:rPr>
              <w:t>Không hang</w:t>
            </w:r>
          </w:p>
        </w:tc>
        <w:tc>
          <w:tcPr>
            <w:tcW w:w="943" w:type="pct"/>
            <w:vAlign w:val="top"/>
          </w:tcPr>
          <w:p w14:paraId="3622B5C0" w14:textId="12679560" w:rsidR="00E856E9" w:rsidRPr="003C2462" w:rsidRDefault="00E856E9" w:rsidP="00E856E9">
            <w:pPr>
              <w:jc w:val="center"/>
              <w:rPr>
                <w:szCs w:val="28"/>
              </w:rPr>
            </w:pPr>
            <w:r>
              <w:t>84 (</w:t>
            </w:r>
            <w:r w:rsidRPr="00090398">
              <w:t>73.0%</w:t>
            </w:r>
            <w:r>
              <w:t>)</w:t>
            </w:r>
          </w:p>
        </w:tc>
        <w:tc>
          <w:tcPr>
            <w:tcW w:w="840" w:type="pct"/>
            <w:vAlign w:val="top"/>
          </w:tcPr>
          <w:p w14:paraId="6CA3599E" w14:textId="6F14A634" w:rsidR="00E856E9" w:rsidRPr="003C2462" w:rsidRDefault="00E856E9" w:rsidP="00E856E9">
            <w:pPr>
              <w:jc w:val="center"/>
              <w:rPr>
                <w:szCs w:val="28"/>
              </w:rPr>
            </w:pPr>
            <w:r>
              <w:t>31 (</w:t>
            </w:r>
            <w:r w:rsidRPr="00090398">
              <w:t>27.0%</w:t>
            </w:r>
            <w:r>
              <w:t>)</w:t>
            </w:r>
          </w:p>
        </w:tc>
        <w:tc>
          <w:tcPr>
            <w:tcW w:w="1037" w:type="pct"/>
            <w:vMerge w:val="restart"/>
          </w:tcPr>
          <w:p w14:paraId="4DD66A8D" w14:textId="77777777" w:rsidR="002502B0" w:rsidRDefault="002502B0" w:rsidP="00E856E9">
            <w:pPr>
              <w:jc w:val="center"/>
            </w:pPr>
            <w:r w:rsidRPr="002502B0">
              <w:t>2.301</w:t>
            </w:r>
          </w:p>
          <w:p w14:paraId="347F66AD" w14:textId="53EA86C9" w:rsidR="00E856E9" w:rsidRPr="003C2462" w:rsidRDefault="002502B0" w:rsidP="00E856E9">
            <w:pPr>
              <w:jc w:val="center"/>
            </w:pPr>
            <w:r>
              <w:t>(</w:t>
            </w:r>
            <w:r w:rsidRPr="002502B0">
              <w:t>1.350</w:t>
            </w:r>
            <w:r>
              <w:t>-</w:t>
            </w:r>
            <w:r w:rsidRPr="002502B0">
              <w:t>3.922</w:t>
            </w:r>
            <w:r>
              <w:t>)</w:t>
            </w:r>
          </w:p>
        </w:tc>
        <w:tc>
          <w:tcPr>
            <w:tcW w:w="607" w:type="pct"/>
            <w:vMerge w:val="restart"/>
          </w:tcPr>
          <w:p w14:paraId="1692D391" w14:textId="0DC4CB19" w:rsidR="00E856E9" w:rsidRPr="003C2462" w:rsidRDefault="00E856E9" w:rsidP="00E856E9">
            <w:pPr>
              <w:jc w:val="center"/>
              <w:rPr>
                <w:szCs w:val="28"/>
              </w:rPr>
            </w:pPr>
            <w:r>
              <w:rPr>
                <w:szCs w:val="28"/>
              </w:rPr>
              <w:t>0.00</w:t>
            </w:r>
            <w:r w:rsidR="001A56B6">
              <w:rPr>
                <w:szCs w:val="28"/>
              </w:rPr>
              <w:t>3</w:t>
            </w:r>
          </w:p>
        </w:tc>
      </w:tr>
      <w:tr w:rsidR="00E856E9" w14:paraId="25B2CE00" w14:textId="77777777" w:rsidTr="00CB787E">
        <w:trPr>
          <w:trHeight w:val="70"/>
        </w:trPr>
        <w:tc>
          <w:tcPr>
            <w:tcW w:w="1573" w:type="pct"/>
          </w:tcPr>
          <w:p w14:paraId="1F5346B4" w14:textId="02C91601" w:rsidR="00E856E9" w:rsidRPr="003C2462" w:rsidRDefault="00E856E9" w:rsidP="00E856E9">
            <w:pPr>
              <w:rPr>
                <w:szCs w:val="28"/>
              </w:rPr>
            </w:pPr>
            <w:r>
              <w:rPr>
                <w:szCs w:val="28"/>
              </w:rPr>
              <w:t>Có hang</w:t>
            </w:r>
          </w:p>
        </w:tc>
        <w:tc>
          <w:tcPr>
            <w:tcW w:w="943" w:type="pct"/>
            <w:vAlign w:val="top"/>
          </w:tcPr>
          <w:p w14:paraId="58CC2FFF" w14:textId="121D680A" w:rsidR="00E856E9" w:rsidRPr="003C2462" w:rsidRDefault="00E856E9" w:rsidP="00E856E9">
            <w:pPr>
              <w:jc w:val="center"/>
              <w:rPr>
                <w:szCs w:val="28"/>
              </w:rPr>
            </w:pPr>
            <w:r>
              <w:t>73 (</w:t>
            </w:r>
            <w:r w:rsidRPr="0047706E">
              <w:t>54.1%</w:t>
            </w:r>
            <w:r>
              <w:t>)</w:t>
            </w:r>
          </w:p>
        </w:tc>
        <w:tc>
          <w:tcPr>
            <w:tcW w:w="840" w:type="pct"/>
            <w:vAlign w:val="top"/>
          </w:tcPr>
          <w:p w14:paraId="2C5A23DA" w14:textId="18A8D61D" w:rsidR="00E856E9" w:rsidRPr="003C2462" w:rsidRDefault="00E856E9" w:rsidP="00E856E9">
            <w:pPr>
              <w:jc w:val="center"/>
              <w:rPr>
                <w:szCs w:val="28"/>
              </w:rPr>
            </w:pPr>
            <w:r>
              <w:t>62 (</w:t>
            </w:r>
            <w:r w:rsidRPr="0047706E">
              <w:t>45.9%</w:t>
            </w:r>
            <w:r>
              <w:t>)</w:t>
            </w:r>
          </w:p>
        </w:tc>
        <w:tc>
          <w:tcPr>
            <w:tcW w:w="1037" w:type="pct"/>
            <w:vMerge/>
          </w:tcPr>
          <w:p w14:paraId="191E3059" w14:textId="77777777" w:rsidR="00E856E9" w:rsidRPr="003C2462" w:rsidRDefault="00E856E9" w:rsidP="00E856E9">
            <w:pPr>
              <w:jc w:val="center"/>
            </w:pPr>
          </w:p>
        </w:tc>
        <w:tc>
          <w:tcPr>
            <w:tcW w:w="607" w:type="pct"/>
            <w:vMerge/>
          </w:tcPr>
          <w:p w14:paraId="36318B1E" w14:textId="77777777" w:rsidR="00E856E9" w:rsidRPr="003C2462" w:rsidRDefault="00E856E9" w:rsidP="00E856E9">
            <w:pPr>
              <w:jc w:val="center"/>
              <w:rPr>
                <w:szCs w:val="28"/>
              </w:rPr>
            </w:pPr>
          </w:p>
        </w:tc>
      </w:tr>
    </w:tbl>
    <w:p w14:paraId="52968C36" w14:textId="2ABC09FB" w:rsidR="00F8111E" w:rsidRDefault="00F8111E" w:rsidP="00F8111E">
      <w:pPr>
        <w:tabs>
          <w:tab w:val="left" w:pos="2400"/>
        </w:tabs>
        <w:spacing w:before="160"/>
      </w:pPr>
      <w:r>
        <w:t xml:space="preserve">Nhận xét: </w:t>
      </w:r>
      <w:r w:rsidR="002A74E7">
        <w:t>B</w:t>
      </w:r>
      <w:r>
        <w:t>ệnh nhân tổn thương không hang trên phim X-quang phổi có tỷ lệ SDD là 27</w:t>
      </w:r>
      <w:r w:rsidRPr="00946903">
        <w:t>.</w:t>
      </w:r>
      <w:r>
        <w:t>0</w:t>
      </w:r>
      <w:r w:rsidRPr="006B18A8">
        <w:t>%</w:t>
      </w:r>
      <w:r>
        <w:t xml:space="preserve"> thấp hơn bệnh nhân tổn thương có hang trên phim X-quang phổi là 45</w:t>
      </w:r>
      <w:r w:rsidRPr="00D16334">
        <w:t>.</w:t>
      </w:r>
      <w:r>
        <w:t>9</w:t>
      </w:r>
      <w:r w:rsidRPr="00D16334">
        <w:t>%</w:t>
      </w:r>
      <w:r>
        <w:t xml:space="preserve">. OR = </w:t>
      </w:r>
      <w:r w:rsidR="00576708">
        <w:t>2</w:t>
      </w:r>
      <w:r>
        <w:t>.</w:t>
      </w:r>
      <w:r w:rsidR="00576708">
        <w:t>301</w:t>
      </w:r>
      <w:r>
        <w:t xml:space="preserve">, khoảng tin cậy 95% của OR là </w:t>
      </w:r>
      <w:r w:rsidR="00576708" w:rsidRPr="002502B0">
        <w:t>1.350</w:t>
      </w:r>
      <w:r w:rsidR="00576708">
        <w:t>-</w:t>
      </w:r>
      <w:r w:rsidR="00576708" w:rsidRPr="002502B0">
        <w:t>3.922</w:t>
      </w:r>
      <w:r>
        <w:t xml:space="preserve">, sự khác biệt có ý nghĩa thống kê với p </w:t>
      </w:r>
      <w:r w:rsidR="00576708">
        <w:t>=</w:t>
      </w:r>
      <w:r>
        <w:t xml:space="preserve"> 0</w:t>
      </w:r>
      <w:r w:rsidRPr="00802A61">
        <w:t>.</w:t>
      </w:r>
      <w:r>
        <w:t>00</w:t>
      </w:r>
      <w:r w:rsidR="00576708">
        <w:t>3</w:t>
      </w:r>
      <w:r>
        <w:t>.</w:t>
      </w:r>
    </w:p>
    <w:p w14:paraId="4C7FB086" w14:textId="0CF8D39F" w:rsidR="00A56D0C" w:rsidRDefault="00A56D0C" w:rsidP="00A56D0C">
      <w:pPr>
        <w:pStyle w:val="Heading3"/>
      </w:pPr>
      <w:r>
        <w:t>3.</w:t>
      </w:r>
      <w:r w:rsidR="002B0927">
        <w:t>3</w:t>
      </w:r>
      <w:r>
        <w:t>.</w:t>
      </w:r>
      <w:r w:rsidR="009C1972">
        <w:t>8</w:t>
      </w:r>
      <w:r>
        <w:t>. Mối liên quan giữa tình trạng thiếu máu và tình trạng dinh dưỡng</w:t>
      </w:r>
    </w:p>
    <w:p w14:paraId="312E2281" w14:textId="14031CAA" w:rsidR="00240D39" w:rsidRPr="004D4832" w:rsidRDefault="00240D39" w:rsidP="00240D39">
      <w:pPr>
        <w:pStyle w:val="Caption"/>
        <w:rPr>
          <w:b w:val="0"/>
          <w:bCs/>
        </w:rPr>
      </w:pPr>
      <w:bookmarkStart w:id="99" w:name="_Toc133590763"/>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20</w:t>
      </w:r>
      <w:r w:rsidR="000A1A5C">
        <w:fldChar w:fldCharType="end"/>
      </w:r>
      <w:r>
        <w:t xml:space="preserve">. </w:t>
      </w:r>
      <w:r>
        <w:rPr>
          <w:bCs/>
        </w:rPr>
        <w:t>Mối liên quan giữa tình trạng thiếu máu và TTDD theo BMI</w:t>
      </w:r>
      <w:bookmarkEnd w:id="99"/>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444870" w14:paraId="42FF2EF3" w14:textId="77777777" w:rsidTr="00CB787E">
        <w:tc>
          <w:tcPr>
            <w:tcW w:w="1573" w:type="pct"/>
            <w:vMerge w:val="restart"/>
            <w:tcBorders>
              <w:tl2br w:val="single" w:sz="4" w:space="0" w:color="auto"/>
            </w:tcBorders>
          </w:tcPr>
          <w:p w14:paraId="5395BE6F" w14:textId="77777777" w:rsidR="00444870" w:rsidRPr="002A15EF" w:rsidRDefault="00444870" w:rsidP="00CB787E">
            <w:pPr>
              <w:jc w:val="right"/>
              <w:rPr>
                <w:b/>
                <w:bCs/>
                <w:szCs w:val="28"/>
              </w:rPr>
            </w:pPr>
            <w:r>
              <w:rPr>
                <w:b/>
                <w:bCs/>
                <w:szCs w:val="28"/>
              </w:rPr>
              <w:t>TTDD</w:t>
            </w:r>
          </w:p>
          <w:p w14:paraId="32B78A2F" w14:textId="77777777" w:rsidR="00444870" w:rsidRDefault="00444870" w:rsidP="00CB787E">
            <w:pPr>
              <w:rPr>
                <w:b/>
                <w:bCs/>
                <w:szCs w:val="28"/>
              </w:rPr>
            </w:pPr>
          </w:p>
          <w:p w14:paraId="120AE671" w14:textId="77777777" w:rsidR="00444870" w:rsidRDefault="00444870" w:rsidP="00CB787E">
            <w:pPr>
              <w:rPr>
                <w:b/>
                <w:bCs/>
                <w:szCs w:val="28"/>
              </w:rPr>
            </w:pPr>
            <w:r>
              <w:rPr>
                <w:b/>
                <w:bCs/>
                <w:szCs w:val="28"/>
              </w:rPr>
              <w:t>Tình trạng</w:t>
            </w:r>
          </w:p>
          <w:p w14:paraId="463CE917" w14:textId="58280313" w:rsidR="00444870" w:rsidRPr="002A15EF" w:rsidRDefault="00444870" w:rsidP="00CB787E">
            <w:pPr>
              <w:rPr>
                <w:b/>
                <w:bCs/>
                <w:szCs w:val="28"/>
              </w:rPr>
            </w:pPr>
            <w:r>
              <w:rPr>
                <w:b/>
                <w:bCs/>
                <w:szCs w:val="28"/>
              </w:rPr>
              <w:t>thiếu máu</w:t>
            </w:r>
          </w:p>
        </w:tc>
        <w:tc>
          <w:tcPr>
            <w:tcW w:w="1783" w:type="pct"/>
            <w:gridSpan w:val="2"/>
          </w:tcPr>
          <w:p w14:paraId="29C70427" w14:textId="4AEF4662" w:rsidR="00444870" w:rsidRPr="002A15EF" w:rsidRDefault="00334D4C" w:rsidP="00CB787E">
            <w:pPr>
              <w:jc w:val="center"/>
              <w:rPr>
                <w:b/>
                <w:bCs/>
                <w:szCs w:val="28"/>
              </w:rPr>
            </w:pPr>
            <w:r>
              <w:rPr>
                <w:b/>
                <w:bCs/>
                <w:szCs w:val="28"/>
              </w:rPr>
              <w:t>BMI</w:t>
            </w:r>
          </w:p>
        </w:tc>
        <w:tc>
          <w:tcPr>
            <w:tcW w:w="1037" w:type="pct"/>
            <w:vMerge w:val="restart"/>
          </w:tcPr>
          <w:p w14:paraId="52F71C1E" w14:textId="77777777" w:rsidR="00444870" w:rsidRDefault="00444870" w:rsidP="00CB787E">
            <w:pPr>
              <w:jc w:val="center"/>
              <w:rPr>
                <w:b/>
                <w:bCs/>
              </w:rPr>
            </w:pPr>
            <w:r>
              <w:rPr>
                <w:b/>
                <w:bCs/>
              </w:rPr>
              <w:t>OR</w:t>
            </w:r>
          </w:p>
          <w:p w14:paraId="6CFE7D78" w14:textId="77777777" w:rsidR="00444870" w:rsidRPr="002A15EF" w:rsidRDefault="00444870" w:rsidP="00CB787E">
            <w:pPr>
              <w:jc w:val="center"/>
              <w:rPr>
                <w:b/>
                <w:bCs/>
              </w:rPr>
            </w:pPr>
            <w:r>
              <w:rPr>
                <w:b/>
                <w:bCs/>
              </w:rPr>
              <w:t>(95% CI)</w:t>
            </w:r>
          </w:p>
        </w:tc>
        <w:tc>
          <w:tcPr>
            <w:tcW w:w="607" w:type="pct"/>
            <w:vMerge w:val="restart"/>
          </w:tcPr>
          <w:p w14:paraId="7A2044E0" w14:textId="77777777" w:rsidR="00444870" w:rsidRPr="002A15EF" w:rsidRDefault="00444870" w:rsidP="00CB787E">
            <w:pPr>
              <w:jc w:val="center"/>
              <w:rPr>
                <w:b/>
                <w:bCs/>
                <w:szCs w:val="28"/>
              </w:rPr>
            </w:pPr>
            <w:r w:rsidRPr="002A15EF">
              <w:rPr>
                <w:b/>
                <w:bCs/>
                <w:szCs w:val="28"/>
              </w:rPr>
              <w:t>p</w:t>
            </w:r>
          </w:p>
        </w:tc>
      </w:tr>
      <w:tr w:rsidR="00444870" w14:paraId="0BF04FED" w14:textId="77777777" w:rsidTr="00CB787E">
        <w:tc>
          <w:tcPr>
            <w:tcW w:w="1573" w:type="pct"/>
            <w:vMerge/>
            <w:tcBorders>
              <w:tl2br w:val="single" w:sz="4" w:space="0" w:color="auto"/>
            </w:tcBorders>
          </w:tcPr>
          <w:p w14:paraId="52B8F791" w14:textId="77777777" w:rsidR="00444870" w:rsidRPr="002A15EF" w:rsidRDefault="00444870" w:rsidP="00CB787E">
            <w:pPr>
              <w:rPr>
                <w:szCs w:val="28"/>
              </w:rPr>
            </w:pPr>
          </w:p>
        </w:tc>
        <w:tc>
          <w:tcPr>
            <w:tcW w:w="943" w:type="pct"/>
          </w:tcPr>
          <w:p w14:paraId="1CFE66F8" w14:textId="77777777" w:rsidR="00444870" w:rsidRDefault="00444870" w:rsidP="00CB787E">
            <w:pPr>
              <w:jc w:val="center"/>
              <w:rPr>
                <w:b/>
                <w:bCs/>
                <w:szCs w:val="28"/>
              </w:rPr>
            </w:pPr>
            <w:r>
              <w:rPr>
                <w:b/>
                <w:bCs/>
                <w:szCs w:val="28"/>
              </w:rPr>
              <w:t>Không SDD</w:t>
            </w:r>
          </w:p>
          <w:p w14:paraId="66C10425" w14:textId="77777777" w:rsidR="00444870" w:rsidRPr="002A15EF" w:rsidRDefault="00444870"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15C8E74B" w14:textId="77777777" w:rsidR="00444870" w:rsidRPr="002A15EF" w:rsidRDefault="00444870"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575DF8A5" w14:textId="77777777" w:rsidR="00444870" w:rsidRPr="002A15EF" w:rsidRDefault="00444870" w:rsidP="00CB787E">
            <w:pPr>
              <w:jc w:val="center"/>
            </w:pPr>
          </w:p>
        </w:tc>
        <w:tc>
          <w:tcPr>
            <w:tcW w:w="607" w:type="pct"/>
            <w:vMerge/>
          </w:tcPr>
          <w:p w14:paraId="4B18A7F5" w14:textId="77777777" w:rsidR="00444870" w:rsidRPr="002A15EF" w:rsidRDefault="00444870" w:rsidP="00CB787E">
            <w:pPr>
              <w:jc w:val="center"/>
              <w:rPr>
                <w:szCs w:val="28"/>
              </w:rPr>
            </w:pPr>
          </w:p>
        </w:tc>
      </w:tr>
      <w:tr w:rsidR="002627AD" w14:paraId="0F85C585" w14:textId="77777777" w:rsidTr="00CB787E">
        <w:trPr>
          <w:trHeight w:val="354"/>
        </w:trPr>
        <w:tc>
          <w:tcPr>
            <w:tcW w:w="1573" w:type="pct"/>
          </w:tcPr>
          <w:p w14:paraId="1D36FC7C" w14:textId="0AC15005" w:rsidR="002627AD" w:rsidRPr="003C2462" w:rsidRDefault="002627AD" w:rsidP="002627AD">
            <w:pPr>
              <w:rPr>
                <w:szCs w:val="28"/>
              </w:rPr>
            </w:pPr>
            <w:r>
              <w:rPr>
                <w:szCs w:val="28"/>
              </w:rPr>
              <w:t>Không</w:t>
            </w:r>
          </w:p>
        </w:tc>
        <w:tc>
          <w:tcPr>
            <w:tcW w:w="943" w:type="pct"/>
            <w:vAlign w:val="top"/>
          </w:tcPr>
          <w:p w14:paraId="6180DC2A" w14:textId="131FBF9A" w:rsidR="002627AD" w:rsidRPr="003C2462" w:rsidRDefault="002627AD" w:rsidP="002627AD">
            <w:pPr>
              <w:jc w:val="center"/>
              <w:rPr>
                <w:szCs w:val="28"/>
              </w:rPr>
            </w:pPr>
            <w:r>
              <w:t>79 (</w:t>
            </w:r>
            <w:r w:rsidRPr="00074917">
              <w:t>77.5%</w:t>
            </w:r>
            <w:r>
              <w:t>)</w:t>
            </w:r>
          </w:p>
        </w:tc>
        <w:tc>
          <w:tcPr>
            <w:tcW w:w="840" w:type="pct"/>
            <w:vAlign w:val="top"/>
          </w:tcPr>
          <w:p w14:paraId="278B1D29" w14:textId="4E4265DB" w:rsidR="002627AD" w:rsidRPr="003C2462" w:rsidRDefault="002627AD" w:rsidP="002627AD">
            <w:pPr>
              <w:jc w:val="center"/>
              <w:rPr>
                <w:szCs w:val="28"/>
              </w:rPr>
            </w:pPr>
            <w:r>
              <w:t>23 (</w:t>
            </w:r>
            <w:r w:rsidRPr="00074917">
              <w:t>22.5%</w:t>
            </w:r>
            <w:r>
              <w:t>)</w:t>
            </w:r>
          </w:p>
        </w:tc>
        <w:tc>
          <w:tcPr>
            <w:tcW w:w="1037" w:type="pct"/>
            <w:vMerge w:val="restart"/>
          </w:tcPr>
          <w:p w14:paraId="0F3B92D0" w14:textId="77777777" w:rsidR="00771420" w:rsidRDefault="00771420" w:rsidP="002627AD">
            <w:pPr>
              <w:jc w:val="center"/>
            </w:pPr>
            <w:r w:rsidRPr="00771420">
              <w:t>2.546</w:t>
            </w:r>
          </w:p>
          <w:p w14:paraId="269406E7" w14:textId="4F318CE4" w:rsidR="002627AD" w:rsidRPr="003C2462" w:rsidRDefault="00771420" w:rsidP="002627AD">
            <w:pPr>
              <w:jc w:val="center"/>
            </w:pPr>
            <w:r>
              <w:t>(</w:t>
            </w:r>
            <w:r w:rsidRPr="00771420">
              <w:t>1.444</w:t>
            </w:r>
            <w:r>
              <w:t>-</w:t>
            </w:r>
            <w:r w:rsidRPr="00771420">
              <w:t>4.489</w:t>
            </w:r>
            <w:r>
              <w:t>)</w:t>
            </w:r>
          </w:p>
        </w:tc>
        <w:tc>
          <w:tcPr>
            <w:tcW w:w="607" w:type="pct"/>
            <w:vMerge w:val="restart"/>
          </w:tcPr>
          <w:p w14:paraId="17D989BD" w14:textId="5E188063" w:rsidR="002627AD" w:rsidRPr="003C2462" w:rsidRDefault="002627AD" w:rsidP="002627AD">
            <w:pPr>
              <w:jc w:val="center"/>
              <w:rPr>
                <w:szCs w:val="28"/>
              </w:rPr>
            </w:pPr>
            <w:r>
              <w:rPr>
                <w:szCs w:val="28"/>
              </w:rPr>
              <w:t>0.</w:t>
            </w:r>
            <w:r w:rsidR="00B6388F">
              <w:rPr>
                <w:szCs w:val="28"/>
              </w:rPr>
              <w:t>002</w:t>
            </w:r>
          </w:p>
        </w:tc>
      </w:tr>
      <w:tr w:rsidR="002627AD" w14:paraId="430B0328" w14:textId="77777777" w:rsidTr="00CB787E">
        <w:trPr>
          <w:trHeight w:val="70"/>
        </w:trPr>
        <w:tc>
          <w:tcPr>
            <w:tcW w:w="1573" w:type="pct"/>
          </w:tcPr>
          <w:p w14:paraId="19F73917" w14:textId="326BDC2B" w:rsidR="002627AD" w:rsidRPr="003C2462" w:rsidRDefault="002627AD" w:rsidP="002627AD">
            <w:pPr>
              <w:rPr>
                <w:szCs w:val="28"/>
              </w:rPr>
            </w:pPr>
            <w:r>
              <w:rPr>
                <w:szCs w:val="28"/>
              </w:rPr>
              <w:t>Có</w:t>
            </w:r>
          </w:p>
        </w:tc>
        <w:tc>
          <w:tcPr>
            <w:tcW w:w="943" w:type="pct"/>
            <w:vAlign w:val="top"/>
          </w:tcPr>
          <w:p w14:paraId="3C55DC8E" w14:textId="0A527338" w:rsidR="002627AD" w:rsidRPr="003C2462" w:rsidRDefault="002627AD" w:rsidP="002627AD">
            <w:pPr>
              <w:jc w:val="center"/>
              <w:rPr>
                <w:szCs w:val="28"/>
              </w:rPr>
            </w:pPr>
            <w:r>
              <w:t>85 (</w:t>
            </w:r>
            <w:r w:rsidRPr="00826839">
              <w:t>57.4%</w:t>
            </w:r>
            <w:r>
              <w:t>)</w:t>
            </w:r>
          </w:p>
        </w:tc>
        <w:tc>
          <w:tcPr>
            <w:tcW w:w="840" w:type="pct"/>
            <w:vAlign w:val="top"/>
          </w:tcPr>
          <w:p w14:paraId="44FB0C14" w14:textId="5F626C5D" w:rsidR="002627AD" w:rsidRPr="003C2462" w:rsidRDefault="002627AD" w:rsidP="002627AD">
            <w:pPr>
              <w:jc w:val="center"/>
              <w:rPr>
                <w:szCs w:val="28"/>
              </w:rPr>
            </w:pPr>
            <w:r>
              <w:t>63 (</w:t>
            </w:r>
            <w:r w:rsidRPr="00826839">
              <w:t>42.6%</w:t>
            </w:r>
            <w:r>
              <w:t>)</w:t>
            </w:r>
          </w:p>
        </w:tc>
        <w:tc>
          <w:tcPr>
            <w:tcW w:w="1037" w:type="pct"/>
            <w:vMerge/>
          </w:tcPr>
          <w:p w14:paraId="6E0B2298" w14:textId="77777777" w:rsidR="002627AD" w:rsidRPr="003C2462" w:rsidRDefault="002627AD" w:rsidP="002627AD">
            <w:pPr>
              <w:jc w:val="center"/>
            </w:pPr>
          </w:p>
        </w:tc>
        <w:tc>
          <w:tcPr>
            <w:tcW w:w="607" w:type="pct"/>
            <w:vMerge/>
          </w:tcPr>
          <w:p w14:paraId="3C3B1E6D" w14:textId="77777777" w:rsidR="002627AD" w:rsidRPr="003C2462" w:rsidRDefault="002627AD" w:rsidP="002627AD">
            <w:pPr>
              <w:jc w:val="center"/>
              <w:rPr>
                <w:szCs w:val="28"/>
              </w:rPr>
            </w:pPr>
          </w:p>
        </w:tc>
      </w:tr>
    </w:tbl>
    <w:p w14:paraId="400C6D21" w14:textId="7F838201" w:rsidR="00CD239E" w:rsidRDefault="00CD239E" w:rsidP="00CD239E">
      <w:pPr>
        <w:tabs>
          <w:tab w:val="left" w:pos="2400"/>
        </w:tabs>
        <w:spacing w:before="160"/>
      </w:pPr>
      <w:r>
        <w:t>Nhận xét: Đánh giá SDD theo BMI, tỷ lệ SDD ở bệnh nhân không thiếu máu là 22</w:t>
      </w:r>
      <w:r w:rsidRPr="00946903">
        <w:t>.</w:t>
      </w:r>
      <w:r>
        <w:t>5</w:t>
      </w:r>
      <w:r w:rsidRPr="006B18A8">
        <w:t>%</w:t>
      </w:r>
      <w:r>
        <w:t xml:space="preserve"> thấp hơn bệnh nhân thiếu máu là 42</w:t>
      </w:r>
      <w:r w:rsidRPr="00D16334">
        <w:t>.</w:t>
      </w:r>
      <w:r>
        <w:t>6</w:t>
      </w:r>
      <w:r w:rsidRPr="00D16334">
        <w:t>%</w:t>
      </w:r>
      <w:r>
        <w:t>. OR = 2.</w:t>
      </w:r>
      <w:r w:rsidR="00AF2A97">
        <w:t>546</w:t>
      </w:r>
      <w:r>
        <w:t xml:space="preserve">, khoảng tin cậy 95% của OR là </w:t>
      </w:r>
      <w:r w:rsidR="00AF2A97" w:rsidRPr="00771420">
        <w:t>1.444</w:t>
      </w:r>
      <w:r w:rsidR="00AF2A97">
        <w:t>-</w:t>
      </w:r>
      <w:r w:rsidR="00AF2A97" w:rsidRPr="00771420">
        <w:t>4.489</w:t>
      </w:r>
      <w:r>
        <w:t>, sự khác biệt có ý nghĩa thống kê với p = 0</w:t>
      </w:r>
      <w:r w:rsidRPr="00802A61">
        <w:t>.</w:t>
      </w:r>
      <w:r>
        <w:t>002.</w:t>
      </w:r>
    </w:p>
    <w:p w14:paraId="3527BED3" w14:textId="1526F170" w:rsidR="00240D39" w:rsidRPr="004D4832" w:rsidRDefault="00240D39" w:rsidP="00240D39">
      <w:pPr>
        <w:pStyle w:val="Caption"/>
        <w:rPr>
          <w:b w:val="0"/>
          <w:bCs/>
        </w:rPr>
      </w:pPr>
      <w:bookmarkStart w:id="100" w:name="_Toc133590764"/>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21</w:t>
      </w:r>
      <w:r w:rsidR="000A1A5C">
        <w:fldChar w:fldCharType="end"/>
      </w:r>
      <w:r>
        <w:t xml:space="preserve">. </w:t>
      </w:r>
      <w:r>
        <w:rPr>
          <w:bCs/>
        </w:rPr>
        <w:t>Mối liên quan giữa tình trạng thiếu máu và TTDD theo SGA</w:t>
      </w:r>
      <w:bookmarkEnd w:id="100"/>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334D4C" w14:paraId="77EDFBF0" w14:textId="77777777" w:rsidTr="00CB787E">
        <w:tc>
          <w:tcPr>
            <w:tcW w:w="1573" w:type="pct"/>
            <w:vMerge w:val="restart"/>
            <w:tcBorders>
              <w:tl2br w:val="single" w:sz="4" w:space="0" w:color="auto"/>
            </w:tcBorders>
          </w:tcPr>
          <w:p w14:paraId="0A270E16" w14:textId="77777777" w:rsidR="00334D4C" w:rsidRPr="002A15EF" w:rsidRDefault="00334D4C" w:rsidP="00CB787E">
            <w:pPr>
              <w:jc w:val="right"/>
              <w:rPr>
                <w:b/>
                <w:bCs/>
                <w:szCs w:val="28"/>
              </w:rPr>
            </w:pPr>
            <w:r>
              <w:rPr>
                <w:b/>
                <w:bCs/>
                <w:szCs w:val="28"/>
              </w:rPr>
              <w:t>TTDD</w:t>
            </w:r>
          </w:p>
          <w:p w14:paraId="17540FED" w14:textId="77777777" w:rsidR="00334D4C" w:rsidRDefault="00334D4C" w:rsidP="00CB787E">
            <w:pPr>
              <w:rPr>
                <w:b/>
                <w:bCs/>
                <w:szCs w:val="28"/>
              </w:rPr>
            </w:pPr>
          </w:p>
          <w:p w14:paraId="0EF3B7D7" w14:textId="77777777" w:rsidR="00334D4C" w:rsidRDefault="00334D4C" w:rsidP="00CB787E">
            <w:pPr>
              <w:rPr>
                <w:b/>
                <w:bCs/>
                <w:szCs w:val="28"/>
              </w:rPr>
            </w:pPr>
            <w:r>
              <w:rPr>
                <w:b/>
                <w:bCs/>
                <w:szCs w:val="28"/>
              </w:rPr>
              <w:t>Tình trạng</w:t>
            </w:r>
          </w:p>
          <w:p w14:paraId="36E0642F" w14:textId="77777777" w:rsidR="00334D4C" w:rsidRPr="002A15EF" w:rsidRDefault="00334D4C" w:rsidP="00CB787E">
            <w:pPr>
              <w:rPr>
                <w:b/>
                <w:bCs/>
                <w:szCs w:val="28"/>
              </w:rPr>
            </w:pPr>
            <w:r>
              <w:rPr>
                <w:b/>
                <w:bCs/>
                <w:szCs w:val="28"/>
              </w:rPr>
              <w:t>thiếu máu</w:t>
            </w:r>
          </w:p>
        </w:tc>
        <w:tc>
          <w:tcPr>
            <w:tcW w:w="1783" w:type="pct"/>
            <w:gridSpan w:val="2"/>
          </w:tcPr>
          <w:p w14:paraId="597037F0" w14:textId="77777777" w:rsidR="00334D4C" w:rsidRPr="002A15EF" w:rsidRDefault="00334D4C" w:rsidP="00CB787E">
            <w:pPr>
              <w:jc w:val="center"/>
              <w:rPr>
                <w:b/>
                <w:bCs/>
                <w:szCs w:val="28"/>
              </w:rPr>
            </w:pPr>
            <w:r>
              <w:rPr>
                <w:b/>
                <w:bCs/>
                <w:szCs w:val="28"/>
              </w:rPr>
              <w:t>SGA</w:t>
            </w:r>
          </w:p>
        </w:tc>
        <w:tc>
          <w:tcPr>
            <w:tcW w:w="1037" w:type="pct"/>
            <w:vMerge w:val="restart"/>
          </w:tcPr>
          <w:p w14:paraId="411EDC5C" w14:textId="77777777" w:rsidR="00334D4C" w:rsidRDefault="00334D4C" w:rsidP="00CB787E">
            <w:pPr>
              <w:jc w:val="center"/>
              <w:rPr>
                <w:b/>
                <w:bCs/>
              </w:rPr>
            </w:pPr>
            <w:r>
              <w:rPr>
                <w:b/>
                <w:bCs/>
              </w:rPr>
              <w:t>OR</w:t>
            </w:r>
          </w:p>
          <w:p w14:paraId="57F89E05" w14:textId="77777777" w:rsidR="00334D4C" w:rsidRPr="002A15EF" w:rsidRDefault="00334D4C" w:rsidP="00CB787E">
            <w:pPr>
              <w:jc w:val="center"/>
              <w:rPr>
                <w:b/>
                <w:bCs/>
              </w:rPr>
            </w:pPr>
            <w:r>
              <w:rPr>
                <w:b/>
                <w:bCs/>
              </w:rPr>
              <w:t>(95% CI)</w:t>
            </w:r>
          </w:p>
        </w:tc>
        <w:tc>
          <w:tcPr>
            <w:tcW w:w="607" w:type="pct"/>
            <w:vMerge w:val="restart"/>
          </w:tcPr>
          <w:p w14:paraId="77D31588" w14:textId="77777777" w:rsidR="00334D4C" w:rsidRPr="002A15EF" w:rsidRDefault="00334D4C" w:rsidP="00CB787E">
            <w:pPr>
              <w:jc w:val="center"/>
              <w:rPr>
                <w:b/>
                <w:bCs/>
                <w:szCs w:val="28"/>
              </w:rPr>
            </w:pPr>
            <w:r w:rsidRPr="002A15EF">
              <w:rPr>
                <w:b/>
                <w:bCs/>
                <w:szCs w:val="28"/>
              </w:rPr>
              <w:t>p</w:t>
            </w:r>
          </w:p>
        </w:tc>
      </w:tr>
      <w:tr w:rsidR="00334D4C" w14:paraId="1A0204A2" w14:textId="77777777" w:rsidTr="00CB787E">
        <w:tc>
          <w:tcPr>
            <w:tcW w:w="1573" w:type="pct"/>
            <w:vMerge/>
            <w:tcBorders>
              <w:tl2br w:val="single" w:sz="4" w:space="0" w:color="auto"/>
            </w:tcBorders>
          </w:tcPr>
          <w:p w14:paraId="7FE71800" w14:textId="77777777" w:rsidR="00334D4C" w:rsidRPr="002A15EF" w:rsidRDefault="00334D4C" w:rsidP="00CB787E">
            <w:pPr>
              <w:rPr>
                <w:szCs w:val="28"/>
              </w:rPr>
            </w:pPr>
          </w:p>
        </w:tc>
        <w:tc>
          <w:tcPr>
            <w:tcW w:w="943" w:type="pct"/>
          </w:tcPr>
          <w:p w14:paraId="5F90B4E7" w14:textId="77777777" w:rsidR="00334D4C" w:rsidRDefault="00334D4C" w:rsidP="00CB787E">
            <w:pPr>
              <w:jc w:val="center"/>
              <w:rPr>
                <w:b/>
                <w:bCs/>
                <w:szCs w:val="28"/>
              </w:rPr>
            </w:pPr>
            <w:r>
              <w:rPr>
                <w:b/>
                <w:bCs/>
                <w:szCs w:val="28"/>
              </w:rPr>
              <w:t>Không SDD</w:t>
            </w:r>
          </w:p>
          <w:p w14:paraId="4D78FA54" w14:textId="77777777" w:rsidR="00334D4C" w:rsidRPr="002A15EF" w:rsidRDefault="00334D4C"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35283E62" w14:textId="77777777" w:rsidR="00334D4C" w:rsidRPr="002A15EF" w:rsidRDefault="00334D4C"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63EE1595" w14:textId="77777777" w:rsidR="00334D4C" w:rsidRPr="002A15EF" w:rsidRDefault="00334D4C" w:rsidP="00CB787E">
            <w:pPr>
              <w:jc w:val="center"/>
            </w:pPr>
          </w:p>
        </w:tc>
        <w:tc>
          <w:tcPr>
            <w:tcW w:w="607" w:type="pct"/>
            <w:vMerge/>
          </w:tcPr>
          <w:p w14:paraId="3FBEE91E" w14:textId="77777777" w:rsidR="00334D4C" w:rsidRPr="002A15EF" w:rsidRDefault="00334D4C" w:rsidP="00CB787E">
            <w:pPr>
              <w:jc w:val="center"/>
              <w:rPr>
                <w:szCs w:val="28"/>
              </w:rPr>
            </w:pPr>
          </w:p>
        </w:tc>
      </w:tr>
      <w:tr w:rsidR="009E5265" w14:paraId="368975D6" w14:textId="77777777" w:rsidTr="00CB787E">
        <w:trPr>
          <w:trHeight w:val="354"/>
        </w:trPr>
        <w:tc>
          <w:tcPr>
            <w:tcW w:w="1573" w:type="pct"/>
          </w:tcPr>
          <w:p w14:paraId="5A78816F" w14:textId="77777777" w:rsidR="009E5265" w:rsidRPr="003C2462" w:rsidRDefault="009E5265" w:rsidP="009E5265">
            <w:pPr>
              <w:rPr>
                <w:szCs w:val="28"/>
              </w:rPr>
            </w:pPr>
            <w:r>
              <w:rPr>
                <w:szCs w:val="28"/>
              </w:rPr>
              <w:lastRenderedPageBreak/>
              <w:t>Không</w:t>
            </w:r>
          </w:p>
        </w:tc>
        <w:tc>
          <w:tcPr>
            <w:tcW w:w="943" w:type="pct"/>
            <w:vAlign w:val="top"/>
          </w:tcPr>
          <w:p w14:paraId="5C0A5D35" w14:textId="28B55F60" w:rsidR="009E5265" w:rsidRPr="003C2462" w:rsidRDefault="009E5265" w:rsidP="009E5265">
            <w:pPr>
              <w:jc w:val="center"/>
              <w:rPr>
                <w:szCs w:val="28"/>
              </w:rPr>
            </w:pPr>
            <w:r>
              <w:t>72 (</w:t>
            </w:r>
            <w:r w:rsidRPr="00E90F79">
              <w:t>70.6%</w:t>
            </w:r>
            <w:r>
              <w:t>)</w:t>
            </w:r>
          </w:p>
        </w:tc>
        <w:tc>
          <w:tcPr>
            <w:tcW w:w="840" w:type="pct"/>
            <w:vAlign w:val="top"/>
          </w:tcPr>
          <w:p w14:paraId="14A6AAF3" w14:textId="22E1B36F" w:rsidR="009E5265" w:rsidRPr="003C2462" w:rsidRDefault="009E5265" w:rsidP="009E5265">
            <w:pPr>
              <w:jc w:val="center"/>
              <w:rPr>
                <w:szCs w:val="28"/>
              </w:rPr>
            </w:pPr>
            <w:r>
              <w:t>30 (</w:t>
            </w:r>
            <w:r w:rsidRPr="00E90F79">
              <w:t>29.4%</w:t>
            </w:r>
            <w:r>
              <w:t>)</w:t>
            </w:r>
          </w:p>
        </w:tc>
        <w:tc>
          <w:tcPr>
            <w:tcW w:w="1037" w:type="pct"/>
            <w:vMerge w:val="restart"/>
          </w:tcPr>
          <w:p w14:paraId="4E70401D" w14:textId="77777777" w:rsidR="00C05D47" w:rsidRDefault="00C05D47" w:rsidP="009E5265">
            <w:pPr>
              <w:jc w:val="center"/>
            </w:pPr>
            <w:r w:rsidRPr="00C05D47">
              <w:t>1.779</w:t>
            </w:r>
          </w:p>
          <w:p w14:paraId="5FC0B45E" w14:textId="696914B5" w:rsidR="009E5265" w:rsidRPr="003C2462" w:rsidRDefault="00C05D47" w:rsidP="009E5265">
            <w:pPr>
              <w:jc w:val="center"/>
            </w:pPr>
            <w:r>
              <w:t>(</w:t>
            </w:r>
            <w:r w:rsidRPr="00C05D47">
              <w:t>1.040</w:t>
            </w:r>
            <w:r>
              <w:t>-</w:t>
            </w:r>
            <w:r w:rsidRPr="00C05D47">
              <w:t>3.041</w:t>
            </w:r>
            <w:r>
              <w:t>)</w:t>
            </w:r>
          </w:p>
        </w:tc>
        <w:tc>
          <w:tcPr>
            <w:tcW w:w="607" w:type="pct"/>
            <w:vMerge w:val="restart"/>
          </w:tcPr>
          <w:p w14:paraId="7ED46DE9" w14:textId="7766A7EA" w:rsidR="009E5265" w:rsidRPr="003C2462" w:rsidRDefault="009E5265" w:rsidP="009E5265">
            <w:pPr>
              <w:jc w:val="center"/>
              <w:rPr>
                <w:szCs w:val="28"/>
              </w:rPr>
            </w:pPr>
            <w:r>
              <w:rPr>
                <w:szCs w:val="28"/>
              </w:rPr>
              <w:t>0.</w:t>
            </w:r>
            <w:r w:rsidR="00372AB7">
              <w:rPr>
                <w:szCs w:val="28"/>
              </w:rPr>
              <w:t>047</w:t>
            </w:r>
          </w:p>
        </w:tc>
      </w:tr>
      <w:tr w:rsidR="009E5265" w14:paraId="3DF5DB8E" w14:textId="77777777" w:rsidTr="00CB787E">
        <w:trPr>
          <w:trHeight w:val="70"/>
        </w:trPr>
        <w:tc>
          <w:tcPr>
            <w:tcW w:w="1573" w:type="pct"/>
          </w:tcPr>
          <w:p w14:paraId="527A65B0" w14:textId="77777777" w:rsidR="009E5265" w:rsidRPr="003C2462" w:rsidRDefault="009E5265" w:rsidP="009E5265">
            <w:pPr>
              <w:rPr>
                <w:szCs w:val="28"/>
              </w:rPr>
            </w:pPr>
            <w:r>
              <w:rPr>
                <w:szCs w:val="28"/>
              </w:rPr>
              <w:t>Có</w:t>
            </w:r>
          </w:p>
        </w:tc>
        <w:tc>
          <w:tcPr>
            <w:tcW w:w="943" w:type="pct"/>
            <w:vAlign w:val="top"/>
          </w:tcPr>
          <w:p w14:paraId="3C9BEDB3" w14:textId="02F4249C" w:rsidR="009E5265" w:rsidRPr="003C2462" w:rsidRDefault="009E5265" w:rsidP="009E5265">
            <w:pPr>
              <w:jc w:val="center"/>
              <w:rPr>
                <w:szCs w:val="28"/>
              </w:rPr>
            </w:pPr>
            <w:r>
              <w:t>85 (</w:t>
            </w:r>
            <w:r w:rsidRPr="00C92427">
              <w:t>57.4%</w:t>
            </w:r>
            <w:r>
              <w:t>)</w:t>
            </w:r>
          </w:p>
        </w:tc>
        <w:tc>
          <w:tcPr>
            <w:tcW w:w="840" w:type="pct"/>
            <w:vAlign w:val="top"/>
          </w:tcPr>
          <w:p w14:paraId="44FAC0EC" w14:textId="3E036019" w:rsidR="009E5265" w:rsidRPr="003C2462" w:rsidRDefault="009E5265" w:rsidP="009E5265">
            <w:pPr>
              <w:jc w:val="center"/>
              <w:rPr>
                <w:szCs w:val="28"/>
              </w:rPr>
            </w:pPr>
            <w:r>
              <w:t>63 (</w:t>
            </w:r>
            <w:r w:rsidRPr="00C92427">
              <w:t>42.6%</w:t>
            </w:r>
            <w:r>
              <w:t>)</w:t>
            </w:r>
          </w:p>
        </w:tc>
        <w:tc>
          <w:tcPr>
            <w:tcW w:w="1037" w:type="pct"/>
            <w:vMerge/>
          </w:tcPr>
          <w:p w14:paraId="62C7EFDB" w14:textId="77777777" w:rsidR="009E5265" w:rsidRPr="003C2462" w:rsidRDefault="009E5265" w:rsidP="009E5265">
            <w:pPr>
              <w:jc w:val="center"/>
            </w:pPr>
          </w:p>
        </w:tc>
        <w:tc>
          <w:tcPr>
            <w:tcW w:w="607" w:type="pct"/>
            <w:vMerge/>
          </w:tcPr>
          <w:p w14:paraId="2B498165" w14:textId="77777777" w:rsidR="009E5265" w:rsidRPr="003C2462" w:rsidRDefault="009E5265" w:rsidP="009E5265">
            <w:pPr>
              <w:jc w:val="center"/>
              <w:rPr>
                <w:szCs w:val="28"/>
              </w:rPr>
            </w:pPr>
          </w:p>
        </w:tc>
      </w:tr>
    </w:tbl>
    <w:p w14:paraId="055D4F36" w14:textId="62B88E41" w:rsidR="00710B98" w:rsidRDefault="00710B98" w:rsidP="00710B98">
      <w:pPr>
        <w:tabs>
          <w:tab w:val="left" w:pos="2400"/>
        </w:tabs>
        <w:spacing w:before="160"/>
      </w:pPr>
      <w:r>
        <w:t xml:space="preserve">Nhận xét: Đánh giá SDD theo </w:t>
      </w:r>
      <w:r w:rsidR="0081147B">
        <w:t>SGA</w:t>
      </w:r>
      <w:r>
        <w:t>, tỷ lệ SDD ở bệnh nhân không thiếu máu là 29</w:t>
      </w:r>
      <w:r w:rsidRPr="00946903">
        <w:t>.</w:t>
      </w:r>
      <w:r>
        <w:t>4</w:t>
      </w:r>
      <w:r w:rsidRPr="006B18A8">
        <w:t>%</w:t>
      </w:r>
      <w:r>
        <w:t xml:space="preserve"> thấp hơn bệnh nhân thiếu máu là 42</w:t>
      </w:r>
      <w:r w:rsidRPr="00D16334">
        <w:t>.</w:t>
      </w:r>
      <w:r>
        <w:t>6</w:t>
      </w:r>
      <w:r w:rsidRPr="00D16334">
        <w:t>%</w:t>
      </w:r>
      <w:r>
        <w:t xml:space="preserve">. OR = </w:t>
      </w:r>
      <w:r w:rsidR="00BC335D">
        <w:t>1.779</w:t>
      </w:r>
      <w:r>
        <w:t xml:space="preserve">, khoảng tin cậy 95% của OR là </w:t>
      </w:r>
      <w:r w:rsidR="00517A88" w:rsidRPr="00C05D47">
        <w:t>1.040</w:t>
      </w:r>
      <w:r w:rsidR="00517A88">
        <w:t>-</w:t>
      </w:r>
      <w:r w:rsidR="00517A88" w:rsidRPr="00C05D47">
        <w:t>3.041</w:t>
      </w:r>
      <w:r>
        <w:t>, sự khác biệt có ý nghĩa thống kê với p = 0</w:t>
      </w:r>
      <w:r w:rsidRPr="00802A61">
        <w:t>.</w:t>
      </w:r>
      <w:r>
        <w:t>0</w:t>
      </w:r>
      <w:r w:rsidR="00517A88">
        <w:t>47</w:t>
      </w:r>
      <w:r>
        <w:t>.</w:t>
      </w:r>
    </w:p>
    <w:p w14:paraId="14D97C77" w14:textId="7B760DC1" w:rsidR="009061D0" w:rsidRDefault="009061D0" w:rsidP="00266BFD">
      <w:pPr>
        <w:pStyle w:val="Heading3"/>
      </w:pPr>
      <w:r>
        <w:t>3.</w:t>
      </w:r>
      <w:r w:rsidR="00D0751A">
        <w:t>3</w:t>
      </w:r>
      <w:r>
        <w:t>.</w:t>
      </w:r>
      <w:r w:rsidR="009C1972">
        <w:t>9</w:t>
      </w:r>
      <w:r>
        <w:t>. Mối liên quan giữa số lượng bạch cầu và tình trạng dinh dưỡng</w:t>
      </w:r>
    </w:p>
    <w:p w14:paraId="47481414" w14:textId="68B81C53" w:rsidR="00B0065A" w:rsidRPr="004D4832" w:rsidRDefault="00B0065A" w:rsidP="00B0065A">
      <w:pPr>
        <w:pStyle w:val="Caption"/>
        <w:rPr>
          <w:b w:val="0"/>
          <w:bCs/>
        </w:rPr>
      </w:pPr>
      <w:bookmarkStart w:id="101" w:name="_Toc133590765"/>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22</w:t>
      </w:r>
      <w:r w:rsidR="000A1A5C">
        <w:fldChar w:fldCharType="end"/>
      </w:r>
      <w:r>
        <w:t xml:space="preserve">. </w:t>
      </w:r>
      <w:r>
        <w:rPr>
          <w:bCs/>
        </w:rPr>
        <w:t>Mối liên quan giữa số lượng bạch cầu và TTDD theo BMI</w:t>
      </w:r>
      <w:bookmarkEnd w:id="101"/>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99294B" w14:paraId="6ECCF7F9" w14:textId="77777777" w:rsidTr="00CB787E">
        <w:tc>
          <w:tcPr>
            <w:tcW w:w="1573" w:type="pct"/>
            <w:vMerge w:val="restart"/>
            <w:tcBorders>
              <w:tl2br w:val="single" w:sz="4" w:space="0" w:color="auto"/>
            </w:tcBorders>
          </w:tcPr>
          <w:p w14:paraId="3019E141" w14:textId="77777777" w:rsidR="0099294B" w:rsidRPr="002A15EF" w:rsidRDefault="0099294B" w:rsidP="00CB787E">
            <w:pPr>
              <w:jc w:val="right"/>
              <w:rPr>
                <w:b/>
                <w:bCs/>
                <w:szCs w:val="28"/>
              </w:rPr>
            </w:pPr>
            <w:r>
              <w:rPr>
                <w:b/>
                <w:bCs/>
                <w:szCs w:val="28"/>
              </w:rPr>
              <w:t>TTDD</w:t>
            </w:r>
          </w:p>
          <w:p w14:paraId="6BE341CB" w14:textId="77777777" w:rsidR="0099294B" w:rsidRDefault="0099294B" w:rsidP="00CB787E">
            <w:pPr>
              <w:rPr>
                <w:b/>
                <w:bCs/>
                <w:szCs w:val="28"/>
              </w:rPr>
            </w:pPr>
          </w:p>
          <w:p w14:paraId="7FC1F1AE" w14:textId="77777777" w:rsidR="0099294B" w:rsidRDefault="0099294B" w:rsidP="00CB787E">
            <w:pPr>
              <w:rPr>
                <w:b/>
                <w:bCs/>
                <w:szCs w:val="28"/>
              </w:rPr>
            </w:pPr>
            <w:r>
              <w:rPr>
                <w:b/>
                <w:bCs/>
                <w:szCs w:val="28"/>
              </w:rPr>
              <w:t>Số lượng</w:t>
            </w:r>
          </w:p>
          <w:p w14:paraId="64BA8140" w14:textId="59CD7AAD" w:rsidR="0099294B" w:rsidRPr="002A15EF" w:rsidRDefault="0099294B" w:rsidP="00CB787E">
            <w:pPr>
              <w:rPr>
                <w:b/>
                <w:bCs/>
                <w:szCs w:val="28"/>
              </w:rPr>
            </w:pPr>
            <w:r>
              <w:rPr>
                <w:b/>
                <w:bCs/>
                <w:szCs w:val="28"/>
              </w:rPr>
              <w:t>bạch cầu</w:t>
            </w:r>
          </w:p>
        </w:tc>
        <w:tc>
          <w:tcPr>
            <w:tcW w:w="1783" w:type="pct"/>
            <w:gridSpan w:val="2"/>
          </w:tcPr>
          <w:p w14:paraId="61FD5F3F" w14:textId="28E92B2D" w:rsidR="0099294B" w:rsidRPr="002A15EF" w:rsidRDefault="00632FE7" w:rsidP="00CB787E">
            <w:pPr>
              <w:jc w:val="center"/>
              <w:rPr>
                <w:b/>
                <w:bCs/>
                <w:szCs w:val="28"/>
              </w:rPr>
            </w:pPr>
            <w:r>
              <w:rPr>
                <w:b/>
                <w:bCs/>
                <w:szCs w:val="28"/>
              </w:rPr>
              <w:t>BMI</w:t>
            </w:r>
          </w:p>
        </w:tc>
        <w:tc>
          <w:tcPr>
            <w:tcW w:w="1037" w:type="pct"/>
            <w:vMerge w:val="restart"/>
          </w:tcPr>
          <w:p w14:paraId="503BDC69" w14:textId="77777777" w:rsidR="0099294B" w:rsidRDefault="0099294B" w:rsidP="00CB787E">
            <w:pPr>
              <w:jc w:val="center"/>
              <w:rPr>
                <w:b/>
                <w:bCs/>
              </w:rPr>
            </w:pPr>
            <w:r>
              <w:rPr>
                <w:b/>
                <w:bCs/>
              </w:rPr>
              <w:t>OR</w:t>
            </w:r>
          </w:p>
          <w:p w14:paraId="238390E5" w14:textId="77777777" w:rsidR="0099294B" w:rsidRPr="002A15EF" w:rsidRDefault="0099294B" w:rsidP="00CB787E">
            <w:pPr>
              <w:jc w:val="center"/>
              <w:rPr>
                <w:b/>
                <w:bCs/>
              </w:rPr>
            </w:pPr>
            <w:r>
              <w:rPr>
                <w:b/>
                <w:bCs/>
              </w:rPr>
              <w:t>(95% CI)</w:t>
            </w:r>
          </w:p>
        </w:tc>
        <w:tc>
          <w:tcPr>
            <w:tcW w:w="607" w:type="pct"/>
            <w:vMerge w:val="restart"/>
          </w:tcPr>
          <w:p w14:paraId="095A787D" w14:textId="77777777" w:rsidR="0099294B" w:rsidRPr="002A15EF" w:rsidRDefault="0099294B" w:rsidP="00CB787E">
            <w:pPr>
              <w:jc w:val="center"/>
              <w:rPr>
                <w:b/>
                <w:bCs/>
                <w:szCs w:val="28"/>
              </w:rPr>
            </w:pPr>
            <w:r w:rsidRPr="002A15EF">
              <w:rPr>
                <w:b/>
                <w:bCs/>
                <w:szCs w:val="28"/>
              </w:rPr>
              <w:t>p</w:t>
            </w:r>
          </w:p>
        </w:tc>
      </w:tr>
      <w:tr w:rsidR="0099294B" w14:paraId="5FE1EBFF" w14:textId="77777777" w:rsidTr="00CB787E">
        <w:tc>
          <w:tcPr>
            <w:tcW w:w="1573" w:type="pct"/>
            <w:vMerge/>
            <w:tcBorders>
              <w:tl2br w:val="single" w:sz="4" w:space="0" w:color="auto"/>
            </w:tcBorders>
          </w:tcPr>
          <w:p w14:paraId="4851FDDF" w14:textId="77777777" w:rsidR="0099294B" w:rsidRPr="002A15EF" w:rsidRDefault="0099294B" w:rsidP="00CB787E">
            <w:pPr>
              <w:rPr>
                <w:szCs w:val="28"/>
              </w:rPr>
            </w:pPr>
          </w:p>
        </w:tc>
        <w:tc>
          <w:tcPr>
            <w:tcW w:w="943" w:type="pct"/>
          </w:tcPr>
          <w:p w14:paraId="0C853BF1" w14:textId="77777777" w:rsidR="0099294B" w:rsidRDefault="0099294B" w:rsidP="00CB787E">
            <w:pPr>
              <w:jc w:val="center"/>
              <w:rPr>
                <w:b/>
                <w:bCs/>
                <w:szCs w:val="28"/>
              </w:rPr>
            </w:pPr>
            <w:r>
              <w:rPr>
                <w:b/>
                <w:bCs/>
                <w:szCs w:val="28"/>
              </w:rPr>
              <w:t>Không SDD</w:t>
            </w:r>
          </w:p>
          <w:p w14:paraId="6E593D8D" w14:textId="77777777" w:rsidR="0099294B" w:rsidRPr="002A15EF" w:rsidRDefault="0099294B"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709B427B" w14:textId="77777777" w:rsidR="0099294B" w:rsidRPr="002A15EF" w:rsidRDefault="0099294B"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0F52570E" w14:textId="77777777" w:rsidR="0099294B" w:rsidRPr="002A15EF" w:rsidRDefault="0099294B" w:rsidP="00CB787E">
            <w:pPr>
              <w:jc w:val="center"/>
            </w:pPr>
          </w:p>
        </w:tc>
        <w:tc>
          <w:tcPr>
            <w:tcW w:w="607" w:type="pct"/>
            <w:vMerge/>
          </w:tcPr>
          <w:p w14:paraId="64E27CFD" w14:textId="77777777" w:rsidR="0099294B" w:rsidRPr="002A15EF" w:rsidRDefault="0099294B" w:rsidP="00CB787E">
            <w:pPr>
              <w:jc w:val="center"/>
              <w:rPr>
                <w:szCs w:val="28"/>
              </w:rPr>
            </w:pPr>
          </w:p>
        </w:tc>
      </w:tr>
      <w:tr w:rsidR="00DB3617" w14:paraId="21361F1C" w14:textId="77777777" w:rsidTr="00CB787E">
        <w:trPr>
          <w:trHeight w:val="354"/>
        </w:trPr>
        <w:tc>
          <w:tcPr>
            <w:tcW w:w="1573" w:type="pct"/>
          </w:tcPr>
          <w:p w14:paraId="792779AA" w14:textId="2C34DAA4" w:rsidR="00DB3617" w:rsidRPr="003C2462" w:rsidRDefault="00DB3617" w:rsidP="00DB3617">
            <w:pPr>
              <w:rPr>
                <w:szCs w:val="28"/>
              </w:rPr>
            </w:pPr>
            <w:r>
              <w:rPr>
                <w:szCs w:val="28"/>
              </w:rPr>
              <w:t>&lt;12 G/L</w:t>
            </w:r>
          </w:p>
        </w:tc>
        <w:tc>
          <w:tcPr>
            <w:tcW w:w="943" w:type="pct"/>
            <w:vAlign w:val="top"/>
          </w:tcPr>
          <w:p w14:paraId="7A735B67" w14:textId="642416C2" w:rsidR="00DB3617" w:rsidRPr="003C2462" w:rsidRDefault="00DB3617" w:rsidP="00DB3617">
            <w:pPr>
              <w:jc w:val="center"/>
              <w:rPr>
                <w:szCs w:val="28"/>
              </w:rPr>
            </w:pPr>
            <w:r>
              <w:t>143 (</w:t>
            </w:r>
            <w:r w:rsidRPr="009A00E6">
              <w:t>68.4%</w:t>
            </w:r>
            <w:r>
              <w:t>)</w:t>
            </w:r>
          </w:p>
        </w:tc>
        <w:tc>
          <w:tcPr>
            <w:tcW w:w="840" w:type="pct"/>
            <w:vAlign w:val="top"/>
          </w:tcPr>
          <w:p w14:paraId="368666F2" w14:textId="664FF027" w:rsidR="00DB3617" w:rsidRPr="003C2462" w:rsidRDefault="00DB3617" w:rsidP="00DB3617">
            <w:pPr>
              <w:jc w:val="center"/>
              <w:rPr>
                <w:szCs w:val="28"/>
              </w:rPr>
            </w:pPr>
            <w:r>
              <w:t>66 (</w:t>
            </w:r>
            <w:r w:rsidRPr="009A00E6">
              <w:t>31.6%</w:t>
            </w:r>
            <w:r>
              <w:t>)</w:t>
            </w:r>
          </w:p>
        </w:tc>
        <w:tc>
          <w:tcPr>
            <w:tcW w:w="1037" w:type="pct"/>
            <w:vMerge w:val="restart"/>
          </w:tcPr>
          <w:p w14:paraId="21EC24BE" w14:textId="77777777" w:rsidR="00DB3617" w:rsidRDefault="00DB3617" w:rsidP="00DB3617">
            <w:pPr>
              <w:jc w:val="center"/>
            </w:pPr>
            <w:r w:rsidRPr="000A480B">
              <w:t>2.063</w:t>
            </w:r>
          </w:p>
          <w:p w14:paraId="65A28522" w14:textId="7B4A59D2" w:rsidR="00DB3617" w:rsidRPr="003C2462" w:rsidRDefault="00DB3617" w:rsidP="00DB3617">
            <w:pPr>
              <w:jc w:val="center"/>
            </w:pPr>
            <w:r>
              <w:t>(</w:t>
            </w:r>
            <w:r w:rsidRPr="000A480B">
              <w:t>1.047</w:t>
            </w:r>
            <w:r>
              <w:t>-</w:t>
            </w:r>
            <w:r w:rsidRPr="000A480B">
              <w:t>4.066</w:t>
            </w:r>
            <w:r>
              <w:t>)</w:t>
            </w:r>
          </w:p>
        </w:tc>
        <w:tc>
          <w:tcPr>
            <w:tcW w:w="607" w:type="pct"/>
            <w:vMerge w:val="restart"/>
          </w:tcPr>
          <w:p w14:paraId="26DA5686" w14:textId="2D37806B" w:rsidR="00DB3617" w:rsidRPr="003C2462" w:rsidRDefault="00DB3617" w:rsidP="00DB3617">
            <w:pPr>
              <w:jc w:val="center"/>
              <w:rPr>
                <w:szCs w:val="28"/>
              </w:rPr>
            </w:pPr>
            <w:r>
              <w:rPr>
                <w:szCs w:val="28"/>
              </w:rPr>
              <w:t>0.052</w:t>
            </w:r>
          </w:p>
        </w:tc>
      </w:tr>
      <w:tr w:rsidR="00DB3617" w14:paraId="7BE01595" w14:textId="77777777" w:rsidTr="00CB787E">
        <w:trPr>
          <w:trHeight w:val="70"/>
        </w:trPr>
        <w:tc>
          <w:tcPr>
            <w:tcW w:w="1573" w:type="pct"/>
          </w:tcPr>
          <w:p w14:paraId="34543323" w14:textId="3845B1CA" w:rsidR="00DB3617" w:rsidRPr="003C2462" w:rsidRDefault="00DB3617" w:rsidP="00DB3617">
            <w:pPr>
              <w:rPr>
                <w:szCs w:val="28"/>
              </w:rPr>
            </w:pPr>
            <w:r>
              <w:rPr>
                <w:szCs w:val="28"/>
              </w:rPr>
              <w:t>≥12 G/L</w:t>
            </w:r>
          </w:p>
        </w:tc>
        <w:tc>
          <w:tcPr>
            <w:tcW w:w="943" w:type="pct"/>
            <w:vAlign w:val="top"/>
          </w:tcPr>
          <w:p w14:paraId="1D3AA7E0" w14:textId="11AD5928" w:rsidR="00DB3617" w:rsidRPr="003C2462" w:rsidRDefault="00DB3617" w:rsidP="00DB3617">
            <w:pPr>
              <w:jc w:val="center"/>
              <w:rPr>
                <w:szCs w:val="28"/>
              </w:rPr>
            </w:pPr>
            <w:r>
              <w:t>21 (</w:t>
            </w:r>
            <w:r w:rsidRPr="001B4283">
              <w:t>51.2%</w:t>
            </w:r>
            <w:r>
              <w:t>)</w:t>
            </w:r>
          </w:p>
        </w:tc>
        <w:tc>
          <w:tcPr>
            <w:tcW w:w="840" w:type="pct"/>
            <w:vAlign w:val="top"/>
          </w:tcPr>
          <w:p w14:paraId="6E46EDE6" w14:textId="7DB6FF7E" w:rsidR="00DB3617" w:rsidRPr="003C2462" w:rsidRDefault="00DB3617" w:rsidP="00DB3617">
            <w:pPr>
              <w:jc w:val="center"/>
              <w:rPr>
                <w:szCs w:val="28"/>
              </w:rPr>
            </w:pPr>
            <w:r>
              <w:t>20 (</w:t>
            </w:r>
            <w:r w:rsidRPr="001B4283">
              <w:t>48.8%</w:t>
            </w:r>
            <w:r>
              <w:t>)</w:t>
            </w:r>
          </w:p>
        </w:tc>
        <w:tc>
          <w:tcPr>
            <w:tcW w:w="1037" w:type="pct"/>
            <w:vMerge/>
          </w:tcPr>
          <w:p w14:paraId="3221933B" w14:textId="77777777" w:rsidR="00DB3617" w:rsidRPr="003C2462" w:rsidRDefault="00DB3617" w:rsidP="00DB3617">
            <w:pPr>
              <w:jc w:val="center"/>
            </w:pPr>
          </w:p>
        </w:tc>
        <w:tc>
          <w:tcPr>
            <w:tcW w:w="607" w:type="pct"/>
            <w:vMerge/>
          </w:tcPr>
          <w:p w14:paraId="4D1A0FE1" w14:textId="77777777" w:rsidR="00DB3617" w:rsidRPr="003C2462" w:rsidRDefault="00DB3617" w:rsidP="00DB3617">
            <w:pPr>
              <w:jc w:val="center"/>
              <w:rPr>
                <w:szCs w:val="28"/>
              </w:rPr>
            </w:pPr>
          </w:p>
        </w:tc>
      </w:tr>
    </w:tbl>
    <w:p w14:paraId="2E469EC3" w14:textId="7EC7077C" w:rsidR="001A1092" w:rsidRDefault="001A1092" w:rsidP="001A1092">
      <w:pPr>
        <w:tabs>
          <w:tab w:val="left" w:pos="2400"/>
        </w:tabs>
        <w:spacing w:before="160"/>
      </w:pPr>
      <w:r>
        <w:t xml:space="preserve">Nhận xét: </w:t>
      </w:r>
      <w:r w:rsidR="00BF2354">
        <w:t>B</w:t>
      </w:r>
      <w:r>
        <w:t xml:space="preserve">ệnh nhân </w:t>
      </w:r>
      <w:r w:rsidR="00F87B96">
        <w:t>số lượng bạch cầu &lt;12 G/L có tỷ lệ SDD</w:t>
      </w:r>
      <w:r>
        <w:t xml:space="preserve"> là </w:t>
      </w:r>
      <w:r w:rsidR="00F87B96">
        <w:t>31</w:t>
      </w:r>
      <w:r w:rsidRPr="00946903">
        <w:t>.</w:t>
      </w:r>
      <w:r w:rsidR="00F87B96">
        <w:t>6</w:t>
      </w:r>
      <w:r w:rsidRPr="006B18A8">
        <w:t>%</w:t>
      </w:r>
      <w:r>
        <w:t xml:space="preserve"> thấp hơn bệnh nhân </w:t>
      </w:r>
      <w:r w:rsidR="005D775C">
        <w:t xml:space="preserve">số lượng bạch cầu ≥12 G/L </w:t>
      </w:r>
      <w:r>
        <w:t>là 4</w:t>
      </w:r>
      <w:r w:rsidR="005D775C">
        <w:t>8</w:t>
      </w:r>
      <w:r w:rsidRPr="00D16334">
        <w:t>.</w:t>
      </w:r>
      <w:r w:rsidR="005D775C">
        <w:t>8</w:t>
      </w:r>
      <w:r w:rsidRPr="00D16334">
        <w:t>%</w:t>
      </w:r>
      <w:r>
        <w:t>.</w:t>
      </w:r>
      <w:r w:rsidR="00032AA8">
        <w:t xml:space="preserve"> S</w:t>
      </w:r>
      <w:r>
        <w:t xml:space="preserve">ự khác biệt </w:t>
      </w:r>
      <w:r w:rsidR="00847D05">
        <w:t xml:space="preserve">chưa </w:t>
      </w:r>
      <w:r>
        <w:t>có ý nghĩa thống kê với p = 0</w:t>
      </w:r>
      <w:r w:rsidRPr="00802A61">
        <w:t>.</w:t>
      </w:r>
      <w:r>
        <w:t>0</w:t>
      </w:r>
      <w:r w:rsidR="00085D87">
        <w:t>52</w:t>
      </w:r>
      <w:r>
        <w:t>.</w:t>
      </w:r>
    </w:p>
    <w:p w14:paraId="0029B2A2" w14:textId="522FC1E1" w:rsidR="00B0065A" w:rsidRPr="004D4832" w:rsidRDefault="00B0065A" w:rsidP="00B0065A">
      <w:pPr>
        <w:pStyle w:val="Caption"/>
        <w:rPr>
          <w:b w:val="0"/>
          <w:bCs/>
        </w:rPr>
      </w:pPr>
      <w:bookmarkStart w:id="102" w:name="_Toc133590766"/>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23</w:t>
      </w:r>
      <w:r w:rsidR="000A1A5C">
        <w:fldChar w:fldCharType="end"/>
      </w:r>
      <w:r>
        <w:t xml:space="preserve">. </w:t>
      </w:r>
      <w:r>
        <w:rPr>
          <w:bCs/>
        </w:rPr>
        <w:t>Mối liên quan giữa số lượng bạch cầu và TTDD theo SGA</w:t>
      </w:r>
      <w:bookmarkEnd w:id="102"/>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632FE7" w14:paraId="2B7AC32A" w14:textId="77777777" w:rsidTr="00CB787E">
        <w:tc>
          <w:tcPr>
            <w:tcW w:w="1573" w:type="pct"/>
            <w:vMerge w:val="restart"/>
            <w:tcBorders>
              <w:tl2br w:val="single" w:sz="4" w:space="0" w:color="auto"/>
            </w:tcBorders>
          </w:tcPr>
          <w:p w14:paraId="2A67ED53" w14:textId="77777777" w:rsidR="00632FE7" w:rsidRPr="002A15EF" w:rsidRDefault="00632FE7" w:rsidP="00CB787E">
            <w:pPr>
              <w:jc w:val="right"/>
              <w:rPr>
                <w:b/>
                <w:bCs/>
                <w:szCs w:val="28"/>
              </w:rPr>
            </w:pPr>
            <w:r>
              <w:rPr>
                <w:b/>
                <w:bCs/>
                <w:szCs w:val="28"/>
              </w:rPr>
              <w:t>TTDD</w:t>
            </w:r>
          </w:p>
          <w:p w14:paraId="70085859" w14:textId="77777777" w:rsidR="00632FE7" w:rsidRDefault="00632FE7" w:rsidP="00CB787E">
            <w:pPr>
              <w:rPr>
                <w:b/>
                <w:bCs/>
                <w:szCs w:val="28"/>
              </w:rPr>
            </w:pPr>
          </w:p>
          <w:p w14:paraId="0B324E50" w14:textId="77777777" w:rsidR="00632FE7" w:rsidRDefault="00632FE7" w:rsidP="00CB787E">
            <w:pPr>
              <w:rPr>
                <w:b/>
                <w:bCs/>
                <w:szCs w:val="28"/>
              </w:rPr>
            </w:pPr>
            <w:r>
              <w:rPr>
                <w:b/>
                <w:bCs/>
                <w:szCs w:val="28"/>
              </w:rPr>
              <w:t>Số lượng</w:t>
            </w:r>
          </w:p>
          <w:p w14:paraId="23F30FD5" w14:textId="77777777" w:rsidR="00632FE7" w:rsidRPr="002A15EF" w:rsidRDefault="00632FE7" w:rsidP="00CB787E">
            <w:pPr>
              <w:rPr>
                <w:b/>
                <w:bCs/>
                <w:szCs w:val="28"/>
              </w:rPr>
            </w:pPr>
            <w:r>
              <w:rPr>
                <w:b/>
                <w:bCs/>
                <w:szCs w:val="28"/>
              </w:rPr>
              <w:t>bạch cầu</w:t>
            </w:r>
          </w:p>
        </w:tc>
        <w:tc>
          <w:tcPr>
            <w:tcW w:w="1783" w:type="pct"/>
            <w:gridSpan w:val="2"/>
          </w:tcPr>
          <w:p w14:paraId="3EB31DC5" w14:textId="77777777" w:rsidR="00632FE7" w:rsidRPr="002A15EF" w:rsidRDefault="00632FE7" w:rsidP="00CB787E">
            <w:pPr>
              <w:jc w:val="center"/>
              <w:rPr>
                <w:b/>
                <w:bCs/>
                <w:szCs w:val="28"/>
              </w:rPr>
            </w:pPr>
            <w:r>
              <w:rPr>
                <w:b/>
                <w:bCs/>
                <w:szCs w:val="28"/>
              </w:rPr>
              <w:t>SGA</w:t>
            </w:r>
          </w:p>
        </w:tc>
        <w:tc>
          <w:tcPr>
            <w:tcW w:w="1037" w:type="pct"/>
            <w:vMerge w:val="restart"/>
          </w:tcPr>
          <w:p w14:paraId="7889DBAA" w14:textId="77777777" w:rsidR="00632FE7" w:rsidRDefault="00632FE7" w:rsidP="00CB787E">
            <w:pPr>
              <w:jc w:val="center"/>
              <w:rPr>
                <w:b/>
                <w:bCs/>
              </w:rPr>
            </w:pPr>
            <w:r>
              <w:rPr>
                <w:b/>
                <w:bCs/>
              </w:rPr>
              <w:t>OR</w:t>
            </w:r>
          </w:p>
          <w:p w14:paraId="5BBD0570" w14:textId="77777777" w:rsidR="00632FE7" w:rsidRPr="002A15EF" w:rsidRDefault="00632FE7" w:rsidP="00CB787E">
            <w:pPr>
              <w:jc w:val="center"/>
              <w:rPr>
                <w:b/>
                <w:bCs/>
              </w:rPr>
            </w:pPr>
            <w:r>
              <w:rPr>
                <w:b/>
                <w:bCs/>
              </w:rPr>
              <w:t>(95% CI)</w:t>
            </w:r>
          </w:p>
        </w:tc>
        <w:tc>
          <w:tcPr>
            <w:tcW w:w="607" w:type="pct"/>
            <w:vMerge w:val="restart"/>
          </w:tcPr>
          <w:p w14:paraId="7D867D1D" w14:textId="77777777" w:rsidR="00632FE7" w:rsidRPr="002A15EF" w:rsidRDefault="00632FE7" w:rsidP="00CB787E">
            <w:pPr>
              <w:jc w:val="center"/>
              <w:rPr>
                <w:b/>
                <w:bCs/>
                <w:szCs w:val="28"/>
              </w:rPr>
            </w:pPr>
            <w:r w:rsidRPr="002A15EF">
              <w:rPr>
                <w:b/>
                <w:bCs/>
                <w:szCs w:val="28"/>
              </w:rPr>
              <w:t>p</w:t>
            </w:r>
          </w:p>
        </w:tc>
      </w:tr>
      <w:tr w:rsidR="00632FE7" w14:paraId="789EBAC1" w14:textId="77777777" w:rsidTr="00CB787E">
        <w:tc>
          <w:tcPr>
            <w:tcW w:w="1573" w:type="pct"/>
            <w:vMerge/>
            <w:tcBorders>
              <w:tl2br w:val="single" w:sz="4" w:space="0" w:color="auto"/>
            </w:tcBorders>
          </w:tcPr>
          <w:p w14:paraId="1F9DDF07" w14:textId="77777777" w:rsidR="00632FE7" w:rsidRPr="002A15EF" w:rsidRDefault="00632FE7" w:rsidP="00CB787E">
            <w:pPr>
              <w:rPr>
                <w:szCs w:val="28"/>
              </w:rPr>
            </w:pPr>
          </w:p>
        </w:tc>
        <w:tc>
          <w:tcPr>
            <w:tcW w:w="943" w:type="pct"/>
          </w:tcPr>
          <w:p w14:paraId="0681CEF0" w14:textId="77777777" w:rsidR="00632FE7" w:rsidRDefault="00632FE7" w:rsidP="00CB787E">
            <w:pPr>
              <w:jc w:val="center"/>
              <w:rPr>
                <w:b/>
                <w:bCs/>
                <w:szCs w:val="28"/>
              </w:rPr>
            </w:pPr>
            <w:r>
              <w:rPr>
                <w:b/>
                <w:bCs/>
                <w:szCs w:val="28"/>
              </w:rPr>
              <w:t>Không SDD</w:t>
            </w:r>
          </w:p>
          <w:p w14:paraId="3CEC73ED" w14:textId="77777777" w:rsidR="00632FE7" w:rsidRPr="002A15EF" w:rsidRDefault="00632FE7"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5628216A" w14:textId="77777777" w:rsidR="00632FE7" w:rsidRPr="002A15EF" w:rsidRDefault="00632FE7"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5C96C2F0" w14:textId="77777777" w:rsidR="00632FE7" w:rsidRPr="002A15EF" w:rsidRDefault="00632FE7" w:rsidP="00CB787E">
            <w:pPr>
              <w:jc w:val="center"/>
            </w:pPr>
          </w:p>
        </w:tc>
        <w:tc>
          <w:tcPr>
            <w:tcW w:w="607" w:type="pct"/>
            <w:vMerge/>
          </w:tcPr>
          <w:p w14:paraId="1EC14C74" w14:textId="77777777" w:rsidR="00632FE7" w:rsidRPr="002A15EF" w:rsidRDefault="00632FE7" w:rsidP="00CB787E">
            <w:pPr>
              <w:jc w:val="center"/>
              <w:rPr>
                <w:szCs w:val="28"/>
              </w:rPr>
            </w:pPr>
          </w:p>
        </w:tc>
      </w:tr>
      <w:tr w:rsidR="00DB3617" w14:paraId="20E0A13A" w14:textId="77777777" w:rsidTr="00CB787E">
        <w:trPr>
          <w:trHeight w:val="354"/>
        </w:trPr>
        <w:tc>
          <w:tcPr>
            <w:tcW w:w="1573" w:type="pct"/>
          </w:tcPr>
          <w:p w14:paraId="7C6F7C4A" w14:textId="12A5504E" w:rsidR="00DB3617" w:rsidRPr="003C2462" w:rsidRDefault="00DB3617" w:rsidP="00DB3617">
            <w:pPr>
              <w:rPr>
                <w:szCs w:val="28"/>
              </w:rPr>
            </w:pPr>
            <w:r>
              <w:rPr>
                <w:szCs w:val="28"/>
              </w:rPr>
              <w:t>&lt;12 G/L</w:t>
            </w:r>
          </w:p>
        </w:tc>
        <w:tc>
          <w:tcPr>
            <w:tcW w:w="943" w:type="pct"/>
            <w:vAlign w:val="top"/>
          </w:tcPr>
          <w:p w14:paraId="5C001E97" w14:textId="05A28B53" w:rsidR="00DB3617" w:rsidRPr="003C2462" w:rsidRDefault="00DB3617" w:rsidP="00DB3617">
            <w:pPr>
              <w:jc w:val="center"/>
              <w:rPr>
                <w:szCs w:val="28"/>
              </w:rPr>
            </w:pPr>
            <w:r>
              <w:t>137 (</w:t>
            </w:r>
            <w:r w:rsidRPr="003D29E2">
              <w:t>65.6%</w:t>
            </w:r>
            <w:r>
              <w:t>)</w:t>
            </w:r>
          </w:p>
        </w:tc>
        <w:tc>
          <w:tcPr>
            <w:tcW w:w="840" w:type="pct"/>
            <w:vAlign w:val="top"/>
          </w:tcPr>
          <w:p w14:paraId="0BA25C81" w14:textId="3C6A02C9" w:rsidR="00DB3617" w:rsidRPr="003C2462" w:rsidRDefault="00DB3617" w:rsidP="00DB3617">
            <w:pPr>
              <w:jc w:val="center"/>
              <w:rPr>
                <w:szCs w:val="28"/>
              </w:rPr>
            </w:pPr>
            <w:r>
              <w:t>72 (</w:t>
            </w:r>
            <w:r w:rsidRPr="003D29E2">
              <w:t>34.4%</w:t>
            </w:r>
            <w:r>
              <w:t>)</w:t>
            </w:r>
          </w:p>
        </w:tc>
        <w:tc>
          <w:tcPr>
            <w:tcW w:w="1037" w:type="pct"/>
            <w:vMerge w:val="restart"/>
          </w:tcPr>
          <w:p w14:paraId="064CF086" w14:textId="77777777" w:rsidR="002F6CC2" w:rsidRDefault="002F6CC2" w:rsidP="00DB3617">
            <w:pPr>
              <w:jc w:val="center"/>
            </w:pPr>
            <w:r w:rsidRPr="002F6CC2">
              <w:t>1.998</w:t>
            </w:r>
          </w:p>
          <w:p w14:paraId="591CB8C1" w14:textId="55E72235" w:rsidR="00DB3617" w:rsidRPr="003C2462" w:rsidRDefault="002F6CC2" w:rsidP="00DB3617">
            <w:pPr>
              <w:jc w:val="center"/>
            </w:pPr>
            <w:r>
              <w:t>(</w:t>
            </w:r>
            <w:r w:rsidRPr="002F6CC2">
              <w:t>1.017</w:t>
            </w:r>
            <w:r>
              <w:t>-</w:t>
            </w:r>
            <w:r w:rsidRPr="002F6CC2">
              <w:t>3.926</w:t>
            </w:r>
            <w:r>
              <w:t>)</w:t>
            </w:r>
          </w:p>
        </w:tc>
        <w:tc>
          <w:tcPr>
            <w:tcW w:w="607" w:type="pct"/>
            <w:vMerge w:val="restart"/>
          </w:tcPr>
          <w:p w14:paraId="3DE8A3CC" w14:textId="141A7F4F" w:rsidR="00DB3617" w:rsidRPr="003C2462" w:rsidRDefault="00DB3617" w:rsidP="00DB3617">
            <w:pPr>
              <w:jc w:val="center"/>
              <w:rPr>
                <w:szCs w:val="28"/>
              </w:rPr>
            </w:pPr>
            <w:r>
              <w:rPr>
                <w:szCs w:val="28"/>
              </w:rPr>
              <w:t>0.0</w:t>
            </w:r>
            <w:r w:rsidR="00EC70C1">
              <w:rPr>
                <w:szCs w:val="28"/>
              </w:rPr>
              <w:t>64</w:t>
            </w:r>
          </w:p>
        </w:tc>
      </w:tr>
      <w:tr w:rsidR="00DB3617" w14:paraId="238A1E6D" w14:textId="77777777" w:rsidTr="00CB787E">
        <w:trPr>
          <w:trHeight w:val="70"/>
        </w:trPr>
        <w:tc>
          <w:tcPr>
            <w:tcW w:w="1573" w:type="pct"/>
          </w:tcPr>
          <w:p w14:paraId="6495F8EC" w14:textId="71C981E7" w:rsidR="00DB3617" w:rsidRPr="003C2462" w:rsidRDefault="00DB3617" w:rsidP="00DB3617">
            <w:pPr>
              <w:rPr>
                <w:szCs w:val="28"/>
              </w:rPr>
            </w:pPr>
            <w:r>
              <w:rPr>
                <w:szCs w:val="28"/>
              </w:rPr>
              <w:t>≥12 G/L</w:t>
            </w:r>
          </w:p>
        </w:tc>
        <w:tc>
          <w:tcPr>
            <w:tcW w:w="943" w:type="pct"/>
            <w:vAlign w:val="top"/>
          </w:tcPr>
          <w:p w14:paraId="687B612E" w14:textId="219A4103" w:rsidR="00DB3617" w:rsidRPr="003C2462" w:rsidRDefault="00DB3617" w:rsidP="00DB3617">
            <w:pPr>
              <w:jc w:val="center"/>
              <w:rPr>
                <w:szCs w:val="28"/>
              </w:rPr>
            </w:pPr>
            <w:r>
              <w:t>20 (</w:t>
            </w:r>
            <w:r w:rsidRPr="00DD6693">
              <w:t>48.8%</w:t>
            </w:r>
            <w:r>
              <w:t>)</w:t>
            </w:r>
          </w:p>
        </w:tc>
        <w:tc>
          <w:tcPr>
            <w:tcW w:w="840" w:type="pct"/>
            <w:vAlign w:val="top"/>
          </w:tcPr>
          <w:p w14:paraId="604C0DAE" w14:textId="008AD66C" w:rsidR="00DB3617" w:rsidRPr="003C2462" w:rsidRDefault="00DB3617" w:rsidP="00DB3617">
            <w:pPr>
              <w:jc w:val="center"/>
              <w:rPr>
                <w:szCs w:val="28"/>
              </w:rPr>
            </w:pPr>
            <w:r>
              <w:t>21 (</w:t>
            </w:r>
            <w:r w:rsidRPr="00DD6693">
              <w:t>51.2%</w:t>
            </w:r>
            <w:r>
              <w:t>)</w:t>
            </w:r>
          </w:p>
        </w:tc>
        <w:tc>
          <w:tcPr>
            <w:tcW w:w="1037" w:type="pct"/>
            <w:vMerge/>
          </w:tcPr>
          <w:p w14:paraId="60B5C299" w14:textId="77777777" w:rsidR="00DB3617" w:rsidRPr="003C2462" w:rsidRDefault="00DB3617" w:rsidP="00DB3617">
            <w:pPr>
              <w:jc w:val="center"/>
            </w:pPr>
          </w:p>
        </w:tc>
        <w:tc>
          <w:tcPr>
            <w:tcW w:w="607" w:type="pct"/>
            <w:vMerge/>
          </w:tcPr>
          <w:p w14:paraId="37F7411F" w14:textId="77777777" w:rsidR="00DB3617" w:rsidRPr="003C2462" w:rsidRDefault="00DB3617" w:rsidP="00DB3617">
            <w:pPr>
              <w:jc w:val="center"/>
              <w:rPr>
                <w:szCs w:val="28"/>
              </w:rPr>
            </w:pPr>
          </w:p>
        </w:tc>
      </w:tr>
    </w:tbl>
    <w:p w14:paraId="1779E604" w14:textId="76A62362" w:rsidR="00151CFF" w:rsidRDefault="00151CFF" w:rsidP="00151CFF">
      <w:pPr>
        <w:tabs>
          <w:tab w:val="left" w:pos="2400"/>
        </w:tabs>
        <w:spacing w:before="160"/>
      </w:pPr>
      <w:r>
        <w:t xml:space="preserve">Nhận xét: </w:t>
      </w:r>
      <w:r w:rsidR="00FF68EC">
        <w:t>B</w:t>
      </w:r>
      <w:r>
        <w:t>ệnh nhân số lượng bạch cầu &lt;12 G/L có tỷ lệ SDD là 3</w:t>
      </w:r>
      <w:r w:rsidR="00AD0729">
        <w:t>4</w:t>
      </w:r>
      <w:r w:rsidRPr="00946903">
        <w:t>.</w:t>
      </w:r>
      <w:r w:rsidR="00AD0729">
        <w:t>4</w:t>
      </w:r>
      <w:r w:rsidRPr="006B18A8">
        <w:t>%</w:t>
      </w:r>
      <w:r>
        <w:t xml:space="preserve"> thấp hơn bệnh nhân số lượng bạch cầu ≥12 G/L là </w:t>
      </w:r>
      <w:r w:rsidR="00C23EC8">
        <w:t>51</w:t>
      </w:r>
      <w:r w:rsidRPr="00D16334">
        <w:t>.</w:t>
      </w:r>
      <w:r w:rsidR="00C23EC8">
        <w:t>2</w:t>
      </w:r>
      <w:r w:rsidRPr="00D16334">
        <w:t>%</w:t>
      </w:r>
      <w:r>
        <w:t>. Sự khác biệt chưa có ý nghĩa thống kê với p = 0</w:t>
      </w:r>
      <w:r w:rsidRPr="00802A61">
        <w:t>.</w:t>
      </w:r>
      <w:r>
        <w:t>0</w:t>
      </w:r>
      <w:r w:rsidR="00A5653C">
        <w:t>64</w:t>
      </w:r>
      <w:r>
        <w:t>.</w:t>
      </w:r>
    </w:p>
    <w:p w14:paraId="28CCA58A" w14:textId="3758E695" w:rsidR="00266BFD" w:rsidRDefault="00266BFD" w:rsidP="00266BFD">
      <w:pPr>
        <w:pStyle w:val="Heading3"/>
      </w:pPr>
      <w:r>
        <w:lastRenderedPageBreak/>
        <w:t>3.</w:t>
      </w:r>
      <w:r w:rsidR="00946294">
        <w:t>3</w:t>
      </w:r>
      <w:r>
        <w:t>.</w:t>
      </w:r>
      <w:r w:rsidR="00E81868">
        <w:t>1</w:t>
      </w:r>
      <w:r w:rsidR="009C1972">
        <w:t>0</w:t>
      </w:r>
      <w:r>
        <w:t>. Mối liên quan giữa tình trạng kháng thuốc và tình trạng dinh dưỡng</w:t>
      </w:r>
    </w:p>
    <w:p w14:paraId="2C2783BF" w14:textId="753300B2" w:rsidR="00334897" w:rsidRPr="004D4832" w:rsidRDefault="00334897" w:rsidP="00334897">
      <w:pPr>
        <w:pStyle w:val="Caption"/>
        <w:rPr>
          <w:b w:val="0"/>
          <w:bCs/>
        </w:rPr>
      </w:pPr>
      <w:bookmarkStart w:id="103" w:name="_Toc133590767"/>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24</w:t>
      </w:r>
      <w:r w:rsidR="000A1A5C">
        <w:fldChar w:fldCharType="end"/>
      </w:r>
      <w:r>
        <w:t xml:space="preserve">. </w:t>
      </w:r>
      <w:r>
        <w:rPr>
          <w:bCs/>
        </w:rPr>
        <w:t>Mối liên quan giữa kháng thuốc và TTDD theo BMI</w:t>
      </w:r>
      <w:bookmarkEnd w:id="103"/>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F53825" w14:paraId="6F3D6189" w14:textId="77777777" w:rsidTr="00CB787E">
        <w:tc>
          <w:tcPr>
            <w:tcW w:w="1573" w:type="pct"/>
            <w:vMerge w:val="restart"/>
            <w:tcBorders>
              <w:tl2br w:val="single" w:sz="4" w:space="0" w:color="auto"/>
            </w:tcBorders>
          </w:tcPr>
          <w:p w14:paraId="3DA0AA21" w14:textId="77777777" w:rsidR="00F53825" w:rsidRPr="002A15EF" w:rsidRDefault="00F53825" w:rsidP="00CB787E">
            <w:pPr>
              <w:jc w:val="right"/>
              <w:rPr>
                <w:b/>
                <w:bCs/>
                <w:szCs w:val="28"/>
              </w:rPr>
            </w:pPr>
            <w:r>
              <w:rPr>
                <w:b/>
                <w:bCs/>
                <w:szCs w:val="28"/>
              </w:rPr>
              <w:t>TTDD</w:t>
            </w:r>
          </w:p>
          <w:p w14:paraId="57AB8F40" w14:textId="77777777" w:rsidR="00F53825" w:rsidRDefault="00F53825" w:rsidP="00CB787E">
            <w:pPr>
              <w:rPr>
                <w:b/>
                <w:bCs/>
                <w:szCs w:val="28"/>
              </w:rPr>
            </w:pPr>
          </w:p>
          <w:p w14:paraId="77A2483F" w14:textId="5CCA5063" w:rsidR="00F53825" w:rsidRPr="002A15EF" w:rsidRDefault="00ED55BA" w:rsidP="00CB787E">
            <w:pPr>
              <w:rPr>
                <w:b/>
                <w:bCs/>
                <w:szCs w:val="28"/>
              </w:rPr>
            </w:pPr>
            <w:r>
              <w:rPr>
                <w:b/>
                <w:bCs/>
                <w:szCs w:val="28"/>
              </w:rPr>
              <w:t>Kháng thuốc</w:t>
            </w:r>
          </w:p>
        </w:tc>
        <w:tc>
          <w:tcPr>
            <w:tcW w:w="1783" w:type="pct"/>
            <w:gridSpan w:val="2"/>
          </w:tcPr>
          <w:p w14:paraId="27BA9498" w14:textId="3F9A13C0" w:rsidR="00F53825" w:rsidRPr="002A15EF" w:rsidRDefault="00F53825" w:rsidP="00CB787E">
            <w:pPr>
              <w:jc w:val="center"/>
              <w:rPr>
                <w:b/>
                <w:bCs/>
                <w:szCs w:val="28"/>
              </w:rPr>
            </w:pPr>
            <w:r>
              <w:rPr>
                <w:b/>
                <w:bCs/>
                <w:szCs w:val="28"/>
              </w:rPr>
              <w:t>BMI</w:t>
            </w:r>
          </w:p>
        </w:tc>
        <w:tc>
          <w:tcPr>
            <w:tcW w:w="1037" w:type="pct"/>
            <w:vMerge w:val="restart"/>
          </w:tcPr>
          <w:p w14:paraId="3BE360DD" w14:textId="77777777" w:rsidR="00F53825" w:rsidRDefault="00F53825" w:rsidP="00CB787E">
            <w:pPr>
              <w:jc w:val="center"/>
              <w:rPr>
                <w:b/>
                <w:bCs/>
              </w:rPr>
            </w:pPr>
            <w:r>
              <w:rPr>
                <w:b/>
                <w:bCs/>
              </w:rPr>
              <w:t>OR</w:t>
            </w:r>
          </w:p>
          <w:p w14:paraId="1D07C95E" w14:textId="77777777" w:rsidR="00F53825" w:rsidRPr="002A15EF" w:rsidRDefault="00F53825" w:rsidP="00CB787E">
            <w:pPr>
              <w:jc w:val="center"/>
              <w:rPr>
                <w:b/>
                <w:bCs/>
              </w:rPr>
            </w:pPr>
            <w:r>
              <w:rPr>
                <w:b/>
                <w:bCs/>
              </w:rPr>
              <w:t>(95% CI)</w:t>
            </w:r>
          </w:p>
        </w:tc>
        <w:tc>
          <w:tcPr>
            <w:tcW w:w="607" w:type="pct"/>
            <w:vMerge w:val="restart"/>
          </w:tcPr>
          <w:p w14:paraId="4EC4CEC6" w14:textId="77777777" w:rsidR="00F53825" w:rsidRPr="002A15EF" w:rsidRDefault="00F53825" w:rsidP="00CB787E">
            <w:pPr>
              <w:jc w:val="center"/>
              <w:rPr>
                <w:b/>
                <w:bCs/>
                <w:szCs w:val="28"/>
              </w:rPr>
            </w:pPr>
            <w:r w:rsidRPr="002A15EF">
              <w:rPr>
                <w:b/>
                <w:bCs/>
                <w:szCs w:val="28"/>
              </w:rPr>
              <w:t>p</w:t>
            </w:r>
          </w:p>
        </w:tc>
      </w:tr>
      <w:tr w:rsidR="00F53825" w14:paraId="3B8065F5" w14:textId="77777777" w:rsidTr="00CB787E">
        <w:tc>
          <w:tcPr>
            <w:tcW w:w="1573" w:type="pct"/>
            <w:vMerge/>
            <w:tcBorders>
              <w:tl2br w:val="single" w:sz="4" w:space="0" w:color="auto"/>
            </w:tcBorders>
          </w:tcPr>
          <w:p w14:paraId="20D3BC48" w14:textId="77777777" w:rsidR="00F53825" w:rsidRPr="002A15EF" w:rsidRDefault="00F53825" w:rsidP="00CB787E">
            <w:pPr>
              <w:rPr>
                <w:szCs w:val="28"/>
              </w:rPr>
            </w:pPr>
          </w:p>
        </w:tc>
        <w:tc>
          <w:tcPr>
            <w:tcW w:w="943" w:type="pct"/>
          </w:tcPr>
          <w:p w14:paraId="75EAE534" w14:textId="77777777" w:rsidR="00F53825" w:rsidRDefault="00F53825" w:rsidP="00CB787E">
            <w:pPr>
              <w:jc w:val="center"/>
              <w:rPr>
                <w:b/>
                <w:bCs/>
                <w:szCs w:val="28"/>
              </w:rPr>
            </w:pPr>
            <w:r>
              <w:rPr>
                <w:b/>
                <w:bCs/>
                <w:szCs w:val="28"/>
              </w:rPr>
              <w:t>Không SDD</w:t>
            </w:r>
          </w:p>
          <w:p w14:paraId="4F67EDEE" w14:textId="77777777" w:rsidR="00F53825" w:rsidRPr="002A15EF" w:rsidRDefault="00F53825"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611FAEFB" w14:textId="77777777" w:rsidR="00F53825" w:rsidRPr="002A15EF" w:rsidRDefault="00F53825"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1788C620" w14:textId="77777777" w:rsidR="00F53825" w:rsidRPr="002A15EF" w:rsidRDefault="00F53825" w:rsidP="00CB787E">
            <w:pPr>
              <w:jc w:val="center"/>
            </w:pPr>
          </w:p>
        </w:tc>
        <w:tc>
          <w:tcPr>
            <w:tcW w:w="607" w:type="pct"/>
            <w:vMerge/>
          </w:tcPr>
          <w:p w14:paraId="75258586" w14:textId="77777777" w:rsidR="00F53825" w:rsidRPr="002A15EF" w:rsidRDefault="00F53825" w:rsidP="00CB787E">
            <w:pPr>
              <w:jc w:val="center"/>
              <w:rPr>
                <w:szCs w:val="28"/>
              </w:rPr>
            </w:pPr>
          </w:p>
        </w:tc>
      </w:tr>
      <w:tr w:rsidR="00243B2E" w14:paraId="48F8F3DE" w14:textId="77777777" w:rsidTr="00CB787E">
        <w:trPr>
          <w:trHeight w:val="354"/>
        </w:trPr>
        <w:tc>
          <w:tcPr>
            <w:tcW w:w="1573" w:type="pct"/>
          </w:tcPr>
          <w:p w14:paraId="47D440A5" w14:textId="666F6333" w:rsidR="00243B2E" w:rsidRPr="003C2462" w:rsidRDefault="00243B2E" w:rsidP="00243B2E">
            <w:pPr>
              <w:rPr>
                <w:szCs w:val="28"/>
              </w:rPr>
            </w:pPr>
            <w:r>
              <w:rPr>
                <w:szCs w:val="28"/>
              </w:rPr>
              <w:t>Không</w:t>
            </w:r>
          </w:p>
        </w:tc>
        <w:tc>
          <w:tcPr>
            <w:tcW w:w="943" w:type="pct"/>
            <w:vAlign w:val="top"/>
          </w:tcPr>
          <w:p w14:paraId="34C0CF36" w14:textId="384F949F" w:rsidR="00243B2E" w:rsidRPr="003C2462" w:rsidRDefault="00243B2E" w:rsidP="00243B2E">
            <w:pPr>
              <w:jc w:val="center"/>
              <w:rPr>
                <w:szCs w:val="28"/>
              </w:rPr>
            </w:pPr>
            <w:r>
              <w:t>154 (</w:t>
            </w:r>
            <w:r w:rsidRPr="00B07ED0">
              <w:t>65.8%</w:t>
            </w:r>
            <w:r>
              <w:t>)</w:t>
            </w:r>
          </w:p>
        </w:tc>
        <w:tc>
          <w:tcPr>
            <w:tcW w:w="840" w:type="pct"/>
            <w:vAlign w:val="top"/>
          </w:tcPr>
          <w:p w14:paraId="63DA1937" w14:textId="5B0E94C2" w:rsidR="00243B2E" w:rsidRPr="003C2462" w:rsidRDefault="00243B2E" w:rsidP="00243B2E">
            <w:pPr>
              <w:jc w:val="center"/>
              <w:rPr>
                <w:szCs w:val="28"/>
              </w:rPr>
            </w:pPr>
            <w:r>
              <w:t>80 (</w:t>
            </w:r>
            <w:r w:rsidRPr="00B07ED0">
              <w:t>34.2%</w:t>
            </w:r>
            <w:r>
              <w:t>)</w:t>
            </w:r>
          </w:p>
        </w:tc>
        <w:tc>
          <w:tcPr>
            <w:tcW w:w="1037" w:type="pct"/>
            <w:vMerge w:val="restart"/>
          </w:tcPr>
          <w:p w14:paraId="337C25C2" w14:textId="77777777" w:rsidR="000921AB" w:rsidRDefault="000921AB" w:rsidP="00243B2E">
            <w:pPr>
              <w:jc w:val="center"/>
            </w:pPr>
            <w:r w:rsidRPr="000921AB">
              <w:t>1.155</w:t>
            </w:r>
          </w:p>
          <w:p w14:paraId="280E8224" w14:textId="7D202315" w:rsidR="00243B2E" w:rsidRPr="003C2462" w:rsidRDefault="000921AB" w:rsidP="00243B2E">
            <w:pPr>
              <w:jc w:val="center"/>
            </w:pPr>
            <w:r>
              <w:t>(0</w:t>
            </w:r>
            <w:r w:rsidRPr="000921AB">
              <w:t>.405</w:t>
            </w:r>
            <w:r>
              <w:t>-</w:t>
            </w:r>
            <w:r w:rsidRPr="000921AB">
              <w:t>3.292</w:t>
            </w:r>
            <w:r>
              <w:t>)</w:t>
            </w:r>
          </w:p>
        </w:tc>
        <w:tc>
          <w:tcPr>
            <w:tcW w:w="607" w:type="pct"/>
            <w:vMerge w:val="restart"/>
          </w:tcPr>
          <w:p w14:paraId="4FA35B78" w14:textId="20E25028" w:rsidR="00243B2E" w:rsidRPr="003C2462" w:rsidRDefault="00570F83" w:rsidP="00243B2E">
            <w:pPr>
              <w:jc w:val="center"/>
              <w:rPr>
                <w:szCs w:val="28"/>
              </w:rPr>
            </w:pPr>
            <w:r>
              <w:rPr>
                <w:szCs w:val="28"/>
              </w:rPr>
              <w:t>1.000</w:t>
            </w:r>
          </w:p>
        </w:tc>
      </w:tr>
      <w:tr w:rsidR="00243B2E" w14:paraId="321926E8" w14:textId="77777777" w:rsidTr="00CB787E">
        <w:trPr>
          <w:trHeight w:val="70"/>
        </w:trPr>
        <w:tc>
          <w:tcPr>
            <w:tcW w:w="1573" w:type="pct"/>
          </w:tcPr>
          <w:p w14:paraId="11B06D5C" w14:textId="04EFB0E8" w:rsidR="00243B2E" w:rsidRPr="003C2462" w:rsidRDefault="00243B2E" w:rsidP="00243B2E">
            <w:pPr>
              <w:rPr>
                <w:szCs w:val="28"/>
              </w:rPr>
            </w:pPr>
            <w:r>
              <w:rPr>
                <w:szCs w:val="28"/>
              </w:rPr>
              <w:t>Có</w:t>
            </w:r>
          </w:p>
        </w:tc>
        <w:tc>
          <w:tcPr>
            <w:tcW w:w="943" w:type="pct"/>
            <w:vAlign w:val="top"/>
          </w:tcPr>
          <w:p w14:paraId="38601081" w14:textId="21B52559" w:rsidR="00243B2E" w:rsidRPr="003C2462" w:rsidRDefault="00243B2E" w:rsidP="00243B2E">
            <w:pPr>
              <w:jc w:val="center"/>
              <w:rPr>
                <w:szCs w:val="28"/>
              </w:rPr>
            </w:pPr>
            <w:r>
              <w:t>10 (</w:t>
            </w:r>
            <w:r w:rsidRPr="0010519F">
              <w:t>62.5%</w:t>
            </w:r>
            <w:r>
              <w:t>)</w:t>
            </w:r>
          </w:p>
        </w:tc>
        <w:tc>
          <w:tcPr>
            <w:tcW w:w="840" w:type="pct"/>
            <w:vAlign w:val="top"/>
          </w:tcPr>
          <w:p w14:paraId="5865F389" w14:textId="74481F64" w:rsidR="00243B2E" w:rsidRPr="003C2462" w:rsidRDefault="00243B2E" w:rsidP="00243B2E">
            <w:pPr>
              <w:jc w:val="center"/>
              <w:rPr>
                <w:szCs w:val="28"/>
              </w:rPr>
            </w:pPr>
            <w:r>
              <w:t>6 (</w:t>
            </w:r>
            <w:r w:rsidRPr="0010519F">
              <w:t>37.5%</w:t>
            </w:r>
            <w:r>
              <w:t>)</w:t>
            </w:r>
          </w:p>
        </w:tc>
        <w:tc>
          <w:tcPr>
            <w:tcW w:w="1037" w:type="pct"/>
            <w:vMerge/>
          </w:tcPr>
          <w:p w14:paraId="5A3CC455" w14:textId="77777777" w:rsidR="00243B2E" w:rsidRPr="003C2462" w:rsidRDefault="00243B2E" w:rsidP="00243B2E">
            <w:pPr>
              <w:jc w:val="center"/>
            </w:pPr>
          </w:p>
        </w:tc>
        <w:tc>
          <w:tcPr>
            <w:tcW w:w="607" w:type="pct"/>
            <w:vMerge/>
          </w:tcPr>
          <w:p w14:paraId="6844CA7E" w14:textId="77777777" w:rsidR="00243B2E" w:rsidRPr="003C2462" w:rsidRDefault="00243B2E" w:rsidP="00243B2E">
            <w:pPr>
              <w:jc w:val="center"/>
              <w:rPr>
                <w:szCs w:val="28"/>
              </w:rPr>
            </w:pPr>
          </w:p>
        </w:tc>
      </w:tr>
    </w:tbl>
    <w:p w14:paraId="1F4A00AF" w14:textId="5CB5C53E" w:rsidR="00817CDB" w:rsidRDefault="00817CDB" w:rsidP="00817CDB">
      <w:pPr>
        <w:tabs>
          <w:tab w:val="left" w:pos="2400"/>
        </w:tabs>
        <w:spacing w:before="160"/>
      </w:pPr>
      <w:r>
        <w:t xml:space="preserve">Nhận xét: Đánh giá SDD theo BMI, </w:t>
      </w:r>
      <w:r w:rsidR="0071337D">
        <w:t>tình trạng kháng thuốc ở bệnh nhân</w:t>
      </w:r>
      <w:r>
        <w:t xml:space="preserve"> </w:t>
      </w:r>
      <w:r w:rsidR="0071337D">
        <w:t xml:space="preserve">SDD có </w:t>
      </w:r>
      <w:r>
        <w:t>tỷ lệ</w:t>
      </w:r>
      <w:r w:rsidR="0071337D">
        <w:t xml:space="preserve"> </w:t>
      </w:r>
      <w:r>
        <w:t>là 3</w:t>
      </w:r>
      <w:r w:rsidR="0071337D">
        <w:t>7</w:t>
      </w:r>
      <w:r w:rsidRPr="00946903">
        <w:t>.</w:t>
      </w:r>
      <w:r w:rsidR="0071337D">
        <w:t>5</w:t>
      </w:r>
      <w:r w:rsidRPr="006B18A8">
        <w:t>%</w:t>
      </w:r>
      <w:r>
        <w:t xml:space="preserve"> </w:t>
      </w:r>
      <w:r w:rsidR="009D62A7">
        <w:t>c</w:t>
      </w:r>
      <w:r w:rsidR="00EC46C2">
        <w:t>ao</w:t>
      </w:r>
      <w:r>
        <w:t xml:space="preserve"> hơn </w:t>
      </w:r>
      <w:r w:rsidR="002C5786">
        <w:t>không kháng thuốc</w:t>
      </w:r>
      <w:r>
        <w:t xml:space="preserve"> là </w:t>
      </w:r>
      <w:r w:rsidR="007D013F">
        <w:t>34</w:t>
      </w:r>
      <w:r w:rsidRPr="00D16334">
        <w:t>.</w:t>
      </w:r>
      <w:r>
        <w:t>2</w:t>
      </w:r>
      <w:r w:rsidRPr="00D16334">
        <w:t>%</w:t>
      </w:r>
      <w:r>
        <w:t xml:space="preserve">. Sự khác biệt chưa có ý nghĩa thống kê với p = </w:t>
      </w:r>
      <w:r w:rsidR="00A01933">
        <w:t>1.000</w:t>
      </w:r>
      <w:r>
        <w:t>.</w:t>
      </w:r>
    </w:p>
    <w:p w14:paraId="0CEBDC80" w14:textId="4B08388B" w:rsidR="00334897" w:rsidRPr="004D4832" w:rsidRDefault="00334897" w:rsidP="00334897">
      <w:pPr>
        <w:pStyle w:val="Caption"/>
        <w:rPr>
          <w:b w:val="0"/>
          <w:bCs/>
        </w:rPr>
      </w:pPr>
      <w:bookmarkStart w:id="104" w:name="_Toc133590768"/>
      <w:r>
        <w:t xml:space="preserve">Bảng </w:t>
      </w:r>
      <w:r w:rsidR="000A1A5C">
        <w:fldChar w:fldCharType="begin"/>
      </w:r>
      <w:r w:rsidR="000A1A5C">
        <w:instrText xml:space="preserve"> STYLEREF 1 \s </w:instrText>
      </w:r>
      <w:r w:rsidR="000A1A5C">
        <w:fldChar w:fldCharType="separate"/>
      </w:r>
      <w:r w:rsidR="000A1A5C">
        <w:t>3</w:t>
      </w:r>
      <w:r w:rsidR="000A1A5C">
        <w:fldChar w:fldCharType="end"/>
      </w:r>
      <w:r w:rsidR="000A1A5C">
        <w:t>.</w:t>
      </w:r>
      <w:r w:rsidR="000A1A5C">
        <w:fldChar w:fldCharType="begin"/>
      </w:r>
      <w:r w:rsidR="000A1A5C">
        <w:instrText xml:space="preserve"> SEQ Bảng \* ARABIC \s 1 </w:instrText>
      </w:r>
      <w:r w:rsidR="000A1A5C">
        <w:fldChar w:fldCharType="separate"/>
      </w:r>
      <w:r w:rsidR="000A1A5C">
        <w:t>25</w:t>
      </w:r>
      <w:r w:rsidR="000A1A5C">
        <w:fldChar w:fldCharType="end"/>
      </w:r>
      <w:r>
        <w:t xml:space="preserve">. </w:t>
      </w:r>
      <w:r>
        <w:rPr>
          <w:bCs/>
        </w:rPr>
        <w:t>Mối liên quan giữa kháng thuốc và TTDD theo SGA</w:t>
      </w:r>
      <w:bookmarkEnd w:id="104"/>
    </w:p>
    <w:tbl>
      <w:tblPr>
        <w:tblStyle w:val="TableGrid"/>
        <w:tblW w:w="5000" w:type="pct"/>
        <w:tblInd w:w="0" w:type="dxa"/>
        <w:tblLook w:val="04A0" w:firstRow="1" w:lastRow="0" w:firstColumn="1" w:lastColumn="0" w:noHBand="0" w:noVBand="1"/>
      </w:tblPr>
      <w:tblGrid>
        <w:gridCol w:w="2866"/>
        <w:gridCol w:w="1718"/>
        <w:gridCol w:w="1531"/>
        <w:gridCol w:w="1890"/>
        <w:gridCol w:w="1106"/>
      </w:tblGrid>
      <w:tr w:rsidR="004B232D" w14:paraId="35F6750E" w14:textId="77777777" w:rsidTr="00CB787E">
        <w:tc>
          <w:tcPr>
            <w:tcW w:w="1573" w:type="pct"/>
            <w:vMerge w:val="restart"/>
            <w:tcBorders>
              <w:tl2br w:val="single" w:sz="4" w:space="0" w:color="auto"/>
            </w:tcBorders>
          </w:tcPr>
          <w:p w14:paraId="0BEC2BAE" w14:textId="77777777" w:rsidR="004B232D" w:rsidRPr="002A15EF" w:rsidRDefault="004B232D" w:rsidP="00CB787E">
            <w:pPr>
              <w:jc w:val="right"/>
              <w:rPr>
                <w:b/>
                <w:bCs/>
                <w:szCs w:val="28"/>
              </w:rPr>
            </w:pPr>
            <w:r>
              <w:rPr>
                <w:b/>
                <w:bCs/>
                <w:szCs w:val="28"/>
              </w:rPr>
              <w:t>TTDD</w:t>
            </w:r>
          </w:p>
          <w:p w14:paraId="7E545DE4" w14:textId="77777777" w:rsidR="004B232D" w:rsidRDefault="004B232D" w:rsidP="00CB787E">
            <w:pPr>
              <w:rPr>
                <w:b/>
                <w:bCs/>
                <w:szCs w:val="28"/>
              </w:rPr>
            </w:pPr>
          </w:p>
          <w:p w14:paraId="05A2F010" w14:textId="77777777" w:rsidR="004B232D" w:rsidRPr="002A15EF" w:rsidRDefault="004B232D" w:rsidP="00CB787E">
            <w:pPr>
              <w:rPr>
                <w:b/>
                <w:bCs/>
                <w:szCs w:val="28"/>
              </w:rPr>
            </w:pPr>
            <w:r>
              <w:rPr>
                <w:b/>
                <w:bCs/>
                <w:szCs w:val="28"/>
              </w:rPr>
              <w:t>Kháng thuốc</w:t>
            </w:r>
          </w:p>
        </w:tc>
        <w:tc>
          <w:tcPr>
            <w:tcW w:w="1783" w:type="pct"/>
            <w:gridSpan w:val="2"/>
          </w:tcPr>
          <w:p w14:paraId="56E04F95" w14:textId="184DEA93" w:rsidR="004B232D" w:rsidRPr="002A15EF" w:rsidRDefault="004B232D" w:rsidP="00CB787E">
            <w:pPr>
              <w:jc w:val="center"/>
              <w:rPr>
                <w:b/>
                <w:bCs/>
                <w:szCs w:val="28"/>
              </w:rPr>
            </w:pPr>
            <w:r>
              <w:rPr>
                <w:b/>
                <w:bCs/>
                <w:szCs w:val="28"/>
              </w:rPr>
              <w:t>SGA</w:t>
            </w:r>
          </w:p>
        </w:tc>
        <w:tc>
          <w:tcPr>
            <w:tcW w:w="1037" w:type="pct"/>
            <w:vMerge w:val="restart"/>
          </w:tcPr>
          <w:p w14:paraId="7659E2B0" w14:textId="77777777" w:rsidR="004B232D" w:rsidRDefault="004B232D" w:rsidP="00CB787E">
            <w:pPr>
              <w:jc w:val="center"/>
              <w:rPr>
                <w:b/>
                <w:bCs/>
              </w:rPr>
            </w:pPr>
            <w:r>
              <w:rPr>
                <w:b/>
                <w:bCs/>
              </w:rPr>
              <w:t>OR</w:t>
            </w:r>
          </w:p>
          <w:p w14:paraId="715A78CA" w14:textId="77777777" w:rsidR="004B232D" w:rsidRPr="002A15EF" w:rsidRDefault="004B232D" w:rsidP="00CB787E">
            <w:pPr>
              <w:jc w:val="center"/>
              <w:rPr>
                <w:b/>
                <w:bCs/>
              </w:rPr>
            </w:pPr>
            <w:r>
              <w:rPr>
                <w:b/>
                <w:bCs/>
              </w:rPr>
              <w:t>(95% CI)</w:t>
            </w:r>
          </w:p>
        </w:tc>
        <w:tc>
          <w:tcPr>
            <w:tcW w:w="607" w:type="pct"/>
            <w:vMerge w:val="restart"/>
          </w:tcPr>
          <w:p w14:paraId="36D8CB27" w14:textId="77777777" w:rsidR="004B232D" w:rsidRPr="002A15EF" w:rsidRDefault="004B232D" w:rsidP="00CB787E">
            <w:pPr>
              <w:jc w:val="center"/>
              <w:rPr>
                <w:b/>
                <w:bCs/>
                <w:szCs w:val="28"/>
              </w:rPr>
            </w:pPr>
            <w:r w:rsidRPr="002A15EF">
              <w:rPr>
                <w:b/>
                <w:bCs/>
                <w:szCs w:val="28"/>
              </w:rPr>
              <w:t>p</w:t>
            </w:r>
          </w:p>
        </w:tc>
      </w:tr>
      <w:tr w:rsidR="004B232D" w14:paraId="7C558A6A" w14:textId="77777777" w:rsidTr="00CB787E">
        <w:tc>
          <w:tcPr>
            <w:tcW w:w="1573" w:type="pct"/>
            <w:vMerge/>
            <w:tcBorders>
              <w:tl2br w:val="single" w:sz="4" w:space="0" w:color="auto"/>
            </w:tcBorders>
          </w:tcPr>
          <w:p w14:paraId="4AF5646A" w14:textId="77777777" w:rsidR="004B232D" w:rsidRPr="002A15EF" w:rsidRDefault="004B232D" w:rsidP="00CB787E">
            <w:pPr>
              <w:rPr>
                <w:szCs w:val="28"/>
              </w:rPr>
            </w:pPr>
          </w:p>
        </w:tc>
        <w:tc>
          <w:tcPr>
            <w:tcW w:w="943" w:type="pct"/>
          </w:tcPr>
          <w:p w14:paraId="431A178A" w14:textId="77777777" w:rsidR="004B232D" w:rsidRDefault="004B232D" w:rsidP="00CB787E">
            <w:pPr>
              <w:jc w:val="center"/>
              <w:rPr>
                <w:b/>
                <w:bCs/>
                <w:szCs w:val="28"/>
              </w:rPr>
            </w:pPr>
            <w:r>
              <w:rPr>
                <w:b/>
                <w:bCs/>
                <w:szCs w:val="28"/>
              </w:rPr>
              <w:t>Không SDD</w:t>
            </w:r>
          </w:p>
          <w:p w14:paraId="5B05EB96" w14:textId="77777777" w:rsidR="004B232D" w:rsidRPr="002A15EF" w:rsidRDefault="004B232D" w:rsidP="00CB787E">
            <w:pPr>
              <w:jc w:val="center"/>
              <w:rPr>
                <w:b/>
                <w:bCs/>
                <w:szCs w:val="28"/>
              </w:rPr>
            </w:pPr>
            <w:r>
              <w:rPr>
                <w:b/>
                <w:bCs/>
                <w:szCs w:val="28"/>
              </w:rPr>
              <w:t xml:space="preserve">(n, </w:t>
            </w:r>
            <w:r w:rsidRPr="002A15EF">
              <w:rPr>
                <w:b/>
                <w:bCs/>
                <w:szCs w:val="28"/>
              </w:rPr>
              <w:t>%</w:t>
            </w:r>
            <w:r>
              <w:rPr>
                <w:b/>
                <w:bCs/>
                <w:szCs w:val="28"/>
              </w:rPr>
              <w:t>)</w:t>
            </w:r>
          </w:p>
        </w:tc>
        <w:tc>
          <w:tcPr>
            <w:tcW w:w="840" w:type="pct"/>
          </w:tcPr>
          <w:p w14:paraId="0D2BCD43" w14:textId="77777777" w:rsidR="004B232D" w:rsidRPr="002A15EF" w:rsidRDefault="004B232D" w:rsidP="00CB787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vMerge/>
          </w:tcPr>
          <w:p w14:paraId="646E28CD" w14:textId="77777777" w:rsidR="004B232D" w:rsidRPr="002A15EF" w:rsidRDefault="004B232D" w:rsidP="00CB787E">
            <w:pPr>
              <w:jc w:val="center"/>
            </w:pPr>
          </w:p>
        </w:tc>
        <w:tc>
          <w:tcPr>
            <w:tcW w:w="607" w:type="pct"/>
            <w:vMerge/>
          </w:tcPr>
          <w:p w14:paraId="712039C7" w14:textId="77777777" w:rsidR="004B232D" w:rsidRPr="002A15EF" w:rsidRDefault="004B232D" w:rsidP="00CB787E">
            <w:pPr>
              <w:jc w:val="center"/>
              <w:rPr>
                <w:szCs w:val="28"/>
              </w:rPr>
            </w:pPr>
          </w:p>
        </w:tc>
      </w:tr>
      <w:tr w:rsidR="00791379" w14:paraId="4024BE9D" w14:textId="77777777" w:rsidTr="00CB787E">
        <w:trPr>
          <w:trHeight w:val="354"/>
        </w:trPr>
        <w:tc>
          <w:tcPr>
            <w:tcW w:w="1573" w:type="pct"/>
          </w:tcPr>
          <w:p w14:paraId="78ABFFE9" w14:textId="77777777" w:rsidR="00791379" w:rsidRPr="003C2462" w:rsidRDefault="00791379" w:rsidP="00791379">
            <w:pPr>
              <w:rPr>
                <w:szCs w:val="28"/>
              </w:rPr>
            </w:pPr>
            <w:r>
              <w:rPr>
                <w:szCs w:val="28"/>
              </w:rPr>
              <w:t>Không</w:t>
            </w:r>
          </w:p>
        </w:tc>
        <w:tc>
          <w:tcPr>
            <w:tcW w:w="943" w:type="pct"/>
            <w:vAlign w:val="top"/>
          </w:tcPr>
          <w:p w14:paraId="79859423" w14:textId="2A07340F" w:rsidR="00791379" w:rsidRPr="003C2462" w:rsidRDefault="00791379" w:rsidP="00791379">
            <w:pPr>
              <w:jc w:val="center"/>
              <w:rPr>
                <w:szCs w:val="28"/>
              </w:rPr>
            </w:pPr>
            <w:r>
              <w:t>149 (</w:t>
            </w:r>
            <w:r w:rsidRPr="000F2787">
              <w:t>63.7%</w:t>
            </w:r>
            <w:r>
              <w:t>)</w:t>
            </w:r>
          </w:p>
        </w:tc>
        <w:tc>
          <w:tcPr>
            <w:tcW w:w="840" w:type="pct"/>
            <w:vAlign w:val="top"/>
          </w:tcPr>
          <w:p w14:paraId="149104B8" w14:textId="2932A993" w:rsidR="00791379" w:rsidRPr="003C2462" w:rsidRDefault="00791379" w:rsidP="00791379">
            <w:pPr>
              <w:jc w:val="center"/>
              <w:rPr>
                <w:szCs w:val="28"/>
              </w:rPr>
            </w:pPr>
            <w:r>
              <w:t>85 (</w:t>
            </w:r>
            <w:r w:rsidRPr="000F2787">
              <w:t>36.3%</w:t>
            </w:r>
            <w:r>
              <w:t>)</w:t>
            </w:r>
          </w:p>
        </w:tc>
        <w:tc>
          <w:tcPr>
            <w:tcW w:w="1037" w:type="pct"/>
            <w:vMerge w:val="restart"/>
          </w:tcPr>
          <w:p w14:paraId="05933749" w14:textId="77777777" w:rsidR="00C64054" w:rsidRDefault="00C64054" w:rsidP="00791379">
            <w:pPr>
              <w:jc w:val="center"/>
            </w:pPr>
            <w:r w:rsidRPr="00C64054">
              <w:t>1.753</w:t>
            </w:r>
          </w:p>
          <w:p w14:paraId="25C923A2" w14:textId="10FC0798" w:rsidR="00791379" w:rsidRPr="003C2462" w:rsidRDefault="00C64054" w:rsidP="00791379">
            <w:pPr>
              <w:jc w:val="center"/>
            </w:pPr>
            <w:r>
              <w:t>(0</w:t>
            </w:r>
            <w:r w:rsidRPr="00C64054">
              <w:t>.635</w:t>
            </w:r>
            <w:r>
              <w:t>-</w:t>
            </w:r>
            <w:r w:rsidRPr="00C64054">
              <w:t>4.840</w:t>
            </w:r>
            <w:r>
              <w:t>)</w:t>
            </w:r>
          </w:p>
        </w:tc>
        <w:tc>
          <w:tcPr>
            <w:tcW w:w="607" w:type="pct"/>
            <w:vMerge w:val="restart"/>
          </w:tcPr>
          <w:p w14:paraId="3068D0F3" w14:textId="3C0C2BA5" w:rsidR="00791379" w:rsidRPr="003C2462" w:rsidRDefault="00791379" w:rsidP="00791379">
            <w:pPr>
              <w:jc w:val="center"/>
              <w:rPr>
                <w:szCs w:val="28"/>
              </w:rPr>
            </w:pPr>
            <w:r>
              <w:rPr>
                <w:szCs w:val="28"/>
              </w:rPr>
              <w:t>0.408</w:t>
            </w:r>
          </w:p>
        </w:tc>
      </w:tr>
      <w:tr w:rsidR="00791379" w14:paraId="7B16B2D8" w14:textId="77777777" w:rsidTr="00CB787E">
        <w:trPr>
          <w:trHeight w:val="70"/>
        </w:trPr>
        <w:tc>
          <w:tcPr>
            <w:tcW w:w="1573" w:type="pct"/>
          </w:tcPr>
          <w:p w14:paraId="5CB159AF" w14:textId="77777777" w:rsidR="00791379" w:rsidRPr="003C2462" w:rsidRDefault="00791379" w:rsidP="00791379">
            <w:pPr>
              <w:rPr>
                <w:szCs w:val="28"/>
              </w:rPr>
            </w:pPr>
            <w:r>
              <w:rPr>
                <w:szCs w:val="28"/>
              </w:rPr>
              <w:t>Có</w:t>
            </w:r>
          </w:p>
        </w:tc>
        <w:tc>
          <w:tcPr>
            <w:tcW w:w="943" w:type="pct"/>
            <w:vAlign w:val="top"/>
          </w:tcPr>
          <w:p w14:paraId="1ACA87D0" w14:textId="1C7AB0CE" w:rsidR="00791379" w:rsidRPr="003C2462" w:rsidRDefault="00791379" w:rsidP="00791379">
            <w:pPr>
              <w:jc w:val="center"/>
              <w:rPr>
                <w:szCs w:val="28"/>
              </w:rPr>
            </w:pPr>
            <w:r>
              <w:t>8 (</w:t>
            </w:r>
            <w:r w:rsidRPr="00A06C38">
              <w:t>50.0%</w:t>
            </w:r>
            <w:r>
              <w:t>)</w:t>
            </w:r>
          </w:p>
        </w:tc>
        <w:tc>
          <w:tcPr>
            <w:tcW w:w="840" w:type="pct"/>
            <w:vAlign w:val="top"/>
          </w:tcPr>
          <w:p w14:paraId="66C8E5FD" w14:textId="4769858F" w:rsidR="00791379" w:rsidRPr="003C2462" w:rsidRDefault="00791379" w:rsidP="00791379">
            <w:pPr>
              <w:jc w:val="center"/>
              <w:rPr>
                <w:szCs w:val="28"/>
              </w:rPr>
            </w:pPr>
            <w:r>
              <w:t>8 (</w:t>
            </w:r>
            <w:r w:rsidRPr="00A06C38">
              <w:t>50.0%</w:t>
            </w:r>
            <w:r>
              <w:t>)</w:t>
            </w:r>
          </w:p>
        </w:tc>
        <w:tc>
          <w:tcPr>
            <w:tcW w:w="1037" w:type="pct"/>
            <w:vMerge/>
          </w:tcPr>
          <w:p w14:paraId="442C1A4A" w14:textId="77777777" w:rsidR="00791379" w:rsidRPr="003C2462" w:rsidRDefault="00791379" w:rsidP="00791379">
            <w:pPr>
              <w:jc w:val="center"/>
            </w:pPr>
          </w:p>
        </w:tc>
        <w:tc>
          <w:tcPr>
            <w:tcW w:w="607" w:type="pct"/>
            <w:vMerge/>
          </w:tcPr>
          <w:p w14:paraId="6AF95AA1" w14:textId="77777777" w:rsidR="00791379" w:rsidRPr="003C2462" w:rsidRDefault="00791379" w:rsidP="00791379">
            <w:pPr>
              <w:jc w:val="center"/>
              <w:rPr>
                <w:szCs w:val="28"/>
              </w:rPr>
            </w:pPr>
          </w:p>
        </w:tc>
      </w:tr>
    </w:tbl>
    <w:p w14:paraId="0BE2F250" w14:textId="2B0E4866" w:rsidR="003525F9" w:rsidRDefault="003525F9" w:rsidP="003525F9">
      <w:pPr>
        <w:tabs>
          <w:tab w:val="left" w:pos="2400"/>
        </w:tabs>
        <w:spacing w:before="160"/>
      </w:pPr>
      <w:r>
        <w:t xml:space="preserve">Nhận xét: Đánh giá SDD theo SGA, tình trạng kháng thuốc ở bệnh nhân SDD có tỷ lệ là </w:t>
      </w:r>
      <w:r w:rsidR="00BD7FFC">
        <w:t>50.0</w:t>
      </w:r>
      <w:r w:rsidRPr="006B18A8">
        <w:t>%</w:t>
      </w:r>
      <w:r>
        <w:t xml:space="preserve"> </w:t>
      </w:r>
      <w:r w:rsidR="00871FCE">
        <w:t xml:space="preserve">cao </w:t>
      </w:r>
      <w:r>
        <w:t>hơn không kháng thuốc là 3</w:t>
      </w:r>
      <w:r w:rsidR="004A264E">
        <w:t>6</w:t>
      </w:r>
      <w:r w:rsidRPr="00D16334">
        <w:t>.</w:t>
      </w:r>
      <w:r w:rsidR="004A264E">
        <w:t>3</w:t>
      </w:r>
      <w:r w:rsidRPr="00D16334">
        <w:t>%</w:t>
      </w:r>
      <w:r>
        <w:t xml:space="preserve">. Sự khác biệt chưa có ý nghĩa thống kê với p = </w:t>
      </w:r>
      <w:r w:rsidR="00102FAB">
        <w:t>0.408</w:t>
      </w:r>
      <w:r>
        <w:t>.</w:t>
      </w:r>
    </w:p>
    <w:bookmarkEnd w:id="71"/>
    <w:p w14:paraId="59F2C68D" w14:textId="1A17F906" w:rsidR="00334897" w:rsidRPr="00334897" w:rsidRDefault="00334897" w:rsidP="00334897">
      <w:r>
        <w:rPr>
          <w:bCs/>
          <w:iCs/>
          <w:spacing w:val="-8"/>
          <w:lang w:eastAsia="zh-CN"/>
        </w:rPr>
        <w:br w:type="page"/>
      </w:r>
    </w:p>
    <w:p w14:paraId="7D22E39E" w14:textId="17518E9C" w:rsidR="00C57DFE" w:rsidRPr="00C57DFE" w:rsidRDefault="00233AEA" w:rsidP="00C23165">
      <w:pPr>
        <w:pStyle w:val="Heading1"/>
      </w:pPr>
      <w:bookmarkStart w:id="105" w:name="_Toc133590782"/>
      <w:r>
        <w:lastRenderedPageBreak/>
        <w:t>– BÀN LUẬN</w:t>
      </w:r>
      <w:bookmarkEnd w:id="80"/>
      <w:bookmarkEnd w:id="105"/>
    </w:p>
    <w:p w14:paraId="7045C4B6" w14:textId="77777777" w:rsidR="003348F4" w:rsidRDefault="003348F4" w:rsidP="003348F4">
      <w:pPr>
        <w:pStyle w:val="Heading2"/>
      </w:pPr>
      <w:bookmarkStart w:id="106" w:name="_Toc133590783"/>
      <w:r>
        <w:t>4.1. Đặc điểm chung của đối tượng nghiên cứu</w:t>
      </w:r>
      <w:bookmarkEnd w:id="106"/>
    </w:p>
    <w:p w14:paraId="23C992E6" w14:textId="073B1B2A" w:rsidR="007D4F5C" w:rsidRDefault="007D4F5C" w:rsidP="00C5254C">
      <w:pPr>
        <w:pStyle w:val="Heading3"/>
      </w:pPr>
      <w:r>
        <w:t>4.1.1. Phân bố về</w:t>
      </w:r>
      <w:r w:rsidR="00A70D42">
        <w:t xml:space="preserve"> nhóm</w:t>
      </w:r>
      <w:r>
        <w:t xml:space="preserve"> tuổi và giới tính</w:t>
      </w:r>
    </w:p>
    <w:p w14:paraId="3F98729A" w14:textId="477D0F87" w:rsidR="003348F4" w:rsidRDefault="003348F4" w:rsidP="003348F4">
      <w:r w:rsidRPr="00F25384">
        <w:t>Tuổi là một trong những yếu tố quan trọng trong nghiên cứu bệnh lao</w:t>
      </w:r>
      <w:r>
        <w:t xml:space="preserve"> phổi</w:t>
      </w:r>
      <w:r w:rsidRPr="00F25384">
        <w:t xml:space="preserve"> vì tuổi có liên quan đến tình trạng sức khỏe và </w:t>
      </w:r>
      <w:r>
        <w:t>các yếu tố gây bệnh</w:t>
      </w:r>
      <w:r w:rsidRPr="00F25384">
        <w:t xml:space="preserve"> lao,</w:t>
      </w:r>
      <w:r>
        <w:t xml:space="preserve"> </w:t>
      </w:r>
      <w:r w:rsidR="0069135E">
        <w:t>tuổi càng cao</w:t>
      </w:r>
      <w:r>
        <w:t xml:space="preserve"> sự</w:t>
      </w:r>
      <w:r w:rsidRPr="00F25384">
        <w:t xml:space="preserve"> xuất hiện</w:t>
      </w:r>
      <w:r>
        <w:t xml:space="preserve"> của</w:t>
      </w:r>
      <w:r w:rsidRPr="00F25384">
        <w:t xml:space="preserve"> các bệnh mạn tính như đái tháo đường, </w:t>
      </w:r>
      <w:r>
        <w:t xml:space="preserve">tăng huyết áp, </w:t>
      </w:r>
      <w:r w:rsidRPr="00F25384">
        <w:t xml:space="preserve">loét dạ dày tá tràng và các thói quen như uống rượu, hút thuốc </w:t>
      </w:r>
      <w:r w:rsidR="00A35D57">
        <w:t xml:space="preserve">cũng tăng lên </w:t>
      </w:r>
      <w:r w:rsidRPr="00F25384">
        <w:t>do</w:t>
      </w:r>
      <w:r>
        <w:t xml:space="preserve"> đó</w:t>
      </w:r>
      <w:r w:rsidRPr="00F25384">
        <w:t xml:space="preserve"> </w:t>
      </w:r>
      <w:r>
        <w:t>t</w:t>
      </w:r>
      <w:r w:rsidRPr="00F25384">
        <w:t xml:space="preserve">ăng nguy cơ chuyển </w:t>
      </w:r>
      <w:r>
        <w:t>thành bệnh lao phổi thực sự</w:t>
      </w:r>
      <w:r w:rsidRPr="00F25384">
        <w:t>.</w:t>
      </w:r>
      <w:r>
        <w:t xml:space="preserve"> Qua nghiên cứu 250 bệnh nhân lao phổi mới tại Bệnh viện Phổi Hải Phòng, bệnh nhân ít tuổi nhất là 15 tuổi, cao tuổi nhất là 88 tuổi, tuổi trung bình là 50.26 ± 16.774. Phân bố nhóm tuổi ≥60</w:t>
      </w:r>
      <w:r w:rsidRPr="00203D68">
        <w:t xml:space="preserve"> tuổi</w:t>
      </w:r>
      <w:r>
        <w:t xml:space="preserve"> chiếm tỷ lệ cao nhất là 32.8%. Tiếp theo đó là nhóm tuổi 40</w:t>
      </w:r>
      <w:r w:rsidRPr="00203D68">
        <w:t xml:space="preserve"> – </w:t>
      </w:r>
      <w:r>
        <w:t>4</w:t>
      </w:r>
      <w:r w:rsidRPr="00203D68">
        <w:t>9</w:t>
      </w:r>
      <w:r>
        <w:t>, 50</w:t>
      </w:r>
      <w:r w:rsidRPr="00203D68">
        <w:t xml:space="preserve"> – </w:t>
      </w:r>
      <w:r>
        <w:t>5</w:t>
      </w:r>
      <w:r w:rsidRPr="00203D68">
        <w:t>9</w:t>
      </w:r>
      <w:r>
        <w:t xml:space="preserve">, 15 – 29 tuổi lần lượt chiếm tỷ lệ là 21.6%, 19.2% và 13.6%. Nhóm tuổi chiếm tỷ lệ thấp nhất là 30 – 39 tuổi chiếm 12.8%. Điều này khá tương đồng với các nghiên cứu của các tác giả trong và ngoài nước như Lê Thị Thủy (2019) và cộng sự </w:t>
      </w:r>
      <w:r w:rsidR="00302C88">
        <w:t xml:space="preserve">thấy đối tượng nghiên cứu </w:t>
      </w:r>
      <w:r>
        <w:t xml:space="preserve">có tuổi trung bình là </w:t>
      </w:r>
      <w:r w:rsidRPr="00C57DFE">
        <w:t>59</w:t>
      </w:r>
      <w:r>
        <w:t>.</w:t>
      </w:r>
      <w:r w:rsidRPr="00C57DFE">
        <w:t>2</w:t>
      </w:r>
      <w:r>
        <w:t xml:space="preserve"> ±</w:t>
      </w:r>
      <w:r w:rsidRPr="00C57DFE">
        <w:t xml:space="preserve"> </w:t>
      </w:r>
      <w:r>
        <w:t>1</w:t>
      </w:r>
      <w:r w:rsidRPr="00C57DFE">
        <w:t>6</w:t>
      </w:r>
      <w:r>
        <w:t xml:space="preserve"> </w:t>
      </w:r>
      <w:r>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instrText xml:space="preserve"> ADDIN EN.CITE </w:instrText>
      </w:r>
      <w:r>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instrText xml:space="preserve"> ADDIN EN.CITE.DATA </w:instrText>
      </w:r>
      <w:r>
        <w:fldChar w:fldCharType="end"/>
      </w:r>
      <w:r>
        <w:fldChar w:fldCharType="separate"/>
      </w:r>
      <w:r>
        <w:t>[10]</w:t>
      </w:r>
      <w:r>
        <w:fldChar w:fldCharType="end"/>
      </w:r>
      <w:r>
        <w:t xml:space="preserve"> </w:t>
      </w:r>
      <w:r w:rsidR="00302C88">
        <w:t>hay theo</w:t>
      </w:r>
      <w:r w:rsidR="00302C88" w:rsidRPr="00302C88">
        <w:t xml:space="preserve"> Beatrice B. Musuenge</w:t>
      </w:r>
      <w:r w:rsidR="00302C88">
        <w:t xml:space="preserve"> và các cộng sự năm 2020 tuổi trung </w:t>
      </w:r>
      <w:r w:rsidR="00DA2D2E">
        <w:t>bình là 43.6 ± 15.3</w:t>
      </w:r>
      <w:r w:rsidR="00745DCD">
        <w:t>, tuổi cao nhất là 89 tuổi</w:t>
      </w:r>
      <w:r w:rsidR="00302C88">
        <w:t xml:space="preserve"> </w:t>
      </w:r>
      <w:r>
        <w:fldChar w:fldCharType="begin">
          <w:fldData xml:space="preserve">PEVuZE5vdGU+PENpdGU+PEF1dGhvcj5NdXN1ZW5nZTwvQXV0aG9yPjxZZWFyPjIwMjA8L1llYXI+
PFJlY051bT44MjwvUmVjTnVtPjxEaXNwbGF5VGV4dD5bNTFdPC9EaXNwbGF5VGV4dD48cmVjb3Jk
PjxyZWMtbnVtYmVyPjgyPC9yZWMtbnVtYmVyPjxmb3JlaWduLWtleXM+PGtleSBhcHA9IkVOIiBk
Yi1pZD0iZXcwcjI1ZTVpZWF3ZnVlZGR2M3BmMHNiYXh4MGZzcmFhOWZ0IiB0aW1lc3RhbXA9IjE2
ODI2NDk4NzIiPjgyPC9rZXk+PC9mb3JlaWduLWtleXM+PHJlZi10eXBlIG5hbWU9IkpvdXJuYWwg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instrText xml:space="preserve"> ADDIN EN.CITE </w:instrText>
      </w:r>
      <w:r>
        <w:fldChar w:fldCharType="begin">
          <w:fldData xml:space="preserve">PEVuZE5vdGU+PENpdGU+PEF1dGhvcj5NdXN1ZW5nZTwvQXV0aG9yPjxZZWFyPjIwMjA8L1llYXI+
PFJlY051bT44MjwvUmVjTnVtPjxEaXNwbGF5VGV4dD5bNTFdPC9EaXNwbGF5VGV4dD48cmVjb3Jk
PjxyZWMtbnVtYmVyPjgyPC9yZWMtbnVtYmVyPjxmb3JlaWduLWtleXM+PGtleSBhcHA9IkVOIiBk
Yi1pZD0iZXcwcjI1ZTVpZWF3ZnVlZGR2M3BmMHNiYXh4MGZzcmFhOWZ0IiB0aW1lc3RhbXA9IjE2
ODI2NDk4NzIiPjgyPC9rZXk+PC9mb3JlaWduLWtleXM+PHJlZi10eXBlIG5hbWU9IkpvdXJuYWwg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instrText xml:space="preserve"> ADDIN EN.CITE.DATA </w:instrText>
      </w:r>
      <w:r>
        <w:fldChar w:fldCharType="end"/>
      </w:r>
      <w:r>
        <w:fldChar w:fldCharType="separate"/>
      </w:r>
      <w:r>
        <w:t>[51]</w:t>
      </w:r>
      <w:r>
        <w:fldChar w:fldCharType="end"/>
      </w:r>
      <w:r>
        <w:t>.</w:t>
      </w:r>
    </w:p>
    <w:p w14:paraId="13C727A5" w14:textId="295FB7C8" w:rsidR="00746BC0" w:rsidRDefault="00746BC0" w:rsidP="00746BC0">
      <w:r w:rsidRPr="00C57DFE">
        <w:t>Trong nghiên cứu</w:t>
      </w:r>
      <w:r>
        <w:t xml:space="preserve"> này,</w:t>
      </w:r>
      <w:r w:rsidR="00E53F21">
        <w:t xml:space="preserve"> từ </w:t>
      </w:r>
      <w:r w:rsidR="004D3FB3">
        <w:t xml:space="preserve">kết quả </w:t>
      </w:r>
      <w:r w:rsidR="00E53F21">
        <w:t>bảng 3.2 ta nhận thấy</w:t>
      </w:r>
      <w:r>
        <w:t xml:space="preserve"> tỷ lệ </w:t>
      </w:r>
      <w:r w:rsidRPr="00C57DFE">
        <w:t>nam</w:t>
      </w:r>
      <w:r>
        <w:t>/</w:t>
      </w:r>
      <w:r w:rsidRPr="00C57DFE">
        <w:t>nữ trong</w:t>
      </w:r>
      <w:r>
        <w:t xml:space="preserve"> </w:t>
      </w:r>
      <w:r w:rsidRPr="00C57DFE">
        <w:t>là 2.</w:t>
      </w:r>
      <w:r w:rsidR="00DB1F0E">
        <w:t>7</w:t>
      </w:r>
      <w:r w:rsidRPr="00C57DFE">
        <w:t>/1</w:t>
      </w:r>
      <w:r w:rsidR="00DB1F0E">
        <w:t xml:space="preserve"> </w:t>
      </w:r>
      <w:r w:rsidR="00A26D9F">
        <w:t>trong đó</w:t>
      </w:r>
      <w:r w:rsidR="0022143B">
        <w:t xml:space="preserve"> tỷ lệ</w:t>
      </w:r>
      <w:r w:rsidR="00DB1F0E">
        <w:t xml:space="preserve"> nam giới là 73.2% và nữ giới là 26.8%</w:t>
      </w:r>
      <w:r w:rsidR="0064360C">
        <w:t>.</w:t>
      </w:r>
      <w:r w:rsidR="002B5681">
        <w:t xml:space="preserve"> Sự khác biệt này có ý nghĩa thống kê với p = 0.206.</w:t>
      </w:r>
      <w:r w:rsidRPr="00C57DFE">
        <w:t xml:space="preserve"> </w:t>
      </w:r>
      <w:r w:rsidR="0064360C">
        <w:t>T</w:t>
      </w:r>
      <w:r w:rsidRPr="00C57DFE">
        <w:t>ương</w:t>
      </w:r>
      <w:r>
        <w:t xml:space="preserve"> </w:t>
      </w:r>
      <w:r w:rsidR="0064360C">
        <w:t>đương</w:t>
      </w:r>
      <w:r w:rsidRPr="00C57DFE">
        <w:t xml:space="preserve"> với </w:t>
      </w:r>
      <w:r w:rsidR="0064360C">
        <w:t>nghiên cứu của Lê Thị Thủy (2019)</w:t>
      </w:r>
      <w:r w:rsidR="00331C09">
        <w:t xml:space="preserve"> </w:t>
      </w:r>
      <w:r w:rsidR="00876E8B">
        <w:t>là</w:t>
      </w:r>
      <w:r w:rsidRPr="00C57DFE">
        <w:t xml:space="preserve"> 2,</w:t>
      </w:r>
      <w:r w:rsidR="00876E8B">
        <w:t>3</w:t>
      </w:r>
      <w:r w:rsidRPr="00C57DFE">
        <w:t>/1, trong đó nam giới là 265</w:t>
      </w:r>
      <w:r>
        <w:t xml:space="preserve"> </w:t>
      </w:r>
      <w:r w:rsidRPr="00C57DFE">
        <w:t>chiếm tỷ lệ 69</w:t>
      </w:r>
      <w:r w:rsidR="009265B7">
        <w:t>.</w:t>
      </w:r>
      <w:r w:rsidRPr="00C57DFE">
        <w:t>7% nữ giới là 115 chiếm tỷ lệ 30.3%</w:t>
      </w:r>
      <w:r w:rsidR="008318F5">
        <w:t xml:space="preserve"> </w:t>
      </w:r>
      <w:r w:rsidR="008318F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8318F5">
        <w:instrText xml:space="preserve"> ADDIN EN.CITE </w:instrText>
      </w:r>
      <w:r w:rsidR="008318F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8318F5">
        <w:instrText xml:space="preserve"> ADDIN EN.CITE.DATA </w:instrText>
      </w:r>
      <w:r w:rsidR="008318F5">
        <w:fldChar w:fldCharType="end"/>
      </w:r>
      <w:r w:rsidR="008318F5">
        <w:fldChar w:fldCharType="separate"/>
      </w:r>
      <w:r w:rsidR="008318F5">
        <w:t>[10]</w:t>
      </w:r>
      <w:r w:rsidR="008318F5">
        <w:fldChar w:fldCharType="end"/>
      </w:r>
      <w:r w:rsidR="00D45447">
        <w:t>;</w:t>
      </w:r>
      <w:r w:rsidR="008E3BF1">
        <w:t xml:space="preserve"> </w:t>
      </w:r>
      <w:r w:rsidR="00D45447">
        <w:t>t</w:t>
      </w:r>
      <w:r w:rsidR="005425D2">
        <w:t xml:space="preserve">heo nghiên cứu của </w:t>
      </w:r>
      <w:r w:rsidR="005425D2" w:rsidRPr="00302C88">
        <w:t>Beatrice B. Musuenge</w:t>
      </w:r>
      <w:r w:rsidR="005425D2">
        <w:t xml:space="preserve"> và các cộng sự (2020)</w:t>
      </w:r>
      <w:r w:rsidR="007940E3">
        <w:t xml:space="preserve"> tỷ lệ nam giới là 65.6% và nữ giới là 34.4%</w:t>
      </w:r>
      <w:r w:rsidR="00B55E5A">
        <w:t xml:space="preserve"> </w:t>
      </w:r>
      <w:r w:rsidR="00B55E5A">
        <w:fldChar w:fldCharType="begin">
          <w:fldData xml:space="preserve">PEVuZE5vdGU+PENpdGU+PEF1dGhvcj5NdXN1ZW5nZTwvQXV0aG9yPjxZZWFyPjIwMjA8L1llYXI+
PFJlY051bT44MjwvUmVjTnVtPjxEaXNwbGF5VGV4dD5bNTFdPC9EaXNwbGF5VGV4dD48cmVjb3Jk
PjxyZWMtbnVtYmVyPjgyPC9yZWMtbnVtYmVyPjxmb3JlaWduLWtleXM+PGtleSBhcHA9IkVOIiBk
Yi1pZD0iZXcwcjI1ZTVpZWF3ZnVlZGR2M3BmMHNiYXh4MGZzcmFhOWZ0IiB0aW1lc3RhbXA9IjE2
ODI2NDk4NzIiPjgyPC9rZXk+PC9mb3JlaWduLWtleXM+PHJlZi10eXBlIG5hbWU9IkpvdXJuYWwg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B55E5A">
        <w:instrText xml:space="preserve"> ADDIN EN.CITE </w:instrText>
      </w:r>
      <w:r w:rsidR="00B55E5A">
        <w:fldChar w:fldCharType="begin">
          <w:fldData xml:space="preserve">PEVuZE5vdGU+PENpdGU+PEF1dGhvcj5NdXN1ZW5nZTwvQXV0aG9yPjxZZWFyPjIwMjA8L1llYXI+
PFJlY051bT44MjwvUmVjTnVtPjxEaXNwbGF5VGV4dD5bNTFdPC9EaXNwbGF5VGV4dD48cmVjb3Jk
PjxyZWMtbnVtYmVyPjgyPC9yZWMtbnVtYmVyPjxmb3JlaWduLWtleXM+PGtleSBhcHA9IkVOIiBk
Yi1pZD0iZXcwcjI1ZTVpZWF3ZnVlZGR2M3BmMHNiYXh4MGZzcmFhOWZ0IiB0aW1lc3RhbXA9IjE2
ODI2NDk4NzIiPjgyPC9rZXk+PC9mb3JlaWduLWtleXM+PHJlZi10eXBlIG5hbWU9IkpvdXJuYWwg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B55E5A">
        <w:instrText xml:space="preserve"> ADDIN EN.CITE.DATA </w:instrText>
      </w:r>
      <w:r w:rsidR="00B55E5A">
        <w:fldChar w:fldCharType="end"/>
      </w:r>
      <w:r w:rsidR="00B55E5A">
        <w:fldChar w:fldCharType="separate"/>
      </w:r>
      <w:r w:rsidR="00B55E5A">
        <w:t>[51]</w:t>
      </w:r>
      <w:r w:rsidR="00B55E5A">
        <w:fldChar w:fldCharType="end"/>
      </w:r>
      <w:r w:rsidRPr="00C57DFE">
        <w:t xml:space="preserve">. </w:t>
      </w:r>
      <w:r w:rsidR="00545436">
        <w:t>Tỷ lệ chênh lệch giới tính này có thể giải thích do tỷ lệ nam vốn cao hơn nữ giới. Hơn nữa n</w:t>
      </w:r>
      <w:r w:rsidRPr="00C57DFE">
        <w:t xml:space="preserve">am giới </w:t>
      </w:r>
      <w:r w:rsidR="00545436">
        <w:t>t</w:t>
      </w:r>
      <w:r w:rsidRPr="00C57DFE">
        <w:t xml:space="preserve">hường liên </w:t>
      </w:r>
      <w:r w:rsidRPr="00C57DFE">
        <w:lastRenderedPageBreak/>
        <w:t>quan nhiều hơn đến hoạt động gắng sức</w:t>
      </w:r>
      <w:r w:rsidR="00D41A3D">
        <w:t xml:space="preserve">, </w:t>
      </w:r>
      <w:r w:rsidR="00D41A3D" w:rsidRPr="000F7A41">
        <w:rPr>
          <w:lang w:val="vi-VN"/>
        </w:rPr>
        <w:t>lao đ</w:t>
      </w:r>
      <w:r w:rsidR="00D41A3D">
        <w:t>ộ</w:t>
      </w:r>
      <w:r w:rsidR="00D41A3D" w:rsidRPr="000F7A41">
        <w:rPr>
          <w:lang w:val="vi-VN"/>
        </w:rPr>
        <w:t>ng nặng nhọc, chịu nhiều áp lực trong công việc</w:t>
      </w:r>
      <w:r w:rsidRPr="00C57DFE">
        <w:t>, tiếp xúc với</w:t>
      </w:r>
      <w:r>
        <w:t xml:space="preserve"> </w:t>
      </w:r>
      <w:r w:rsidRPr="00C57DFE">
        <w:t>nhiều yếu t</w:t>
      </w:r>
      <w:r w:rsidR="00545436">
        <w:t>ố</w:t>
      </w:r>
      <w:r w:rsidRPr="00C57DFE">
        <w:t xml:space="preserve"> nguy cơ như </w:t>
      </w:r>
      <w:r w:rsidR="0088219A">
        <w:t>nghiện</w:t>
      </w:r>
      <w:r w:rsidRPr="00C57DFE">
        <w:t xml:space="preserve"> thuốc</w:t>
      </w:r>
      <w:r w:rsidR="0088219A">
        <w:t xml:space="preserve"> lá</w:t>
      </w:r>
      <w:r w:rsidRPr="00C57DFE">
        <w:t>, uống rượu</w:t>
      </w:r>
      <w:r w:rsidR="001C53A1">
        <w:t>.</w:t>
      </w:r>
    </w:p>
    <w:p w14:paraId="70105ADE" w14:textId="0730B157" w:rsidR="00BB2BF8" w:rsidRDefault="00B02FA7" w:rsidP="001247DF">
      <w:pPr>
        <w:pStyle w:val="Heading3"/>
      </w:pPr>
      <w:r>
        <w:t>4.1.2.</w:t>
      </w:r>
      <w:r w:rsidR="00C63AF8">
        <w:t xml:space="preserve"> Phân bố theo nghề nghiệp</w:t>
      </w:r>
    </w:p>
    <w:p w14:paraId="6AAAACF5" w14:textId="6E62F6EE" w:rsidR="00C36A93" w:rsidRPr="00C36A93" w:rsidRDefault="00C36A93" w:rsidP="00C36A93">
      <w:pPr>
        <w:spacing w:before="160"/>
      </w:pPr>
      <w:r>
        <w:t xml:space="preserve">Từ kết quả bảng 3.3. ta thấy lao động tự do chiếm tỷ lệ cao nhất là 47.2%. Tiếp theo đó là nông dân, công nhân, hưu trí, cán bộ công chức, học sinh – sinh viên lần lượt là 15.2%, 11.6%, 10.4%, 5.6%, 5.2%. Nội trợ chiếm tỷ lệ thấp nhất là 4.8%. Theo </w:t>
      </w:r>
      <w:r w:rsidRPr="00B55E5A">
        <w:t>Beatrice B. Musuenge</w:t>
      </w:r>
      <w:r>
        <w:t xml:space="preserve"> và cộng sự (2020) tỷ lệ lao động tự do là 61.1%, ổn định là 15.6% và thất nghiệp là 25.8% </w:t>
      </w:r>
      <w:r>
        <w:fldChar w:fldCharType="begin">
          <w:fldData xml:space="preserve">PEVuZE5vdGU+PENpdGU+PEF1dGhvcj5NdXN1ZW5nZTwvQXV0aG9yPjxZZWFyPjIwMjA8L1llYXI+
PFJlY051bT44MjwvUmVjTnVtPjxEaXNwbGF5VGV4dD5bNTFdPC9EaXNwbGF5VGV4dD48cmVjb3Jk
PjxyZWMtbnVtYmVyPjgyPC9yZWMtbnVtYmVyPjxmb3JlaWduLWtleXM+PGtleSBhcHA9IkVOIiBk
Yi1pZD0iZXcwcjI1ZTVpZWF3ZnVlZGR2M3BmMHNiYXh4MGZzcmFhOWZ0IiB0aW1lc3RhbXA9IjE2
ODI2NDk4NzIiPjgyPC9rZXk+PC9mb3JlaWduLWtleXM+PHJlZi10eXBlIG5hbWU9IkpvdXJuYWwg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instrText xml:space="preserve"> ADDIN EN.CITE </w:instrText>
      </w:r>
      <w:r>
        <w:fldChar w:fldCharType="begin">
          <w:fldData xml:space="preserve">PEVuZE5vdGU+PENpdGU+PEF1dGhvcj5NdXN1ZW5nZTwvQXV0aG9yPjxZZWFyPjIwMjA8L1llYXI+
PFJlY051bT44MjwvUmVjTnVtPjxEaXNwbGF5VGV4dD5bNTFdPC9EaXNwbGF5VGV4dD48cmVjb3Jk
PjxyZWMtbnVtYmVyPjgyPC9yZWMtbnVtYmVyPjxmb3JlaWduLWtleXM+PGtleSBhcHA9IkVOIiBk
Yi1pZD0iZXcwcjI1ZTVpZWF3ZnVlZGR2M3BmMHNiYXh4MGZzcmFhOWZ0IiB0aW1lc3RhbXA9IjE2
ODI2NDk4NzIiPjgyPC9rZXk+PC9mb3JlaWduLWtleXM+PHJlZi10eXBlIG5hbWU9IkpvdXJuYWwg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instrText xml:space="preserve"> ADDIN EN.CITE.DATA </w:instrText>
      </w:r>
      <w:r>
        <w:fldChar w:fldCharType="end"/>
      </w:r>
      <w:r>
        <w:fldChar w:fldCharType="separate"/>
      </w:r>
      <w:r>
        <w:t>[51]</w:t>
      </w:r>
      <w:r>
        <w:fldChar w:fldCharType="end"/>
      </w:r>
      <w:r>
        <w:t xml:space="preserve">; theo </w:t>
      </w:r>
      <w:r w:rsidRPr="00630723">
        <w:t>Prince Kubi Appiah</w:t>
      </w:r>
      <w:r>
        <w:t xml:space="preserve"> (2021) tỷ lệ lao động tự do là 61.6%, ổn định là 28.1% và thất nghiệp là 10.3% </w:t>
      </w:r>
      <w:r>
        <w:fldChar w:fldCharType="begin">
          <w:fldData xml:space="preserve">PEVuZE5vdGU+PENpdGU+PEF1dGhvcj5BcHBpYWg8L0F1dGhvcj48WWVhcj4yMDIxPC9ZZWFyPjxS
ZWNOdW0+ODM8L1JlY051bT48RGlzcGxheVRleHQ+WzUyXTwvRGlzcGxheVRleHQ+PHJlY29yZD48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instrText xml:space="preserve"> ADDIN EN.CITE </w:instrText>
      </w:r>
      <w:r>
        <w:fldChar w:fldCharType="begin">
          <w:fldData xml:space="preserve">PEVuZE5vdGU+PENpdGU+PEF1dGhvcj5BcHBpYWg8L0F1dGhvcj48WWVhcj4yMDIxPC9ZZWFyPjxS
ZWNOdW0+ODM8L1JlY051bT48RGlzcGxheVRleHQ+WzUyXTwvRGlzcGxheVRleHQ+PHJlY29yZD48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instrText xml:space="preserve"> ADDIN EN.CITE.DATA </w:instrText>
      </w:r>
      <w:r>
        <w:fldChar w:fldCharType="end"/>
      </w:r>
      <w:r>
        <w:fldChar w:fldCharType="separate"/>
      </w:r>
      <w:r>
        <w:t>[52]</w:t>
      </w:r>
      <w:r>
        <w:fldChar w:fldCharType="end"/>
      </w:r>
      <w:r>
        <w:t>. Nghiên cứu của chúng tôi phù hợp với các tác giả trên. Lý giải cho bệnh nhân lao phổi thường gặp ở bệnh nhân lao động tự do là do hầu hết</w:t>
      </w:r>
      <w:r w:rsidRPr="007C6B54">
        <w:t xml:space="preserve"> các trường hợp này do thiếu nhận thức về nguy cơ lây nhiễm bệnh, thiếu sự chăm sóc y tế đúng mức và/hoặc thường xuyên sống xa gia đình hoặc sống thiếu mái ấm gia đình (thiếu sự quan tâm, chăm sóc, giáo dục và giúp đỡ của gia đình)</w:t>
      </w:r>
      <w:r>
        <w:t>, điều này phù hợp với đặc điểm dân số và tình hình phát triển kinh tế nước ta.</w:t>
      </w:r>
    </w:p>
    <w:p w14:paraId="19D0EF33" w14:textId="7F0153FC" w:rsidR="00C63AF8" w:rsidRDefault="00C63AF8" w:rsidP="001247DF">
      <w:pPr>
        <w:pStyle w:val="Heading3"/>
      </w:pPr>
      <w:r>
        <w:t>4.1.3. Phân bố theo khu vực địa lý</w:t>
      </w:r>
    </w:p>
    <w:p w14:paraId="4C6C0A67" w14:textId="1EB3279A" w:rsidR="00A12741" w:rsidRPr="00A12741" w:rsidRDefault="00FE03E9" w:rsidP="00C3227F">
      <w:pPr>
        <w:spacing w:before="160"/>
      </w:pPr>
      <w:r>
        <w:t>Đa phần bệnh nhân mắc lao phổi t</w:t>
      </w:r>
      <w:r w:rsidR="00A12741">
        <w:t>rong 250 bệnh nhân</w:t>
      </w:r>
      <w:r>
        <w:t xml:space="preserve"> ở nông thôn</w:t>
      </w:r>
      <w:r w:rsidR="00A12741">
        <w:t xml:space="preserve">, tỷ lệ bệnh nhân </w:t>
      </w:r>
      <w:r>
        <w:t>là</w:t>
      </w:r>
      <w:r w:rsidR="00A12741">
        <w:t xml:space="preserve"> 56.8% (142 bệnh nhân), sau đó là thành thị với 42.0% (105 bệnh nhân) và thấp nhất là hải đảo với 1.2% (3 bệnh nhân).</w:t>
      </w:r>
      <w:r w:rsidR="000D0D73">
        <w:t xml:space="preserve"> </w:t>
      </w:r>
      <w:r w:rsidR="005D0A0B">
        <w:rPr>
          <w:lang w:val="fr-FR"/>
        </w:rPr>
        <w:t xml:space="preserve">Kết quả này phù hợp với nghiên cứu của Lê Thị Thủy (2019) </w:t>
      </w:r>
      <w:r w:rsidR="00EE3834">
        <w:rPr>
          <w:lang w:val="fr-FR"/>
        </w:rPr>
        <w:t xml:space="preserve">tỷ lệ bệnh nhân nông thôn là 60.53% </w:t>
      </w:r>
      <w:r w:rsidR="00EE3834">
        <w:rPr>
          <w:lang w:val="fr-FR"/>
        </w:rPr>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EE3834">
        <w:rPr>
          <w:lang w:val="fr-FR"/>
        </w:rPr>
        <w:instrText xml:space="preserve"> ADDIN EN.CITE </w:instrText>
      </w:r>
      <w:r w:rsidR="00EE3834">
        <w:rPr>
          <w:lang w:val="fr-FR"/>
        </w:rPr>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EE3834">
        <w:rPr>
          <w:lang w:val="fr-FR"/>
        </w:rPr>
        <w:instrText xml:space="preserve"> ADDIN EN.CITE.DATA </w:instrText>
      </w:r>
      <w:r w:rsidR="00EE3834">
        <w:rPr>
          <w:lang w:val="fr-FR"/>
        </w:rPr>
      </w:r>
      <w:r w:rsidR="00EE3834">
        <w:rPr>
          <w:lang w:val="fr-FR"/>
        </w:rPr>
        <w:fldChar w:fldCharType="end"/>
      </w:r>
      <w:r w:rsidR="00EE3834">
        <w:rPr>
          <w:lang w:val="fr-FR"/>
        </w:rPr>
        <w:fldChar w:fldCharType="separate"/>
      </w:r>
      <w:r w:rsidR="00EE3834">
        <w:rPr>
          <w:lang w:val="fr-FR"/>
        </w:rPr>
        <w:t>[10]</w:t>
      </w:r>
      <w:r w:rsidR="00EE3834">
        <w:rPr>
          <w:lang w:val="fr-FR"/>
        </w:rPr>
        <w:fldChar w:fldCharType="end"/>
      </w:r>
      <w:r w:rsidR="003D1372">
        <w:rPr>
          <w:lang w:val="fr-FR"/>
        </w:rPr>
        <w:t> ; t</w:t>
      </w:r>
      <w:r w:rsidR="001867AE">
        <w:rPr>
          <w:lang w:val="fr-FR"/>
        </w:rPr>
        <w:t xml:space="preserve">heo </w:t>
      </w:r>
      <w:r w:rsidR="001867AE" w:rsidRPr="001867AE">
        <w:t>Ngọc Dung Trần</w:t>
      </w:r>
      <w:r w:rsidR="001867AE">
        <w:rPr>
          <w:lang w:val="fr-FR"/>
        </w:rPr>
        <w:t xml:space="preserve"> và cộng sự (2023)</w:t>
      </w:r>
      <w:r w:rsidR="00252EED">
        <w:rPr>
          <w:lang w:val="fr-FR"/>
        </w:rPr>
        <w:t xml:space="preserve"> tỷ lệ mắc lao khu vực nông thôn cao gấp 5 lần so với khu vực thành thị</w:t>
      </w:r>
      <w:r w:rsidR="001867AE">
        <w:rPr>
          <w:lang w:val="fr-FR"/>
        </w:rPr>
        <w:t xml:space="preserve"> </w:t>
      </w:r>
      <w:r w:rsidR="001867AE">
        <w:rPr>
          <w:lang w:val="fr-FR"/>
        </w:rPr>
        <w:fldChar w:fldCharType="begin"/>
      </w:r>
      <w:r w:rsidR="001867AE">
        <w:rPr>
          <w:lang w:val="fr-FR"/>
        </w:rPr>
        <w:instrText xml:space="preserve"> ADDIN EN.CITE &lt;EndNote&gt;&lt;Cite&gt;&lt;Author&gt;Trần&lt;/Author&gt;&lt;Year&gt;2023&lt;/Year&gt;&lt;RecNum&gt;85&lt;/RecNum&gt;&lt;DisplayText&gt;[53]&lt;/DisplayText&gt;&lt;record&gt;&lt;rec-number&gt;85&lt;/rec-number&gt;&lt;foreign-keys&gt;&lt;key app="EN" db-id="ew0r25e5ieawfueddv3pf0sbaxx0fsraa9ft" timestamp="1682669021"&gt;85&lt;/key&gt;&lt;/foreign-keys&gt;&lt;ref-type name="Journal Article"&gt;17&lt;/ref-type&gt;&lt;contributors&gt;&lt;authors&gt;&lt;author&gt;Trần, Ngọc Dung&lt;/author&gt;&lt;author&gt;Nguyễn, Hữu Thành&lt;/author&gt;&lt;author&gt;Nguyễn, Khoa Thi&lt;/author&gt;&lt;author&gt;Huỳnh, Thị Quỳnh Ngân&lt;/author&gt;&lt;author&gt;Nguyễn, Thanh Phương&lt;/author&gt;&lt;author&gt;Hà, Mẫn Ngọc&lt;/author&gt;&lt;/authors&gt;&lt;/contributors&gt;&lt;titles&gt;&lt;title&gt;TỶ LỆ MẮC VÀ ĐẶC ĐIỂM DỊCH TỄ LAO MỚI TẠI TỈNH ĐỒNG THÁP NĂM 2020&lt;/title&gt;&lt;secondary-title&gt;Tạp chí Y học Việt Nam&lt;/secondary-title&gt;&lt;/titles&gt;&lt;periodical&gt;&lt;full-title&gt;Tạp chí Y học Việt Nam&lt;/full-title&gt;&lt;/periodical&gt;&lt;volume&gt;524&lt;/volume&gt;&lt;number&gt;1B&lt;/number&gt;&lt;dates&gt;&lt;year&gt;2023&lt;/year&gt;&lt;pub-dates&gt;&lt;date&gt;03/24&lt;/date&gt;&lt;/pub-dates&gt;&lt;/dates&gt;&lt;urls&gt;&lt;related-urls&gt;&lt;url&gt;https://tapchiyhocvietnam.vn/index.php/vmj/article/view/4797&lt;/url&gt;&lt;/related-urls&gt;&lt;/urls&gt;&lt;electronic-resource-num&gt;10.51298/vmj.v524i1B.4797&lt;/electronic-resource-num&gt;&lt;access-date&gt;2023/04/28&lt;/access-date&gt;&lt;/record&gt;&lt;/Cite&gt;&lt;/EndNote&gt;</w:instrText>
      </w:r>
      <w:r w:rsidR="001867AE">
        <w:rPr>
          <w:lang w:val="fr-FR"/>
        </w:rPr>
        <w:fldChar w:fldCharType="separate"/>
      </w:r>
      <w:r w:rsidR="001867AE">
        <w:rPr>
          <w:lang w:val="fr-FR"/>
        </w:rPr>
        <w:t>[53]</w:t>
      </w:r>
      <w:r w:rsidR="001867AE">
        <w:rPr>
          <w:lang w:val="fr-FR"/>
        </w:rPr>
        <w:fldChar w:fldCharType="end"/>
      </w:r>
      <w:r w:rsidR="00252EED">
        <w:rPr>
          <w:lang w:val="fr-FR"/>
        </w:rPr>
        <w:t>.</w:t>
      </w:r>
      <w:r w:rsidR="002115D1">
        <w:rPr>
          <w:lang w:val="fr-FR"/>
        </w:rPr>
        <w:t xml:space="preserve"> Lý giải cho điều này là vì</w:t>
      </w:r>
      <w:r w:rsidR="00F95C3F">
        <w:rPr>
          <w:lang w:val="fr-FR"/>
        </w:rPr>
        <w:t xml:space="preserve"> </w:t>
      </w:r>
      <w:r w:rsidR="002115D1">
        <w:rPr>
          <w:lang w:val="fr-FR"/>
        </w:rPr>
        <w:t>đ</w:t>
      </w:r>
      <w:r w:rsidR="00F95C3F" w:rsidRPr="00913093">
        <w:rPr>
          <w:lang w:val="fr-FR"/>
        </w:rPr>
        <w:t xml:space="preserve">iều kiện sinh hoạt ở nông thôn phần nào cũng hạn chế hơn so với thành thị. </w:t>
      </w:r>
      <w:r w:rsidR="002115D1">
        <w:rPr>
          <w:lang w:val="fr-FR"/>
        </w:rPr>
        <w:t xml:space="preserve">Tỷ lệ bệnh nhân ở hải </w:t>
      </w:r>
      <w:r w:rsidR="002115D1">
        <w:rPr>
          <w:lang w:val="fr-FR"/>
        </w:rPr>
        <w:lastRenderedPageBreak/>
        <w:t>đảo cũng rất thấp do chưa có cơ hội tiếp xúc với hệ thống y tế nên tỷ lệ phát hiện lao thấp hơn so với những khu vực khác.</w:t>
      </w:r>
    </w:p>
    <w:p w14:paraId="62722FB2" w14:textId="213A4059" w:rsidR="00B02FA7" w:rsidRDefault="00B02FA7" w:rsidP="001247DF">
      <w:pPr>
        <w:pStyle w:val="Heading2"/>
      </w:pPr>
      <w:bookmarkStart w:id="107" w:name="_Toc133590784"/>
      <w:r>
        <w:t xml:space="preserve">4.2. Đặc điểm về tình trạng dinh dưỡng </w:t>
      </w:r>
      <w:r w:rsidR="00734960">
        <w:t>của</w:t>
      </w:r>
      <w:r>
        <w:t xml:space="preserve"> đối tượng nghiên cứu</w:t>
      </w:r>
      <w:bookmarkEnd w:id="107"/>
    </w:p>
    <w:p w14:paraId="34A63293" w14:textId="7BA64053" w:rsidR="00536DB1" w:rsidRDefault="00536DB1" w:rsidP="006966DB">
      <w:pPr>
        <w:pStyle w:val="Heading3"/>
      </w:pPr>
      <w:r>
        <w:t>4.2.1. Tình trạng dinh dưỡng theo BMI</w:t>
      </w:r>
    </w:p>
    <w:p w14:paraId="3802D978" w14:textId="0BF0A56A" w:rsidR="006966DB" w:rsidRPr="006966DB" w:rsidRDefault="00B60D10" w:rsidP="006966DB">
      <w:r>
        <w:t xml:space="preserve">Đánh giá </w:t>
      </w:r>
      <w:r w:rsidR="00280D54">
        <w:t>TTDD</w:t>
      </w:r>
      <w:r>
        <w:t xml:space="preserve"> theo BMI trên 250 bệnh nhân, có 8.4% (21 bệnh nhân) SDD độ I, 8.8% (22 bệnh nhân) SDD độ II, 17.2% (43 bệnh nhân) SDD độ III và 65.6% (164 bệnh nhân) không bị SDD</w:t>
      </w:r>
      <w:r w:rsidR="008A1C73">
        <w:t>. Tỷ lệ nhóm có cân nặng bình thường cao gấp 1.9 lần nhóm bị SDD</w:t>
      </w:r>
      <w:r>
        <w:t>. Giá trị BMI nhỏ nhất là 12.4 và lớn nhất là 31.8, trung bình BMI 19.597 ± 2.887.</w:t>
      </w:r>
      <w:r w:rsidR="007F5786">
        <w:t xml:space="preserve"> </w:t>
      </w:r>
      <w:r w:rsidR="00075667">
        <w:t>K</w:t>
      </w:r>
      <w:r w:rsidR="00075667" w:rsidRPr="00075667">
        <w:t>ết quả cứu của chúng tôi tương đồng với nghiên cứu về mối liên quan giữa chỉ số khối cơ thể và bệnh lao tại Trung Quốc</w:t>
      </w:r>
      <w:r w:rsidR="004E1ECE">
        <w:t xml:space="preserve"> của </w:t>
      </w:r>
      <w:r w:rsidR="00075667" w:rsidRPr="00075667">
        <w:t xml:space="preserve"> </w:t>
      </w:r>
      <w:r w:rsidR="004E1ECE" w:rsidRPr="004E1ECE">
        <w:t>Y. Zhang</w:t>
      </w:r>
      <w:r w:rsidR="004E1ECE">
        <w:t xml:space="preserve"> và cộng sự (2018) </w:t>
      </w:r>
      <w:r w:rsidR="00075667" w:rsidRPr="00075667">
        <w:t>thừa cân hoặc béo phì có liên quan đến nguy cơ mắc bệnh lao thấp hơn so với cân nặng bình thường (95%</w:t>
      </w:r>
      <w:r w:rsidR="00DA6AF0">
        <w:t xml:space="preserve"> CI</w:t>
      </w:r>
      <w:r w:rsidR="00075667" w:rsidRPr="00075667">
        <w:t xml:space="preserve"> 0</w:t>
      </w:r>
      <w:r w:rsidR="00DA6AF0">
        <w:t>.</w:t>
      </w:r>
      <w:r w:rsidR="00075667" w:rsidRPr="00075667">
        <w:t>14</w:t>
      </w:r>
      <w:r w:rsidR="00DA6AF0">
        <w:t>-0.</w:t>
      </w:r>
      <w:r w:rsidR="00075667" w:rsidRPr="00075667">
        <w:t>82, p&lt;0</w:t>
      </w:r>
      <w:r w:rsidR="00DA6AF0">
        <w:t>.</w:t>
      </w:r>
      <w:r w:rsidR="00075667" w:rsidRPr="00075667">
        <w:t>01)</w:t>
      </w:r>
      <w:r w:rsidR="00D11925">
        <w:t>, t</w:t>
      </w:r>
      <w:r w:rsidR="00075667" w:rsidRPr="00075667">
        <w:t>hiếu cân có nguy cơ mắc lao cao hơn nhưng không có ý nghĩa thống kê (95%</w:t>
      </w:r>
      <w:r w:rsidR="00D11925">
        <w:t xml:space="preserve"> CI</w:t>
      </w:r>
      <w:r w:rsidR="00075667" w:rsidRPr="00075667">
        <w:t xml:space="preserve"> 0</w:t>
      </w:r>
      <w:r w:rsidR="00D11925">
        <w:t>.</w:t>
      </w:r>
      <w:r w:rsidR="00075667" w:rsidRPr="00075667">
        <w:t>52</w:t>
      </w:r>
      <w:r w:rsidR="00D11925">
        <w:t>-</w:t>
      </w:r>
      <w:r w:rsidR="00075667" w:rsidRPr="00075667">
        <w:t>3</w:t>
      </w:r>
      <w:r w:rsidR="00D11925">
        <w:t>.</w:t>
      </w:r>
      <w:r w:rsidR="00075667" w:rsidRPr="00075667">
        <w:t>06, p</w:t>
      </w:r>
      <w:r w:rsidR="00D11925">
        <w:t xml:space="preserve"> </w:t>
      </w:r>
      <w:r w:rsidR="00075667" w:rsidRPr="00075667">
        <w:t>=</w:t>
      </w:r>
      <w:r w:rsidR="00D11925">
        <w:t xml:space="preserve"> </w:t>
      </w:r>
      <w:r w:rsidR="00075667" w:rsidRPr="00075667">
        <w:t>0</w:t>
      </w:r>
      <w:r w:rsidR="00D11925">
        <w:t>.</w:t>
      </w:r>
      <w:r w:rsidR="00075667" w:rsidRPr="00075667">
        <w:t xml:space="preserve">60) </w:t>
      </w:r>
      <w:r w:rsidR="00D11925">
        <w:t>k</w:t>
      </w:r>
      <w:r w:rsidR="00075667" w:rsidRPr="00075667">
        <w:t>èm theo chỉ số BMI nâng lên, nguy cơ lao giảm</w:t>
      </w:r>
      <w:r w:rsidR="00D11925">
        <w:t xml:space="preserve"> </w:t>
      </w:r>
      <w:r w:rsidR="00075667" w:rsidRPr="00075667">
        <w:t xml:space="preserve">48% </w:t>
      </w:r>
      <w:r w:rsidR="004E1ECE">
        <w:fldChar w:fldCharType="begin"/>
      </w:r>
      <w:r w:rsidR="004E1ECE">
        <w:instrText xml:space="preserve"> ADDIN EN.CITE &lt;EndNote&gt;&lt;Cite&gt;&lt;Author&gt;Zhang&lt;/Author&gt;&lt;Year&gt;2018&lt;/Year&gt;&lt;RecNum&gt;86&lt;/RecNum&gt;&lt;DisplayText&gt;[54]&lt;/DisplayText&gt;&lt;record&gt;&lt;rec-number&gt;86&lt;/rec-number&gt;&lt;foreign-keys&gt;&lt;key app="EN" db-id="ew0r25e5ieawfueddv3pf0sbaxx0fsraa9ft" timestamp="1682671066"&gt;86&lt;/key&gt;&lt;/foreign-keys&gt;&lt;ref-type name="Journal Article"&gt;17&lt;/ref-type&gt;&lt;contributors&gt;&lt;authors&gt;&lt;author&gt;Zhang, Y.&lt;/author&gt;&lt;author&gt;Wang, X. L.&lt;/author&gt;&lt;author&gt;Feng, T.&lt;/author&gt;&lt;author&gt;Fang, C. Z.&lt;/author&gt;&lt;/authors&gt;&lt;/contributors&gt;&lt;auth-address&gt;School of Science, Beijing University of Posts and Telecommunications, Beijing 100876, China.&lt;/auth-address&gt;&lt;titles&gt;&lt;title&gt;Analysis of spatial-temporal distribution and influencing factors of pulmonary tuberculosis in China, during 2008-2015&lt;/title&gt;&lt;secondary-title&gt;Epidemiol Infect&lt;/secondary-title&gt;&lt;/titles&gt;&lt;periodical&gt;&lt;full-title&gt;Epidemiol Infect&lt;/full-title&gt;&lt;/periodical&gt;&lt;pages&gt;e25&lt;/pages&gt;&lt;volume&gt;147&lt;/volume&gt;&lt;edition&gt;20181010&lt;/edition&gt;&lt;keywords&gt;&lt;keyword&gt;Incidence&lt;/keyword&gt;&lt;keyword&gt;influencing factors&lt;/keyword&gt;&lt;keyword&gt;pulmonary tuberculosis&lt;/keyword&gt;&lt;keyword&gt;spatial aggregation&lt;/keyword&gt;&lt;/keywords&gt;&lt;dates&gt;&lt;year&gt;2018&lt;/year&gt;&lt;pub-dates&gt;&lt;date&gt;Oct 10&lt;/date&gt;&lt;/pub-dates&gt;&lt;/dates&gt;&lt;isbn&gt;0950-2688 (Print)&amp;#xD;0950-2688&lt;/isbn&gt;&lt;accession-num&gt;30303057&lt;/accession-num&gt;&lt;urls&gt;&lt;/urls&gt;&lt;custom1&gt;The authors declare no conflict of interest.&lt;/custom1&gt;&lt;custom2&gt;PMC6518845&lt;/custom2&gt;&lt;electronic-resource-num&gt;10.1017/s0950268818002765&lt;/electronic-resource-num&gt;&lt;remote-database-provider&gt;NLM&lt;/remote-database-provider&gt;&lt;language&gt;eng&lt;/language&gt;&lt;/record&gt;&lt;/Cite&gt;&lt;/EndNote&gt;</w:instrText>
      </w:r>
      <w:r w:rsidR="004E1ECE">
        <w:fldChar w:fldCharType="separate"/>
      </w:r>
      <w:r w:rsidR="004E1ECE">
        <w:t>[54]</w:t>
      </w:r>
      <w:r w:rsidR="004E1ECE">
        <w:fldChar w:fldCharType="end"/>
      </w:r>
      <w:r w:rsidR="00075667" w:rsidRPr="00075667">
        <w:t>.</w:t>
      </w:r>
    </w:p>
    <w:p w14:paraId="2C19FAD0" w14:textId="1BDCFE3A" w:rsidR="00B46497" w:rsidRDefault="00B46497" w:rsidP="006966DB">
      <w:pPr>
        <w:pStyle w:val="Heading3"/>
      </w:pPr>
      <w:r>
        <w:t>4.2.1.</w:t>
      </w:r>
      <w:r w:rsidR="00FB22BB">
        <w:t xml:space="preserve"> </w:t>
      </w:r>
      <w:r w:rsidR="000B7AB9">
        <w:t>Tình trạng dinh dưỡng theo SGA</w:t>
      </w:r>
    </w:p>
    <w:p w14:paraId="790252AB" w14:textId="692A6AB2" w:rsidR="00653BEA" w:rsidRDefault="00280D54" w:rsidP="00164B2F">
      <w:r>
        <w:t>Kết quả đ</w:t>
      </w:r>
      <w:r w:rsidR="00DA4449">
        <w:t xml:space="preserve">ánh giá </w:t>
      </w:r>
      <w:r w:rsidR="009D1321">
        <w:t>TTDD</w:t>
      </w:r>
      <w:r w:rsidR="00DA4449">
        <w:t xml:space="preserve"> theo SGA</w:t>
      </w:r>
      <w:r w:rsidR="00950AD7">
        <w:t xml:space="preserve"> từ bảng</w:t>
      </w:r>
      <w:r w:rsidR="00826FF9">
        <w:t xml:space="preserve"> 3.5</w:t>
      </w:r>
      <w:r w:rsidR="00DA4449">
        <w:t>, có 32.0% (80 bệnh nhân) SDD nhẹ đến trung bình, 5.2% (13 bệnh nhân) SDD nặng và 62.8% (157 bệnh nhân) có biểu hiện bình thường.</w:t>
      </w:r>
      <w:r w:rsidR="006677CA">
        <w:t xml:space="preserve"> </w:t>
      </w:r>
      <w:r w:rsidR="0038077F">
        <w:t>Theo nghiên cứu của [WIP].</w:t>
      </w:r>
    </w:p>
    <w:p w14:paraId="0AE4EF9D" w14:textId="1FD16FA4" w:rsidR="00164B2F" w:rsidRPr="00164B2F" w:rsidRDefault="00916BBC" w:rsidP="00164B2F">
      <w:r w:rsidRPr="00B35210">
        <w:t xml:space="preserve">Tình trạng </w:t>
      </w:r>
      <w:r w:rsidR="00423D95">
        <w:t>SDD</w:t>
      </w:r>
      <w:r w:rsidR="00E338E9">
        <w:t xml:space="preserve"> ở</w:t>
      </w:r>
      <w:r w:rsidRPr="00B35210">
        <w:t xml:space="preserve"> bệnh nhân đánh giá bằng phương pháp SGA </w:t>
      </w:r>
      <w:r w:rsidR="00E338E9">
        <w:t>cao hơn</w:t>
      </w:r>
      <w:r w:rsidRPr="00B35210">
        <w:t xml:space="preserve"> so</w:t>
      </w:r>
      <w:r>
        <w:t xml:space="preserve"> </w:t>
      </w:r>
      <w:r w:rsidRPr="00B35210">
        <w:t>với BMI (</w:t>
      </w:r>
      <w:r w:rsidR="00F9329B">
        <w:t>37.2</w:t>
      </w:r>
      <w:r w:rsidRPr="00B35210">
        <w:t xml:space="preserve">% so với </w:t>
      </w:r>
      <w:r w:rsidR="0085475B">
        <w:t>34</w:t>
      </w:r>
      <w:r w:rsidRPr="00B35210">
        <w:t xml:space="preserve">.4%). </w:t>
      </w:r>
      <w:r w:rsidR="00E03538">
        <w:t>Có kế quả khác nhau như vậy là do dinh dưỡng của bệnh nhân đánh giá theo phương pháp SGA dựa vào nhiều yếu tố gồm sụt cân trong 6 tháng qua, khẩu phần ăn, triệu chứng tiêu hóa trong 2 tuần, suy giảm chức năng vận động, nhu cầu chuyển hóa và thăm khám lâm sàng</w:t>
      </w:r>
      <w:r w:rsidR="00651933">
        <w:t>.</w:t>
      </w:r>
      <w:r w:rsidR="00E03538">
        <w:t xml:space="preserve"> </w:t>
      </w:r>
      <w:r w:rsidR="00CC4D62">
        <w:t xml:space="preserve">Những bệnh nhân SDD theo SGA có những triệu chứng này thậm chí có thể xuất hiện ở những bệnh </w:t>
      </w:r>
      <w:r w:rsidR="00CC4D62">
        <w:lastRenderedPageBreak/>
        <w:t xml:space="preserve">nhân thừa cân - béo phì nhưng chỉ số BMI lại hoàn toàn bình thường. </w:t>
      </w:r>
      <w:r w:rsidR="007368C3" w:rsidRPr="00DA4449">
        <w:t>Một số t</w:t>
      </w:r>
      <w:r w:rsidR="007368C3">
        <w:t>á</w:t>
      </w:r>
      <w:r w:rsidR="007368C3" w:rsidRPr="00DA4449">
        <w:t>c giả nhận định chỉ số BMI là công cụ đơn giản để đánh giá nhưng nhi</w:t>
      </w:r>
      <w:r w:rsidR="007368C3">
        <w:t>ề</w:t>
      </w:r>
      <w:r w:rsidR="007368C3" w:rsidRPr="00DA4449">
        <w:t xml:space="preserve">u trường hợp không đủ độ nhạy để đánh giá tổng thể </w:t>
      </w:r>
      <w:r w:rsidR="007368C3">
        <w:t>TTDD của</w:t>
      </w:r>
      <w:r w:rsidR="007368C3" w:rsidRPr="00DA4449">
        <w:t xml:space="preserve"> </w:t>
      </w:r>
      <w:r w:rsidR="007368C3">
        <w:t>bệnh nhân</w:t>
      </w:r>
      <w:r w:rsidR="007368C3" w:rsidRPr="00DA4449">
        <w:t>. BMI nhiều khi không tương ứng vớ</w:t>
      </w:r>
      <w:r w:rsidR="007368C3">
        <w:t>i</w:t>
      </w:r>
      <w:r w:rsidR="007368C3" w:rsidRPr="00DA4449">
        <w:t xml:space="preserve"> dấu hiệu lâm sàng các chỉ số </w:t>
      </w:r>
      <w:r w:rsidR="007368C3">
        <w:t>xét nghiệm</w:t>
      </w:r>
      <w:r w:rsidR="007368C3" w:rsidRPr="00DA4449">
        <w:t>. Một số t</w:t>
      </w:r>
      <w:r w:rsidR="007368C3">
        <w:t>á</w:t>
      </w:r>
      <w:r w:rsidR="007368C3" w:rsidRPr="00DA4449">
        <w:t>c gi</w:t>
      </w:r>
      <w:r w:rsidR="007368C3">
        <w:t>ả</w:t>
      </w:r>
      <w:r w:rsidR="007368C3" w:rsidRPr="00DA4449">
        <w:t xml:space="preserve"> khi so sánh </w:t>
      </w:r>
      <w:r w:rsidR="007368C3">
        <w:t>TTDD</w:t>
      </w:r>
      <w:r w:rsidR="007368C3" w:rsidRPr="00DA4449">
        <w:t xml:space="preserve"> theo </w:t>
      </w:r>
      <w:r w:rsidR="007368C3">
        <w:t>các</w:t>
      </w:r>
      <w:r w:rsidR="007368C3" w:rsidRPr="00DA4449">
        <w:t xml:space="preserve"> cách khác nhau đã</w:t>
      </w:r>
      <w:r w:rsidR="007368C3">
        <w:t xml:space="preserve"> </w:t>
      </w:r>
      <w:r w:rsidR="007368C3" w:rsidRPr="00DA4449">
        <w:t>cho thấy BMI không phải là một phương pháp thích hợp để đánh gi</w:t>
      </w:r>
      <w:r w:rsidR="007368C3">
        <w:t>á</w:t>
      </w:r>
      <w:r w:rsidR="007368C3" w:rsidRPr="00DA4449">
        <w:t xml:space="preserve"> tác động của </w:t>
      </w:r>
      <w:r w:rsidR="007368C3">
        <w:t>SDD</w:t>
      </w:r>
      <w:r w:rsidR="007368C3" w:rsidRPr="00DA4449">
        <w:t xml:space="preserve"> ở người bệnh nhập viện so với thang phân </w:t>
      </w:r>
      <w:r w:rsidR="007368C3">
        <w:t>loại</w:t>
      </w:r>
      <w:r w:rsidR="007368C3" w:rsidRPr="00DA4449">
        <w:t xml:space="preserve"> SGA</w:t>
      </w:r>
      <w:r>
        <w:t>.</w:t>
      </w:r>
    </w:p>
    <w:p w14:paraId="0FCE8DA0" w14:textId="020CFB9E" w:rsidR="00B02FA7" w:rsidRPr="00C57DFE" w:rsidRDefault="00B02FA7" w:rsidP="001247DF">
      <w:pPr>
        <w:pStyle w:val="Heading2"/>
      </w:pPr>
      <w:bookmarkStart w:id="108" w:name="_Toc133590785"/>
      <w:r>
        <w:t>4.3. Tình trạng dinh dưỡng và các yếu tố liên quan của đối tượng nghiên cứu</w:t>
      </w:r>
      <w:bookmarkEnd w:id="108"/>
    </w:p>
    <w:p w14:paraId="715AE1F9" w14:textId="1FF8CB2E" w:rsidR="00746BC0" w:rsidRDefault="006C536D" w:rsidP="00C84CD9">
      <w:pPr>
        <w:pStyle w:val="Heading3"/>
      </w:pPr>
      <w:r>
        <w:t>4.3.1. Mối liên quan giữa nhóm tuổi và tình trạng dinh dưỡng</w:t>
      </w:r>
    </w:p>
    <w:p w14:paraId="0FAB71BB" w14:textId="270A0E24" w:rsidR="00330ECA" w:rsidRDefault="00330ECA" w:rsidP="00330ECA">
      <w:pPr>
        <w:tabs>
          <w:tab w:val="left" w:pos="2400"/>
        </w:tabs>
        <w:spacing w:before="160"/>
      </w:pPr>
      <w:r>
        <w:t>Từ bảng 3.6 đ</w:t>
      </w:r>
      <w:r>
        <w:t>ánh giá SDD theo BMI, nhóm 15 – 29 tuổi có tỷ lệ bệnh nhân SDD cao nhất là 52.9%, tiếp theo là nhóm 40</w:t>
      </w:r>
      <w:r w:rsidRPr="00203D68">
        <w:t xml:space="preserve"> – </w:t>
      </w:r>
      <w:r>
        <w:t>4</w:t>
      </w:r>
      <w:r w:rsidRPr="00203D68">
        <w:t>9</w:t>
      </w:r>
      <w:r>
        <w:t>,  ≥60, 30</w:t>
      </w:r>
      <w:r w:rsidRPr="00203D68">
        <w:t xml:space="preserve"> – </w:t>
      </w:r>
      <w:r>
        <w:t>3</w:t>
      </w:r>
      <w:r w:rsidRPr="00203D68">
        <w:t>9 tuổi</w:t>
      </w:r>
      <w:r>
        <w:t xml:space="preserve"> lần lượt là 35.2%, 31.7% và 31.3%, nhóm 50</w:t>
      </w:r>
      <w:r w:rsidRPr="00203D68">
        <w:t xml:space="preserve"> – </w:t>
      </w:r>
      <w:r>
        <w:t>5</w:t>
      </w:r>
      <w:r w:rsidRPr="00203D68">
        <w:t>9 tuổi</w:t>
      </w:r>
      <w:r>
        <w:t xml:space="preserve"> có tỷ lệ bệnh nhân SDD thấp nhất là 27.1%. Tuy nhiên, sự khác biệt chưa có ý nghĩa thống kê với p = 0.150.</w:t>
      </w:r>
      <w:r w:rsidR="00005B10">
        <w:t xml:space="preserve"> So với nghiên cứu của [WIP]</w:t>
      </w:r>
    </w:p>
    <w:p w14:paraId="22099926" w14:textId="3FCA2897" w:rsidR="00C84CD9" w:rsidRPr="00C84CD9" w:rsidRDefault="00C941F7" w:rsidP="00C13FB2">
      <w:pPr>
        <w:tabs>
          <w:tab w:val="left" w:pos="2400"/>
        </w:tabs>
        <w:spacing w:before="160"/>
      </w:pPr>
      <w:r>
        <w:t>T</w:t>
      </w:r>
      <w:r>
        <w:t>heo SGA, nhóm 30 – 39 tuổi có tỷ lệ bệnh nhân SDD cao nhất là 53.1%, tiếp theo là nhóm 15</w:t>
      </w:r>
      <w:r w:rsidRPr="00203D68">
        <w:t xml:space="preserve"> – </w:t>
      </w:r>
      <w:r>
        <w:t>2</w:t>
      </w:r>
      <w:r w:rsidRPr="00203D68">
        <w:t>9</w:t>
      </w:r>
      <w:r>
        <w:t>, 40</w:t>
      </w:r>
      <w:r w:rsidRPr="00203D68">
        <w:t xml:space="preserve"> – </w:t>
      </w:r>
      <w:r>
        <w:t>4</w:t>
      </w:r>
      <w:r w:rsidRPr="00203D68">
        <w:t>9</w:t>
      </w:r>
      <w:r>
        <w:t>, 50</w:t>
      </w:r>
      <w:r w:rsidRPr="00203D68">
        <w:t xml:space="preserve"> – </w:t>
      </w:r>
      <w:r>
        <w:t>5</w:t>
      </w:r>
      <w:r w:rsidRPr="00203D68">
        <w:t>9 tuổi</w:t>
      </w:r>
      <w:r>
        <w:t xml:space="preserve"> lần lượt là 41.2%, 38.9% và 35.4%, nhóm ≥60</w:t>
      </w:r>
      <w:r w:rsidRPr="00203D68">
        <w:t xml:space="preserve"> tuổi</w:t>
      </w:r>
      <w:r>
        <w:t xml:space="preserve"> có tỷ lệ bệnh nhân SDD thấp nhất là 29.3%. Tuy nhiên, sự khác biệt chưa có ý nghĩa thống kê với p = 0.196.</w:t>
      </w:r>
      <w:r w:rsidR="00502BE3">
        <w:t xml:space="preserve"> Theo nghiên cứu của [WIP]</w:t>
      </w:r>
    </w:p>
    <w:p w14:paraId="1B008FAF" w14:textId="5CA862E1" w:rsidR="006C536D" w:rsidRDefault="006C536D" w:rsidP="00C84CD9">
      <w:pPr>
        <w:pStyle w:val="Heading3"/>
      </w:pPr>
      <w:r>
        <w:t>4.3.2. Mối liên quan giữa giới và tình trạng dinh dưỡng</w:t>
      </w:r>
    </w:p>
    <w:p w14:paraId="462F781E" w14:textId="691F6A0A" w:rsidR="00994B24" w:rsidRDefault="00994B24" w:rsidP="00994B24">
      <w:pPr>
        <w:spacing w:before="160"/>
      </w:pPr>
      <w:r>
        <w:t>Đánh giá SDD theo BMI, nhóm nam có 34.4% bệnh nhân SDD và nhóm nữ có 34.3% bệnh nhân SDD. OR = 0.996, khoảng tin cậy 95% của OR là 0.</w:t>
      </w:r>
      <w:r w:rsidRPr="00647E9E">
        <w:t>552</w:t>
      </w:r>
      <w:r>
        <w:t>-</w:t>
      </w:r>
      <w:r w:rsidRPr="00647E9E">
        <w:t>1</w:t>
      </w:r>
      <w:r>
        <w:t>.</w:t>
      </w:r>
      <w:r w:rsidRPr="00647E9E">
        <w:t>795</w:t>
      </w:r>
      <w:r>
        <w:t xml:space="preserve">, sự khác biệt chưa có ý nghĩa thống kê với p = 1 cho thấy yếu tố giới tính </w:t>
      </w:r>
      <w:r>
        <w:lastRenderedPageBreak/>
        <w:t>chưa thực sự ảnh hưởng đến TTDD của bệnh nhân theo BMI.</w:t>
      </w:r>
      <w:r w:rsidR="00F573F2">
        <w:t xml:space="preserve"> Kết quả này tương đồng với [WIP]</w:t>
      </w:r>
      <w:r w:rsidR="00FC4C13">
        <w:t>.</w:t>
      </w:r>
    </w:p>
    <w:p w14:paraId="453EC400" w14:textId="41D312AE" w:rsidR="00994B24" w:rsidRPr="00994B24" w:rsidRDefault="0008366B" w:rsidP="0008366B">
      <w:pPr>
        <w:tabs>
          <w:tab w:val="left" w:pos="2400"/>
        </w:tabs>
        <w:spacing w:before="160"/>
      </w:pPr>
      <w:r>
        <w:t>Đánh giá SDD theo SGA, nhóm nam có 38.8% bệnh nhân SDD cao hơn so với nhóm nữ có 32.8% bệnh nhân SDD. OR = 0.771, khoảng tin cậy 95% của OR là 0</w:t>
      </w:r>
      <w:r w:rsidRPr="00647E9E">
        <w:t>.</w:t>
      </w:r>
      <w:r>
        <w:t>427-</w:t>
      </w:r>
      <w:r w:rsidRPr="00647E9E">
        <w:t>1.</w:t>
      </w:r>
      <w:r>
        <w:t>392, sự khác biệt chưa có ý nghĩa thống kê với p = 0.474 cho thấy yếu tố giới tính chưa thực sự ảnh hưởng đến TTDD của bệnh nhân theo SGA.</w:t>
      </w:r>
      <w:r w:rsidR="004822DA">
        <w:t xml:space="preserve"> Kết quả này tương đồng với nghiên cứu của [WIP]</w:t>
      </w:r>
    </w:p>
    <w:p w14:paraId="5E92BE70" w14:textId="512A12A4" w:rsidR="00C10DAE" w:rsidRDefault="00C13FB2" w:rsidP="00C10DAE">
      <w:pPr>
        <w:pStyle w:val="Heading3"/>
      </w:pPr>
      <w:r>
        <w:t>4</w:t>
      </w:r>
      <w:r w:rsidR="00C10DAE">
        <w:t>.3.3. Mối liên quan giữa nghề nghiệp và tình trạng dinh dưỡng</w:t>
      </w:r>
    </w:p>
    <w:p w14:paraId="074EAC88" w14:textId="45C95C5A" w:rsidR="00C10DAE" w:rsidRDefault="00C10DAE" w:rsidP="00C10DAE">
      <w:pPr>
        <w:tabs>
          <w:tab w:val="left" w:pos="2400"/>
        </w:tabs>
        <w:spacing w:before="160"/>
      </w:pPr>
      <w:r>
        <w:t xml:space="preserve">Đánh giá SDD theo BMI, nhóm lao động tự do có tỷ lệ bệnh nhân SDD là </w:t>
      </w:r>
      <w:r w:rsidRPr="00A615D6">
        <w:t>41.5%</w:t>
      </w:r>
      <w:r>
        <w:t xml:space="preserve"> cao hơn các nhóm nghề nghiệp khác là </w:t>
      </w:r>
      <w:r w:rsidRPr="004728E8">
        <w:t>28.0</w:t>
      </w:r>
      <w:r>
        <w:t>%. OR = 0.548, khoảng tin cậy 95% của OR là 0</w:t>
      </w:r>
      <w:r w:rsidRPr="002A1DCE">
        <w:t>.</w:t>
      </w:r>
      <w:r>
        <w:t>324-0</w:t>
      </w:r>
      <w:r w:rsidRPr="002A1DCE">
        <w:t>.9</w:t>
      </w:r>
      <w:r>
        <w:t>30, sự khác biệt có ý nghĩa thống kê với p = 0</w:t>
      </w:r>
      <w:r w:rsidRPr="00802A61">
        <w:t>.</w:t>
      </w:r>
      <w:r>
        <w:t>035.</w:t>
      </w:r>
      <w:r w:rsidR="00D64AD8">
        <w:t xml:space="preserve"> [WIP]</w:t>
      </w:r>
    </w:p>
    <w:p w14:paraId="19D0712D" w14:textId="4826AF6E" w:rsidR="00C10DAE" w:rsidRDefault="00C10DAE" w:rsidP="00C10DAE">
      <w:pPr>
        <w:tabs>
          <w:tab w:val="left" w:pos="2400"/>
        </w:tabs>
        <w:spacing w:before="160"/>
      </w:pPr>
      <w:r>
        <w:t xml:space="preserve">Đánh giá SDD theo SGA, nhóm lao động tự do có tỷ lệ bệnh nhân SDD là </w:t>
      </w:r>
      <w:r w:rsidRPr="00792BD3">
        <w:t>43.2%</w:t>
      </w:r>
      <w:r>
        <w:t xml:space="preserve"> cao hơn các nhóm nghề nghiệp khác là </w:t>
      </w:r>
      <w:r w:rsidRPr="002E30BF">
        <w:t>31.8%</w:t>
      </w:r>
      <w:r>
        <w:t>. Sự khác biệt chưa có ý nghĩa thống kê với p = 0</w:t>
      </w:r>
      <w:r w:rsidRPr="00802A61">
        <w:t>.</w:t>
      </w:r>
      <w:r>
        <w:t>083.</w:t>
      </w:r>
      <w:r w:rsidR="0043563E">
        <w:t xml:space="preserve"> Phù hợp với nghiên cứu [WIP].</w:t>
      </w:r>
    </w:p>
    <w:p w14:paraId="6C928D5B" w14:textId="3C04E341" w:rsidR="00C10DAE" w:rsidRDefault="00C13FB2" w:rsidP="00C10DAE">
      <w:pPr>
        <w:pStyle w:val="Heading3"/>
      </w:pPr>
      <w:r>
        <w:t>4</w:t>
      </w:r>
      <w:r w:rsidR="00C10DAE">
        <w:t>.3.4. Mối liên quan giữa khu vực địa lý và tình trạng dinh dưỡng</w:t>
      </w:r>
    </w:p>
    <w:p w14:paraId="0D292ED3" w14:textId="740F3D11" w:rsidR="00C10DAE" w:rsidRDefault="00825D86" w:rsidP="00C10DAE">
      <w:pPr>
        <w:tabs>
          <w:tab w:val="left" w:pos="2400"/>
        </w:tabs>
        <w:spacing w:before="160"/>
      </w:pPr>
      <w:r>
        <w:t>Tỷ</w:t>
      </w:r>
      <w:r w:rsidR="00C10DAE">
        <w:t xml:space="preserve"> lệ bệnh nhân SDD ở khu vực thành phố là </w:t>
      </w:r>
      <w:r w:rsidR="00C10DAE" w:rsidRPr="006B18A8">
        <w:t>32.4%</w:t>
      </w:r>
      <w:r w:rsidR="00C10DAE">
        <w:t xml:space="preserve"> thấp hơn khu vực nông thôn và hải đảo là </w:t>
      </w:r>
      <w:r w:rsidR="00C10DAE" w:rsidRPr="00D16334">
        <w:t>35.9%</w:t>
      </w:r>
      <w:r w:rsidR="00C10DAE">
        <w:t>. Sự khác biệt chưa có ý nghĩa thống kê với p = 0</w:t>
      </w:r>
      <w:r w:rsidR="00C10DAE" w:rsidRPr="00802A61">
        <w:t>.</w:t>
      </w:r>
      <w:r w:rsidR="00C10DAE">
        <w:t>662.</w:t>
      </w:r>
      <w:r w:rsidR="00263857">
        <w:t xml:space="preserve"> Theo nghiên cứu của [WIP]</w:t>
      </w:r>
      <w:r w:rsidR="00B17F1E">
        <w:t>.</w:t>
      </w:r>
      <w:r>
        <w:t xml:space="preserve"> </w:t>
      </w:r>
    </w:p>
    <w:p w14:paraId="62A8C8A4" w14:textId="3C6597F9" w:rsidR="00C10DAE" w:rsidRDefault="00C10DAE" w:rsidP="00C10DAE">
      <w:pPr>
        <w:tabs>
          <w:tab w:val="left" w:pos="2400"/>
        </w:tabs>
        <w:spacing w:before="160"/>
      </w:pPr>
      <w:r>
        <w:t xml:space="preserve">Tỷ lệ bệnh nhân SDD ở khu vực thành phố là </w:t>
      </w:r>
      <w:r w:rsidRPr="006B18A8">
        <w:t>3</w:t>
      </w:r>
      <w:r>
        <w:t>4</w:t>
      </w:r>
      <w:r w:rsidRPr="006B18A8">
        <w:t>.</w:t>
      </w:r>
      <w:r>
        <w:t>3</w:t>
      </w:r>
      <w:r w:rsidRPr="006B18A8">
        <w:t>%</w:t>
      </w:r>
      <w:r>
        <w:t xml:space="preserve"> thấp hơn khu vực nông thôn và hải đảo là </w:t>
      </w:r>
      <w:r w:rsidRPr="00D16334">
        <w:t>3</w:t>
      </w:r>
      <w:r>
        <w:t>9</w:t>
      </w:r>
      <w:r w:rsidRPr="00D16334">
        <w:t>.</w:t>
      </w:r>
      <w:r>
        <w:t>3</w:t>
      </w:r>
      <w:r w:rsidRPr="00D16334">
        <w:t>%</w:t>
      </w:r>
      <w:r>
        <w:t>. Sự khác biệt chưa có ý nghĩa thống kê với p = 0</w:t>
      </w:r>
      <w:r w:rsidRPr="00802A61">
        <w:t>.</w:t>
      </w:r>
      <w:r>
        <w:t>497.</w:t>
      </w:r>
      <w:r w:rsidR="00F85284">
        <w:t xml:space="preserve"> Theo nghiên cứu của [WIP]</w:t>
      </w:r>
      <w:r w:rsidR="00A85AC0">
        <w:t>.</w:t>
      </w:r>
    </w:p>
    <w:p w14:paraId="00261665" w14:textId="61927332" w:rsidR="00C10DAE" w:rsidRDefault="00C13FB2" w:rsidP="00C10DAE">
      <w:pPr>
        <w:pStyle w:val="Heading3"/>
      </w:pPr>
      <w:r>
        <w:lastRenderedPageBreak/>
        <w:t>4</w:t>
      </w:r>
      <w:r w:rsidR="00C10DAE">
        <w:t>.3.5. Mối liên quan thời gian chẩn đoán bệnh và tình trạng dinh dưỡng</w:t>
      </w:r>
    </w:p>
    <w:p w14:paraId="10A0097B" w14:textId="6F4D2C33" w:rsidR="00C10DAE" w:rsidRDefault="00C10DAE" w:rsidP="00C10DAE">
      <w:pPr>
        <w:tabs>
          <w:tab w:val="left" w:pos="2400"/>
        </w:tabs>
        <w:spacing w:before="160"/>
      </w:pPr>
      <w:r>
        <w:t xml:space="preserve">Đánh giá SDD theo BMI, bệnh nhân có thời gian phát hiện lao phổi trước 2 tháng có tỷ lệ SDD là </w:t>
      </w:r>
      <w:r w:rsidRPr="006B18A8">
        <w:t>32.</w:t>
      </w:r>
      <w:r>
        <w:t>3</w:t>
      </w:r>
      <w:r w:rsidRPr="006B18A8">
        <w:t>%</w:t>
      </w:r>
      <w:r>
        <w:t xml:space="preserve"> thấp hơn bệnh nhân có thời gian phát hiện bệnh từ 2 tháng trở lên là 41</w:t>
      </w:r>
      <w:r w:rsidRPr="00D16334">
        <w:t>.</w:t>
      </w:r>
      <w:r>
        <w:t>8</w:t>
      </w:r>
      <w:r w:rsidRPr="00D16334">
        <w:t>%</w:t>
      </w:r>
      <w:r>
        <w:t>. Tuy nhiên, sự khác biệt chưa có ý nghĩa thống kê với p = 0</w:t>
      </w:r>
      <w:r w:rsidRPr="00802A61">
        <w:t>.</w:t>
      </w:r>
      <w:r>
        <w:t>250.</w:t>
      </w:r>
      <w:r w:rsidR="00E042FE">
        <w:t xml:space="preserve"> Phù hợp với nghiên cứu của [WIP]</w:t>
      </w:r>
      <w:r w:rsidR="00B2100D">
        <w:t>.</w:t>
      </w:r>
    </w:p>
    <w:p w14:paraId="323A10AE" w14:textId="0D271EED" w:rsidR="00C10DAE" w:rsidRDefault="00C10DAE" w:rsidP="005F7A39">
      <w:pPr>
        <w:tabs>
          <w:tab w:val="left" w:pos="2400"/>
        </w:tabs>
        <w:spacing w:before="160"/>
      </w:pPr>
      <w:r>
        <w:t xml:space="preserve">Nhận xét: Đánh giá SDD theo SGA, bệnh nhân có thời gian phát hiện lao phổi trước 2 tháng có tỷ lệ SDD là </w:t>
      </w:r>
      <w:r w:rsidRPr="006B18A8">
        <w:t>3</w:t>
      </w:r>
      <w:r>
        <w:t>4</w:t>
      </w:r>
      <w:r w:rsidRPr="006B18A8">
        <w:t>.</w:t>
      </w:r>
      <w:r>
        <w:t>9</w:t>
      </w:r>
      <w:r w:rsidRPr="006B18A8">
        <w:t>%</w:t>
      </w:r>
      <w:r>
        <w:t xml:space="preserve"> thấp hơn bệnh nhân có thời gian phát hiện bệnh từ 2 tháng trở lên là 45</w:t>
      </w:r>
      <w:r w:rsidRPr="00D16334">
        <w:t>.</w:t>
      </w:r>
      <w:r>
        <w:t>5</w:t>
      </w:r>
      <w:r w:rsidRPr="00D16334">
        <w:t>%</w:t>
      </w:r>
      <w:r>
        <w:t>. Tuy nhiên, sự khác biệt chưa có ý nghĩa thống kê với p = 0</w:t>
      </w:r>
      <w:r w:rsidRPr="00802A61">
        <w:t>.</w:t>
      </w:r>
      <w:r>
        <w:t>202.</w:t>
      </w:r>
      <w:r w:rsidR="005F7A39">
        <w:t xml:space="preserve"> </w:t>
      </w:r>
      <w:r w:rsidR="005F7A39">
        <w:t>Phù hợp với nghiên cứu của [WIP].</w:t>
      </w:r>
    </w:p>
    <w:p w14:paraId="789EBA47" w14:textId="007AE2FC" w:rsidR="00C10DAE" w:rsidRDefault="00C13FB2" w:rsidP="00C10DAE">
      <w:pPr>
        <w:pStyle w:val="Heading3"/>
      </w:pPr>
      <w:r>
        <w:t>4</w:t>
      </w:r>
      <w:r w:rsidR="00C10DAE">
        <w:t>.3.6. Mối liên quan giữa mức độ tổn thương trên phim X-quang phổi và tình trạng dinh dưỡng</w:t>
      </w:r>
    </w:p>
    <w:p w14:paraId="6ED5EF97" w14:textId="39A9E1C2" w:rsidR="00C10DAE" w:rsidRDefault="00C10DAE" w:rsidP="00C10DAE">
      <w:pPr>
        <w:tabs>
          <w:tab w:val="left" w:pos="2400"/>
        </w:tabs>
        <w:spacing w:before="160"/>
      </w:pPr>
      <w:r>
        <w:t xml:space="preserve">Bệnh nhân tổn thương phổi độ I trên phim X-quang có tỷ lệ SDD là </w:t>
      </w:r>
      <w:r w:rsidRPr="00946903">
        <w:t>19.8</w:t>
      </w:r>
      <w:r w:rsidRPr="006B18A8">
        <w:t>%</w:t>
      </w:r>
      <w:r>
        <w:t xml:space="preserve"> thấp hơn bệnh nhân tổn thương phổi độ II và III trên phim X-quang là 43</w:t>
      </w:r>
      <w:r w:rsidRPr="00D16334">
        <w:t>.</w:t>
      </w:r>
      <w:r>
        <w:t>5</w:t>
      </w:r>
      <w:r w:rsidRPr="00D16334">
        <w:t>%</w:t>
      </w:r>
      <w:r>
        <w:t xml:space="preserve">. OR = 3.121, khoảng tin cậy 95% của OR là </w:t>
      </w:r>
      <w:r w:rsidRPr="00EF3456">
        <w:t>1.722</w:t>
      </w:r>
      <w:r>
        <w:t>-</w:t>
      </w:r>
      <w:r w:rsidRPr="00EF3456">
        <w:t>5.656</w:t>
      </w:r>
      <w:r>
        <w:t>, sự khác biệt có ý nghĩa thống kê với p &lt; 0</w:t>
      </w:r>
      <w:r w:rsidRPr="00802A61">
        <w:t>.</w:t>
      </w:r>
      <w:r>
        <w:t>001.</w:t>
      </w:r>
      <w:r w:rsidR="00084DD4">
        <w:t xml:space="preserve"> Phù hợp nghiên cứu của [WIP].</w:t>
      </w:r>
    </w:p>
    <w:p w14:paraId="6AC40B7D" w14:textId="6CD8AD6E" w:rsidR="00C10DAE" w:rsidRDefault="00C10DAE" w:rsidP="00C10DAE">
      <w:pPr>
        <w:tabs>
          <w:tab w:val="left" w:pos="2400"/>
        </w:tabs>
        <w:spacing w:before="160"/>
      </w:pPr>
      <w:r>
        <w:t>Bệnh nhân tổn thương phổi độ I trên phim X-quang có tỷ lệ SDD là 26</w:t>
      </w:r>
      <w:r w:rsidRPr="00946903">
        <w:t>.</w:t>
      </w:r>
      <w:r>
        <w:t>0</w:t>
      </w:r>
      <w:r w:rsidRPr="006B18A8">
        <w:t>%</w:t>
      </w:r>
      <w:r>
        <w:t xml:space="preserve"> thấp hơn bệnh nhân tổn thương phổi độ II và III trên phim X-quang là 44</w:t>
      </w:r>
      <w:r w:rsidRPr="00D16334">
        <w:t>.</w:t>
      </w:r>
      <w:r>
        <w:t>2</w:t>
      </w:r>
      <w:r w:rsidRPr="00D16334">
        <w:t>%</w:t>
      </w:r>
      <w:r>
        <w:t xml:space="preserve">. OR = 2.246, khoảng tin cậy 95% của OR là </w:t>
      </w:r>
      <w:r w:rsidRPr="001562AC">
        <w:t>1.288</w:t>
      </w:r>
      <w:r>
        <w:t>-</w:t>
      </w:r>
      <w:r w:rsidRPr="001562AC">
        <w:t>3.915</w:t>
      </w:r>
      <w:r>
        <w:t>, sự khác biệt có ý nghĩa thống kê với p = 0</w:t>
      </w:r>
      <w:r w:rsidRPr="00802A61">
        <w:t>.</w:t>
      </w:r>
      <w:r>
        <w:t>006.</w:t>
      </w:r>
      <w:r w:rsidR="001113AF">
        <w:t xml:space="preserve"> Theo nghiên cứu của [WIP]</w:t>
      </w:r>
      <w:r w:rsidR="007D41F1">
        <w:t>.</w:t>
      </w:r>
    </w:p>
    <w:p w14:paraId="7DF99811" w14:textId="316DE456" w:rsidR="00C10DAE" w:rsidRDefault="00C13FB2" w:rsidP="00C10DAE">
      <w:pPr>
        <w:pStyle w:val="Heading3"/>
      </w:pPr>
      <w:r>
        <w:t>4</w:t>
      </w:r>
      <w:r w:rsidR="00C10DAE">
        <w:t>.3.7. Mối liên quan giữa tổn thương trên phim X-quang phổi có hang và tình trạng dinh dưỡng</w:t>
      </w:r>
    </w:p>
    <w:p w14:paraId="6DEE343B" w14:textId="41530CCC" w:rsidR="00C10DAE" w:rsidRDefault="00C10DAE" w:rsidP="002E6EAC">
      <w:pPr>
        <w:tabs>
          <w:tab w:val="left" w:pos="2400"/>
        </w:tabs>
        <w:spacing w:before="160"/>
      </w:pPr>
      <w:r>
        <w:t>Bệnh nhân tổn thương không hang trên phim X-quang phổi có tỷ lệ SDD là 20</w:t>
      </w:r>
      <w:r w:rsidRPr="00946903">
        <w:t>.</w:t>
      </w:r>
      <w:r>
        <w:t>9</w:t>
      </w:r>
      <w:r w:rsidRPr="006B18A8">
        <w:t>%</w:t>
      </w:r>
      <w:r>
        <w:t xml:space="preserve"> thấp hơn bệnh nhân tổn thương có hang trên phim X-quang phổi là 45</w:t>
      </w:r>
      <w:r w:rsidRPr="00D16334">
        <w:t>.</w:t>
      </w:r>
      <w:r>
        <w:t>9</w:t>
      </w:r>
      <w:r w:rsidRPr="00D16334">
        <w:t>%</w:t>
      </w:r>
      <w:r>
        <w:t xml:space="preserve">. </w:t>
      </w:r>
      <w:r>
        <w:lastRenderedPageBreak/>
        <w:t xml:space="preserve">OR = 3.220, khoảng tin cậy 95% của OR là </w:t>
      </w:r>
      <w:r w:rsidRPr="0061603B">
        <w:t>1.834</w:t>
      </w:r>
      <w:r>
        <w:t>-</w:t>
      </w:r>
      <w:r w:rsidRPr="0061603B">
        <w:t>5.654</w:t>
      </w:r>
      <w:r>
        <w:t>, sự khác biệt có ý nghĩa thống kê với p &lt; 0</w:t>
      </w:r>
      <w:r w:rsidRPr="00802A61">
        <w:t>.</w:t>
      </w:r>
      <w:r>
        <w:t>001.</w:t>
      </w:r>
      <w:r w:rsidR="002E6EAC">
        <w:t xml:space="preserve"> </w:t>
      </w:r>
      <w:r w:rsidR="002E6EAC">
        <w:t>Phù hợp với nghiên cứu của [WIP].</w:t>
      </w:r>
    </w:p>
    <w:p w14:paraId="0AB213A7" w14:textId="05B95665" w:rsidR="00C10DAE" w:rsidRDefault="00C10DAE" w:rsidP="00C10DAE">
      <w:pPr>
        <w:tabs>
          <w:tab w:val="left" w:pos="2400"/>
        </w:tabs>
        <w:spacing w:before="160"/>
      </w:pPr>
      <w:r>
        <w:t>Bệnh nhân tổn thương không hang trên phim X-quang phổi có tỷ lệ SDD là 27</w:t>
      </w:r>
      <w:r w:rsidRPr="00946903">
        <w:t>.</w:t>
      </w:r>
      <w:r>
        <w:t>0</w:t>
      </w:r>
      <w:r w:rsidRPr="006B18A8">
        <w:t>%</w:t>
      </w:r>
      <w:r>
        <w:t xml:space="preserve"> thấp hơn bệnh nhân tổn thương có hang trên phim X-quang phổi là 45</w:t>
      </w:r>
      <w:r w:rsidRPr="00D16334">
        <w:t>.</w:t>
      </w:r>
      <w:r>
        <w:t>9</w:t>
      </w:r>
      <w:r w:rsidRPr="00D16334">
        <w:t>%</w:t>
      </w:r>
      <w:r>
        <w:t xml:space="preserve">. OR = 2.301, khoảng tin cậy 95% của OR là </w:t>
      </w:r>
      <w:r w:rsidRPr="002502B0">
        <w:t>1.350</w:t>
      </w:r>
      <w:r>
        <w:t>-</w:t>
      </w:r>
      <w:r w:rsidRPr="002502B0">
        <w:t>3.922</w:t>
      </w:r>
      <w:r>
        <w:t>, sự khác biệt có ý nghĩa thống kê với p = 0</w:t>
      </w:r>
      <w:r w:rsidRPr="00802A61">
        <w:t>.</w:t>
      </w:r>
      <w:r>
        <w:t>003.</w:t>
      </w:r>
      <w:r w:rsidR="002E6EAC">
        <w:t xml:space="preserve"> Kết quả tương đương với nghiên cứu của [WIP].</w:t>
      </w:r>
    </w:p>
    <w:p w14:paraId="6CA8B49F" w14:textId="1CEC0A11" w:rsidR="00C10DAE" w:rsidRDefault="00C13FB2" w:rsidP="00C10DAE">
      <w:pPr>
        <w:pStyle w:val="Heading3"/>
      </w:pPr>
      <w:r>
        <w:t>4</w:t>
      </w:r>
      <w:r w:rsidR="00C10DAE">
        <w:t>.</w:t>
      </w:r>
      <w:r>
        <w:t>3</w:t>
      </w:r>
      <w:r w:rsidR="00C10DAE">
        <w:t>.8. Mối liên quan giữa tình trạng thiếu máu và tình trạng dinh dưỡng</w:t>
      </w:r>
    </w:p>
    <w:p w14:paraId="05E1C009" w14:textId="383C5FB6" w:rsidR="00C10DAE" w:rsidRDefault="00C10DAE" w:rsidP="00C10DAE">
      <w:pPr>
        <w:tabs>
          <w:tab w:val="left" w:pos="2400"/>
        </w:tabs>
        <w:spacing w:before="160"/>
      </w:pPr>
      <w:r>
        <w:t>Đánh giá SDD theo BMI, tỷ lệ SDD ở bệnh nhân không thiếu máu là 22</w:t>
      </w:r>
      <w:r w:rsidRPr="00946903">
        <w:t>.</w:t>
      </w:r>
      <w:r>
        <w:t>5</w:t>
      </w:r>
      <w:r w:rsidRPr="006B18A8">
        <w:t>%</w:t>
      </w:r>
      <w:r>
        <w:t xml:space="preserve"> thấp hơn bệnh nhân thiếu máu là 42</w:t>
      </w:r>
      <w:r w:rsidRPr="00D16334">
        <w:t>.</w:t>
      </w:r>
      <w:r>
        <w:t>6</w:t>
      </w:r>
      <w:r w:rsidRPr="00D16334">
        <w:t>%</w:t>
      </w:r>
      <w:r>
        <w:t xml:space="preserve">. OR = 2.546, khoảng tin cậy 95% của OR là </w:t>
      </w:r>
      <w:r w:rsidRPr="00771420">
        <w:t>1.444</w:t>
      </w:r>
      <w:r>
        <w:t>-</w:t>
      </w:r>
      <w:r w:rsidRPr="00771420">
        <w:t>4.489</w:t>
      </w:r>
      <w:r>
        <w:t>, sự khác biệt có ý nghĩa thống kê với p = 0</w:t>
      </w:r>
      <w:r w:rsidRPr="00802A61">
        <w:t>.</w:t>
      </w:r>
      <w:r>
        <w:t>002.</w:t>
      </w:r>
      <w:r w:rsidR="00161BDE">
        <w:t xml:space="preserve"> </w:t>
      </w:r>
      <w:r w:rsidR="00161BDE">
        <w:t>Kết quả tương đương với nghiên cứu của [WIP].</w:t>
      </w:r>
    </w:p>
    <w:p w14:paraId="17E28746" w14:textId="0835FF30" w:rsidR="00C10DAE" w:rsidRDefault="00C10DAE" w:rsidP="00C10DAE">
      <w:pPr>
        <w:tabs>
          <w:tab w:val="left" w:pos="2400"/>
        </w:tabs>
        <w:spacing w:before="160"/>
      </w:pPr>
      <w:r>
        <w:t>Đánh giá SDD theo SGA, tỷ lệ SDD ở bệnh nhân không thiếu máu là 29</w:t>
      </w:r>
      <w:r w:rsidRPr="00946903">
        <w:t>.</w:t>
      </w:r>
      <w:r>
        <w:t>4</w:t>
      </w:r>
      <w:r w:rsidRPr="006B18A8">
        <w:t>%</w:t>
      </w:r>
      <w:r>
        <w:t xml:space="preserve"> thấp hơn bệnh nhân thiếu máu là 42</w:t>
      </w:r>
      <w:r w:rsidRPr="00D16334">
        <w:t>.</w:t>
      </w:r>
      <w:r>
        <w:t>6</w:t>
      </w:r>
      <w:r w:rsidRPr="00D16334">
        <w:t>%</w:t>
      </w:r>
      <w:r>
        <w:t xml:space="preserve">. OR = 1.779, khoảng tin cậy 95% của OR là </w:t>
      </w:r>
      <w:r w:rsidRPr="00C05D47">
        <w:t>1.040</w:t>
      </w:r>
      <w:r>
        <w:t>-</w:t>
      </w:r>
      <w:r w:rsidRPr="00C05D47">
        <w:t>3.041</w:t>
      </w:r>
      <w:r>
        <w:t>, sự khác biệt có ý nghĩa thống kê với p = 0</w:t>
      </w:r>
      <w:r w:rsidRPr="00802A61">
        <w:t>.</w:t>
      </w:r>
      <w:r>
        <w:t>047.</w:t>
      </w:r>
      <w:r w:rsidR="00161BDE">
        <w:t xml:space="preserve"> </w:t>
      </w:r>
      <w:r w:rsidR="00161BDE">
        <w:t>Kết quả tương đương với nghiên cứu của [WIP].</w:t>
      </w:r>
    </w:p>
    <w:p w14:paraId="686C3EAD" w14:textId="4DFBE2BF" w:rsidR="00C10DAE" w:rsidRDefault="00C13FB2" w:rsidP="00C10DAE">
      <w:pPr>
        <w:pStyle w:val="Heading3"/>
      </w:pPr>
      <w:r>
        <w:t>4</w:t>
      </w:r>
      <w:r w:rsidR="00C10DAE">
        <w:t>.</w:t>
      </w:r>
      <w:r>
        <w:t>3</w:t>
      </w:r>
      <w:r w:rsidR="00C10DAE">
        <w:t>.9. Mối liên quan giữa số lượng bạch cầu và tình trạng dinh dưỡng</w:t>
      </w:r>
    </w:p>
    <w:p w14:paraId="6344F633" w14:textId="4629CB22" w:rsidR="00C10DAE" w:rsidRDefault="00C10DAE" w:rsidP="00C10DAE">
      <w:pPr>
        <w:tabs>
          <w:tab w:val="left" w:pos="2400"/>
        </w:tabs>
        <w:spacing w:before="160"/>
      </w:pPr>
      <w:r>
        <w:t>Bệnh nhân số lượng bạch cầu &lt;12 G/L có tỷ lệ SDD là 31</w:t>
      </w:r>
      <w:r w:rsidRPr="00946903">
        <w:t>.</w:t>
      </w:r>
      <w:r>
        <w:t>6</w:t>
      </w:r>
      <w:r w:rsidRPr="006B18A8">
        <w:t>%</w:t>
      </w:r>
      <w:r>
        <w:t xml:space="preserve"> thấp hơn bệnh nhân số lượng bạch cầu ≥12 G/L là 48</w:t>
      </w:r>
      <w:r w:rsidRPr="00D16334">
        <w:t>.</w:t>
      </w:r>
      <w:r>
        <w:t>8</w:t>
      </w:r>
      <w:r w:rsidRPr="00D16334">
        <w:t>%</w:t>
      </w:r>
      <w:r>
        <w:t>. Sự khác biệt chưa có ý nghĩa thống kê với p = 0</w:t>
      </w:r>
      <w:r w:rsidRPr="00802A61">
        <w:t>.</w:t>
      </w:r>
      <w:r>
        <w:t>052.</w:t>
      </w:r>
      <w:r w:rsidR="00824155">
        <w:t xml:space="preserve"> </w:t>
      </w:r>
      <w:r w:rsidR="00824155">
        <w:t>Kết quả tương đương với nghiên cứu của [WIP].</w:t>
      </w:r>
    </w:p>
    <w:p w14:paraId="70DC341D" w14:textId="6E5BFDED" w:rsidR="00C10DAE" w:rsidRDefault="00C10DAE" w:rsidP="00C10DAE">
      <w:pPr>
        <w:tabs>
          <w:tab w:val="left" w:pos="2400"/>
        </w:tabs>
        <w:spacing w:before="160"/>
      </w:pPr>
      <w:r>
        <w:t>Nhận xét: Bệnh nhân số lượng bạch cầu &lt;12 G/L có tỷ lệ SDD là 34</w:t>
      </w:r>
      <w:r w:rsidRPr="00946903">
        <w:t>.</w:t>
      </w:r>
      <w:r>
        <w:t>4</w:t>
      </w:r>
      <w:r w:rsidRPr="006B18A8">
        <w:t>%</w:t>
      </w:r>
      <w:r>
        <w:t xml:space="preserve"> thấp hơn bệnh nhân số lượng bạch cầu ≥12 G/L là 51</w:t>
      </w:r>
      <w:r w:rsidRPr="00D16334">
        <w:t>.</w:t>
      </w:r>
      <w:r>
        <w:t>2</w:t>
      </w:r>
      <w:r w:rsidRPr="00D16334">
        <w:t>%</w:t>
      </w:r>
      <w:r>
        <w:t>. Sự khác biệt chưa có ý nghĩa thống kê với p = 0</w:t>
      </w:r>
      <w:r w:rsidRPr="00802A61">
        <w:t>.</w:t>
      </w:r>
      <w:r>
        <w:t>064.</w:t>
      </w:r>
      <w:r w:rsidR="009B32E1">
        <w:t xml:space="preserve"> </w:t>
      </w:r>
      <w:r w:rsidR="009B32E1">
        <w:t>Kết quả tương đương với nghiên cứu của [WIP].</w:t>
      </w:r>
    </w:p>
    <w:p w14:paraId="4AC83458" w14:textId="4DB8A621" w:rsidR="00C10DAE" w:rsidRDefault="00C13FB2" w:rsidP="00C10DAE">
      <w:pPr>
        <w:pStyle w:val="Heading3"/>
      </w:pPr>
      <w:r>
        <w:lastRenderedPageBreak/>
        <w:t>4</w:t>
      </w:r>
      <w:r w:rsidR="00C10DAE">
        <w:t>.</w:t>
      </w:r>
      <w:r>
        <w:t>3</w:t>
      </w:r>
      <w:r w:rsidR="00C10DAE">
        <w:t>.10. Mối liên quan giữa tình trạng kháng thuốc và tình trạng dinh dưỡng</w:t>
      </w:r>
    </w:p>
    <w:p w14:paraId="7A0871B4" w14:textId="6DD7DAB1" w:rsidR="00C10DAE" w:rsidRDefault="00C10DAE" w:rsidP="00C10DAE">
      <w:pPr>
        <w:tabs>
          <w:tab w:val="left" w:pos="2400"/>
        </w:tabs>
        <w:spacing w:before="160"/>
      </w:pPr>
      <w:r>
        <w:t>Đánh giá SDD theo BMI, tình trạng kháng thuốc ở bệnh nhân SDD có tỷ lệ là 37</w:t>
      </w:r>
      <w:r w:rsidRPr="00946903">
        <w:t>.</w:t>
      </w:r>
      <w:r>
        <w:t>5</w:t>
      </w:r>
      <w:r w:rsidRPr="006B18A8">
        <w:t>%</w:t>
      </w:r>
      <w:r>
        <w:t xml:space="preserve"> cao hơn không kháng thuốc là 34</w:t>
      </w:r>
      <w:r w:rsidRPr="00D16334">
        <w:t>.</w:t>
      </w:r>
      <w:r>
        <w:t>2</w:t>
      </w:r>
      <w:r w:rsidRPr="00D16334">
        <w:t>%</w:t>
      </w:r>
      <w:r>
        <w:t>. Sự khác biệt chưa có ý nghĩa thống kê với p = 1.000.</w:t>
      </w:r>
      <w:r w:rsidR="00082CCB">
        <w:t xml:space="preserve"> </w:t>
      </w:r>
      <w:r w:rsidR="00082CCB">
        <w:t>Kết quả tương đương với nghiên cứu của [WIP].</w:t>
      </w:r>
    </w:p>
    <w:p w14:paraId="6E2C9364" w14:textId="7E2BAF34" w:rsidR="00C10DAE" w:rsidRDefault="00C10DAE" w:rsidP="00C10DAE">
      <w:pPr>
        <w:tabs>
          <w:tab w:val="left" w:pos="2400"/>
        </w:tabs>
        <w:spacing w:before="160"/>
      </w:pPr>
      <w:r>
        <w:t>Nhận xét: Đánh giá SDD theo SGA, tình trạng kháng thuốc ở bệnh nhân SDD có tỷ lệ là 50.0</w:t>
      </w:r>
      <w:r w:rsidRPr="006B18A8">
        <w:t>%</w:t>
      </w:r>
      <w:r>
        <w:t xml:space="preserve"> cao hơn không kháng thuốc là 36</w:t>
      </w:r>
      <w:r w:rsidRPr="00D16334">
        <w:t>.</w:t>
      </w:r>
      <w:r>
        <w:t>3</w:t>
      </w:r>
      <w:r w:rsidRPr="00D16334">
        <w:t>%</w:t>
      </w:r>
      <w:r>
        <w:t>. Sự khác biệt chưa có ý nghĩa thống kê với p = 0.408.</w:t>
      </w:r>
      <w:r w:rsidR="001F4020">
        <w:t xml:space="preserve"> </w:t>
      </w:r>
      <w:r w:rsidR="001F4020">
        <w:t>Kết quả tương đương với nghiên cứu của [WIP].</w:t>
      </w:r>
    </w:p>
    <w:p w14:paraId="6D253EF1" w14:textId="228ADE3B" w:rsidR="00C10DAE" w:rsidRDefault="00C10DAE"/>
    <w:p w14:paraId="21144AEB" w14:textId="689BF407" w:rsidR="00C10DAE" w:rsidRDefault="00C10DAE" w:rsidP="00C10DAE">
      <w:r>
        <w:br w:type="page"/>
      </w:r>
    </w:p>
    <w:p w14:paraId="0F68D9C2" w14:textId="2ED8BE28" w:rsidR="00751236" w:rsidRPr="00751236" w:rsidRDefault="004D3461" w:rsidP="00C23165">
      <w:pPr>
        <w:pStyle w:val="Heading1"/>
      </w:pPr>
      <w:bookmarkStart w:id="109" w:name="_Toc133590786"/>
      <w:r>
        <w:lastRenderedPageBreak/>
        <w:t>– KẾT LUẬN</w:t>
      </w:r>
      <w:bookmarkEnd w:id="109"/>
    </w:p>
    <w:p w14:paraId="4476921C" w14:textId="77777777" w:rsidR="00751236" w:rsidRPr="00751236" w:rsidRDefault="00751236" w:rsidP="00C23165"/>
    <w:p w14:paraId="7A4CDF57" w14:textId="4C03C2F2" w:rsidR="00751236" w:rsidRPr="00751236" w:rsidRDefault="009E0FED" w:rsidP="00C23165">
      <w:pPr>
        <w:pStyle w:val="Heading1"/>
      </w:pPr>
      <w:bookmarkStart w:id="110" w:name="_Toc133590787"/>
      <w:r>
        <w:t>– KHUYẾN NGHỊ</w:t>
      </w:r>
      <w:bookmarkEnd w:id="110"/>
    </w:p>
    <w:p w14:paraId="72210A68" w14:textId="77777777" w:rsidR="00751236" w:rsidRPr="00751236" w:rsidRDefault="00751236" w:rsidP="00C23165"/>
    <w:p w14:paraId="5271327D" w14:textId="77777777" w:rsidR="00042888" w:rsidRDefault="00042888" w:rsidP="00C23165">
      <w:r>
        <w:br w:type="page"/>
      </w:r>
    </w:p>
    <w:p w14:paraId="1E756155" w14:textId="02653999" w:rsidR="00021ACD" w:rsidRPr="004741C0" w:rsidRDefault="00042888" w:rsidP="004300F1">
      <w:pPr>
        <w:pStyle w:val="TOC"/>
      </w:pPr>
      <w:bookmarkStart w:id="111" w:name="_Toc126527776"/>
      <w:bookmarkStart w:id="112" w:name="_Toc133590788"/>
      <w:r w:rsidRPr="004741C0">
        <w:lastRenderedPageBreak/>
        <w:t>TÀI LIỆU THAM KHẢO</w:t>
      </w:r>
      <w:bookmarkEnd w:id="111"/>
      <w:bookmarkEnd w:id="112"/>
    </w:p>
    <w:p w14:paraId="1C9026C4" w14:textId="77777777" w:rsidR="004E1ECE" w:rsidRPr="004E1ECE" w:rsidRDefault="00021ACD" w:rsidP="004E1ECE">
      <w:pPr>
        <w:pStyle w:val="EndNoteBibliography"/>
        <w:spacing w:after="0"/>
        <w:ind w:left="720" w:hanging="720"/>
      </w:pPr>
      <w:r>
        <w:fldChar w:fldCharType="begin"/>
      </w:r>
      <w:r>
        <w:instrText xml:space="preserve"> ADDIN EN.REFLIST </w:instrText>
      </w:r>
      <w:r>
        <w:fldChar w:fldCharType="separate"/>
      </w:r>
      <w:r w:rsidR="004E1ECE" w:rsidRPr="004E1ECE">
        <w:t>1.</w:t>
      </w:r>
      <w:r w:rsidR="004E1ECE" w:rsidRPr="004E1ECE">
        <w:tab/>
        <w:t xml:space="preserve">Bộ Y Tế (2020), </w:t>
      </w:r>
      <w:r w:rsidR="004E1ECE" w:rsidRPr="004E1ECE">
        <w:rPr>
          <w:i/>
        </w:rPr>
        <w:t>Quyết định 1314/QĐ-BYT về việc ban hành "Hướng dẫn chẩn đoán, điều trị và dự phòng bệnh lao"</w:t>
      </w:r>
      <w:r w:rsidR="004E1ECE" w:rsidRPr="004E1ECE">
        <w:t>, Bộ Y Tế.</w:t>
      </w:r>
    </w:p>
    <w:p w14:paraId="6C6578B9" w14:textId="77777777" w:rsidR="004E1ECE" w:rsidRPr="004E1ECE" w:rsidRDefault="004E1ECE" w:rsidP="004E1ECE">
      <w:pPr>
        <w:pStyle w:val="EndNoteBibliography"/>
        <w:spacing w:after="0"/>
        <w:ind w:left="720" w:hanging="720"/>
      </w:pPr>
      <w:r w:rsidRPr="004E1ECE">
        <w:t>2.</w:t>
      </w:r>
      <w:r w:rsidRPr="004E1ECE">
        <w:tab/>
        <w:t xml:space="preserve">World Health Organization (2022), </w:t>
      </w:r>
      <w:r w:rsidRPr="004E1ECE">
        <w:rPr>
          <w:i/>
        </w:rPr>
        <w:t>Global Tuberculosis Report 2022</w:t>
      </w:r>
      <w:r w:rsidRPr="004E1ECE">
        <w:t>.</w:t>
      </w:r>
    </w:p>
    <w:p w14:paraId="485EB34F" w14:textId="77777777" w:rsidR="004E1ECE" w:rsidRPr="004E1ECE" w:rsidRDefault="004E1ECE" w:rsidP="004E1ECE">
      <w:pPr>
        <w:pStyle w:val="EndNoteBibliography"/>
        <w:spacing w:after="0"/>
        <w:ind w:left="720" w:hanging="720"/>
      </w:pPr>
      <w:r w:rsidRPr="004E1ECE">
        <w:t>3.</w:t>
      </w:r>
      <w:r w:rsidRPr="004E1ECE">
        <w:tab/>
        <w:t xml:space="preserve">B. E. Feleke, T. E. Feleke và F. Biadglegne (2019), </w:t>
      </w:r>
      <w:r w:rsidRPr="004E1ECE">
        <w:rPr>
          <w:i/>
        </w:rPr>
        <w:t>Nutritional status of tuberculosis patients, a comparative cross-sectional study</w:t>
      </w:r>
      <w:r w:rsidRPr="004E1ECE">
        <w:t>, BMC Pulm Med. 19(1), 182.</w:t>
      </w:r>
    </w:p>
    <w:p w14:paraId="66FA37F5" w14:textId="77777777" w:rsidR="004E1ECE" w:rsidRPr="004E1ECE" w:rsidRDefault="004E1ECE" w:rsidP="004E1ECE">
      <w:pPr>
        <w:pStyle w:val="EndNoteBibliography"/>
        <w:spacing w:after="0"/>
        <w:ind w:left="720" w:hanging="720"/>
      </w:pPr>
      <w:r w:rsidRPr="004E1ECE">
        <w:t>4.</w:t>
      </w:r>
      <w:r w:rsidRPr="004E1ECE">
        <w:tab/>
        <w:t xml:space="preserve">World Health Organization (2013), </w:t>
      </w:r>
      <w:r w:rsidRPr="004E1ECE">
        <w:rPr>
          <w:i/>
        </w:rPr>
        <w:t>Nutritional care and support for patients with tuberculosis</w:t>
      </w:r>
      <w:r w:rsidRPr="004E1ECE">
        <w:t>.</w:t>
      </w:r>
    </w:p>
    <w:p w14:paraId="3BB62E7B" w14:textId="77777777" w:rsidR="004E1ECE" w:rsidRPr="004E1ECE" w:rsidRDefault="004E1ECE" w:rsidP="004E1ECE">
      <w:pPr>
        <w:pStyle w:val="EndNoteBibliography"/>
        <w:spacing w:after="0"/>
        <w:ind w:left="720" w:hanging="720"/>
      </w:pPr>
      <w:r w:rsidRPr="004E1ECE">
        <w:t>5.</w:t>
      </w:r>
      <w:r w:rsidRPr="004E1ECE">
        <w:tab/>
        <w:t xml:space="preserve">Somnath Das và các cộng sự (2018), </w:t>
      </w:r>
      <w:r w:rsidRPr="004E1ECE">
        <w:rPr>
          <w:i/>
        </w:rPr>
        <w:t>A study of nutritional assessment of newly diagnosed tuberculosis patients in a tertiary care hospital of Tripura, India</w:t>
      </w:r>
      <w:r w:rsidRPr="004E1ECE">
        <w:t>, International Journal of Research in Medical Sciences. 6, 1382.</w:t>
      </w:r>
    </w:p>
    <w:p w14:paraId="17A717EE" w14:textId="77777777" w:rsidR="004E1ECE" w:rsidRPr="004E1ECE" w:rsidRDefault="004E1ECE" w:rsidP="004E1ECE">
      <w:pPr>
        <w:pStyle w:val="EndNoteBibliography"/>
        <w:spacing w:after="0"/>
        <w:ind w:left="720" w:hanging="720"/>
      </w:pPr>
      <w:r w:rsidRPr="004E1ECE">
        <w:t>6.</w:t>
      </w:r>
      <w:r w:rsidRPr="004E1ECE">
        <w:tab/>
        <w:t xml:space="preserve">D. C. Macallan và các cộng sự (1998), </w:t>
      </w:r>
      <w:r w:rsidRPr="004E1ECE">
        <w:rPr>
          <w:i/>
        </w:rPr>
        <w:t>Whole body protein metabolism in human pulmonary tuberculosis and undernutrition: evidence for anabolic block in tuberculosis</w:t>
      </w:r>
      <w:r w:rsidRPr="004E1ECE">
        <w:t>, Clin Sci (Lond). 94(3), 321-31.</w:t>
      </w:r>
    </w:p>
    <w:p w14:paraId="3FB14CE3" w14:textId="77777777" w:rsidR="004E1ECE" w:rsidRPr="004E1ECE" w:rsidRDefault="004E1ECE" w:rsidP="004E1ECE">
      <w:pPr>
        <w:pStyle w:val="EndNoteBibliography"/>
        <w:spacing w:after="0"/>
        <w:ind w:left="720" w:hanging="720"/>
      </w:pPr>
      <w:r w:rsidRPr="004E1ECE">
        <w:t>7.</w:t>
      </w:r>
      <w:r w:rsidRPr="004E1ECE">
        <w:tab/>
        <w:t xml:space="preserve">D. C. Macallan (1999), </w:t>
      </w:r>
      <w:r w:rsidRPr="004E1ECE">
        <w:rPr>
          <w:i/>
        </w:rPr>
        <w:t>Malnutrition in tuberculosis</w:t>
      </w:r>
      <w:r w:rsidRPr="004E1ECE">
        <w:t>, Diagn Microbiol Infect Dis. 34(2), 153-7.</w:t>
      </w:r>
    </w:p>
    <w:p w14:paraId="54EA847D" w14:textId="77777777" w:rsidR="004E1ECE" w:rsidRPr="004E1ECE" w:rsidRDefault="004E1ECE" w:rsidP="004E1ECE">
      <w:pPr>
        <w:pStyle w:val="EndNoteBibliography"/>
        <w:spacing w:after="0"/>
        <w:ind w:left="720" w:hanging="720"/>
      </w:pPr>
      <w:r w:rsidRPr="004E1ECE">
        <w:t>8.</w:t>
      </w:r>
      <w:r w:rsidRPr="004E1ECE">
        <w:tab/>
        <w:t xml:space="preserve">Đoàn Duy Tân (2021), </w:t>
      </w:r>
      <w:r w:rsidRPr="004E1ECE">
        <w:rPr>
          <w:i/>
        </w:rPr>
        <w:t>Tỉ lệ suy dinh dưỡng và yếu tố liên quan trên bệnh nhân lao phổi tại bệnh viện Phạm Ngọc Thạch</w:t>
      </w:r>
      <w:r w:rsidRPr="004E1ECE">
        <w:t>. 25, 148-152.</w:t>
      </w:r>
    </w:p>
    <w:p w14:paraId="710F703F" w14:textId="77777777" w:rsidR="004E1ECE" w:rsidRPr="004E1ECE" w:rsidRDefault="004E1ECE" w:rsidP="004E1ECE">
      <w:pPr>
        <w:pStyle w:val="EndNoteBibliography"/>
        <w:spacing w:after="0"/>
        <w:ind w:left="720" w:hanging="720"/>
      </w:pPr>
      <w:r w:rsidRPr="004E1ECE">
        <w:t>9.</w:t>
      </w:r>
      <w:r w:rsidRPr="004E1ECE">
        <w:tab/>
        <w:t xml:space="preserve">Lê Thị Thủy và các cộng sự (2019), </w:t>
      </w:r>
      <w:r w:rsidRPr="004E1ECE">
        <w:rPr>
          <w:i/>
        </w:rPr>
        <w:t>Đặc điểm Lao phổi ở người bệnh điều trị tại khoa Lao hô hấp, Bệnh viện Phổi Trung ương năm 2018</w:t>
      </w:r>
      <w:r w:rsidRPr="004E1ECE">
        <w:t>.</w:t>
      </w:r>
    </w:p>
    <w:p w14:paraId="58E9D740" w14:textId="77777777" w:rsidR="004E1ECE" w:rsidRPr="004E1ECE" w:rsidRDefault="004E1ECE" w:rsidP="004E1ECE">
      <w:pPr>
        <w:pStyle w:val="EndNoteBibliography"/>
        <w:spacing w:after="0"/>
        <w:ind w:left="720" w:hanging="720"/>
      </w:pPr>
      <w:r w:rsidRPr="004E1ECE">
        <w:t>10.</w:t>
      </w:r>
      <w:r w:rsidRPr="004E1ECE">
        <w:tab/>
        <w:t xml:space="preserve">Lê Thị Thủy và các cộng sự (2019), </w:t>
      </w:r>
      <w:r w:rsidRPr="004E1ECE">
        <w:rPr>
          <w:i/>
        </w:rPr>
        <w:t>Tình trạng dinh dưỡng theo phương pháp SGA &amp; một số yếu tố liên quan của bệnh Lao phổi ở người bệnh điều trị tại khoa Lao hô hấp, Bệnh viện Phổi Trung ương năm 2018</w:t>
      </w:r>
      <w:r w:rsidRPr="004E1ECE">
        <w:t>.</w:t>
      </w:r>
    </w:p>
    <w:p w14:paraId="21FDFAD4" w14:textId="77777777" w:rsidR="004E1ECE" w:rsidRPr="004E1ECE" w:rsidRDefault="004E1ECE" w:rsidP="004E1ECE">
      <w:pPr>
        <w:pStyle w:val="EndNoteBibliography"/>
        <w:spacing w:after="0"/>
        <w:ind w:left="720" w:hanging="720"/>
      </w:pPr>
      <w:r w:rsidRPr="004E1ECE">
        <w:t>11.</w:t>
      </w:r>
      <w:r w:rsidRPr="004E1ECE">
        <w:tab/>
        <w:t xml:space="preserve">L. M. Gurung và các cộng sự (2018), </w:t>
      </w:r>
      <w:r w:rsidRPr="004E1ECE">
        <w:rPr>
          <w:i/>
        </w:rPr>
        <w:t>Dietary Practice and Nutritional Status of Tuberculosis Patients in Pokhara: A Cross Sectional Study</w:t>
      </w:r>
      <w:r w:rsidRPr="004E1ECE">
        <w:t>, Front Nutr. 5, 63.</w:t>
      </w:r>
    </w:p>
    <w:p w14:paraId="4D06EA74" w14:textId="77777777" w:rsidR="004E1ECE" w:rsidRPr="004E1ECE" w:rsidRDefault="004E1ECE" w:rsidP="004E1ECE">
      <w:pPr>
        <w:pStyle w:val="EndNoteBibliography"/>
        <w:spacing w:after="0"/>
        <w:ind w:left="720" w:hanging="720"/>
      </w:pPr>
      <w:r w:rsidRPr="004E1ECE">
        <w:t>12.</w:t>
      </w:r>
      <w:r w:rsidRPr="004E1ECE">
        <w:tab/>
        <w:t xml:space="preserve">Trần Văn Sáng và Lê Ngọc Hưng (2014), </w:t>
      </w:r>
      <w:r w:rsidRPr="004E1ECE">
        <w:rPr>
          <w:i/>
        </w:rPr>
        <w:t>Bệnh học lao</w:t>
      </w:r>
      <w:r w:rsidRPr="004E1ECE">
        <w:t>, Nhà xuất bản Y học.</w:t>
      </w:r>
    </w:p>
    <w:p w14:paraId="6DFD53ED" w14:textId="77777777" w:rsidR="004E1ECE" w:rsidRPr="004E1ECE" w:rsidRDefault="004E1ECE" w:rsidP="004E1ECE">
      <w:pPr>
        <w:pStyle w:val="EndNoteBibliography"/>
        <w:spacing w:after="0"/>
        <w:ind w:left="720" w:hanging="720"/>
      </w:pPr>
      <w:r w:rsidRPr="004E1ECE">
        <w:t>13.</w:t>
      </w:r>
      <w:r w:rsidRPr="004E1ECE">
        <w:tab/>
        <w:t xml:space="preserve">Chương trình Chống lao Quốc gia (2020), </w:t>
      </w:r>
      <w:r w:rsidRPr="004E1ECE">
        <w:rPr>
          <w:i/>
        </w:rPr>
        <w:t>Báo cáo tổng kết hoạt động chương trình chống lao năm 2020</w:t>
      </w:r>
      <w:r w:rsidRPr="004E1ECE">
        <w:t>.</w:t>
      </w:r>
    </w:p>
    <w:p w14:paraId="7E667BC0" w14:textId="77777777" w:rsidR="004E1ECE" w:rsidRPr="004E1ECE" w:rsidRDefault="004E1ECE" w:rsidP="004E1ECE">
      <w:pPr>
        <w:pStyle w:val="EndNoteBibliography"/>
        <w:spacing w:after="0"/>
        <w:ind w:left="720" w:hanging="720"/>
      </w:pPr>
      <w:r w:rsidRPr="004E1ECE">
        <w:t>14.</w:t>
      </w:r>
      <w:r w:rsidRPr="004E1ECE">
        <w:tab/>
        <w:t xml:space="preserve">V. Schiza và các cộng sự (2022), </w:t>
      </w:r>
      <w:r w:rsidRPr="004E1ECE">
        <w:rPr>
          <w:i/>
        </w:rPr>
        <w:t>Impact of the COVID-19 pandemic on TB infection testing</w:t>
      </w:r>
      <w:r w:rsidRPr="004E1ECE">
        <w:t>, Int J Tuberc Lung Dis. 26(2), 174-176.</w:t>
      </w:r>
    </w:p>
    <w:p w14:paraId="5510788D" w14:textId="77777777" w:rsidR="004E1ECE" w:rsidRPr="004E1ECE" w:rsidRDefault="004E1ECE" w:rsidP="004E1ECE">
      <w:pPr>
        <w:pStyle w:val="EndNoteBibliography"/>
        <w:spacing w:after="0"/>
        <w:ind w:left="720" w:hanging="720"/>
      </w:pPr>
      <w:r w:rsidRPr="004E1ECE">
        <w:t>15.</w:t>
      </w:r>
      <w:r w:rsidRPr="004E1ECE">
        <w:tab/>
        <w:t xml:space="preserve">Lê Thị Ba (2015), </w:t>
      </w:r>
      <w:r w:rsidRPr="004E1ECE">
        <w:rPr>
          <w:i/>
        </w:rPr>
        <w:t>Nghiên cứu đặc điểm lâm sàng, cận lâm sàng ở bệnh nhân nghi lao phổi tại Trung tâm hô hấp Bệnh viện Bạch Mai</w:t>
      </w:r>
      <w:r w:rsidRPr="004E1ECE">
        <w:t>.</w:t>
      </w:r>
    </w:p>
    <w:p w14:paraId="7FCD34D6" w14:textId="77777777" w:rsidR="004E1ECE" w:rsidRPr="004E1ECE" w:rsidRDefault="004E1ECE" w:rsidP="004E1ECE">
      <w:pPr>
        <w:pStyle w:val="EndNoteBibliography"/>
        <w:spacing w:after="0"/>
        <w:ind w:left="720" w:hanging="720"/>
      </w:pPr>
      <w:r w:rsidRPr="004E1ECE">
        <w:lastRenderedPageBreak/>
        <w:t>16.</w:t>
      </w:r>
      <w:r w:rsidRPr="004E1ECE">
        <w:tab/>
        <w:t xml:space="preserve">Phạm Thị Ánh Tuyết (2017), </w:t>
      </w:r>
      <w:r w:rsidRPr="004E1ECE">
        <w:rPr>
          <w:i/>
        </w:rPr>
        <w:t>Nghiên cứu đặc điểm lâm sàng, cận lâm sàng và kết quả nuôi cấy trực khuẩn lao bằng MGIT, Loewenstein-Jensen ở bệnh nhân lao phổi mới AFB âm tính tại Bệnh viện 74 Trung Ương</w:t>
      </w:r>
      <w:r w:rsidRPr="004E1ECE">
        <w:t>.</w:t>
      </w:r>
    </w:p>
    <w:p w14:paraId="1BC69386" w14:textId="77777777" w:rsidR="004E1ECE" w:rsidRPr="004E1ECE" w:rsidRDefault="004E1ECE" w:rsidP="004E1ECE">
      <w:pPr>
        <w:pStyle w:val="EndNoteBibliography"/>
        <w:spacing w:after="0"/>
        <w:ind w:left="720" w:hanging="720"/>
      </w:pPr>
      <w:r w:rsidRPr="004E1ECE">
        <w:t>17.</w:t>
      </w:r>
      <w:r w:rsidRPr="004E1ECE">
        <w:tab/>
        <w:t xml:space="preserve">Phạm Thị Ánh Tuyết (2017), </w:t>
      </w:r>
      <w:r w:rsidRPr="004E1ECE">
        <w:rPr>
          <w:i/>
        </w:rPr>
        <w:t>Đặc điểm lâm sàng, cận lâm sàng và hình ảnh chụp cắt lớp vi tính lồng ngực ở bệnh nhân lao phổi mới AFB âm tính</w:t>
      </w:r>
      <w:r w:rsidRPr="004E1ECE">
        <w:t>, 159-161.</w:t>
      </w:r>
    </w:p>
    <w:p w14:paraId="3873D688" w14:textId="77777777" w:rsidR="004E1ECE" w:rsidRPr="004E1ECE" w:rsidRDefault="004E1ECE" w:rsidP="004E1ECE">
      <w:pPr>
        <w:pStyle w:val="EndNoteBibliography"/>
        <w:spacing w:after="0"/>
        <w:ind w:left="720" w:hanging="720"/>
      </w:pPr>
      <w:r w:rsidRPr="004E1ECE">
        <w:t>18.</w:t>
      </w:r>
      <w:r w:rsidRPr="004E1ECE">
        <w:tab/>
        <w:t xml:space="preserve">Lê Trọng Thạch (2016), </w:t>
      </w:r>
      <w:r w:rsidRPr="004E1ECE">
        <w:rPr>
          <w:i/>
        </w:rPr>
        <w:t>Nghiên cứu đặc điểm lâm sàng, cận lâm sàng và kết quả nuôi cấy đờm tìm vi khuẩn lao bằng phương pháp MGIT ở bệnh nhân lao phổi AFB âm tính, tại Bệnh viện 71 Trung Ương năm 2014-2016</w:t>
      </w:r>
      <w:r w:rsidRPr="004E1ECE">
        <w:t>.</w:t>
      </w:r>
    </w:p>
    <w:p w14:paraId="6412D7A1" w14:textId="77777777" w:rsidR="004E1ECE" w:rsidRPr="004E1ECE" w:rsidRDefault="004E1ECE" w:rsidP="004E1ECE">
      <w:pPr>
        <w:pStyle w:val="EndNoteBibliography"/>
        <w:spacing w:after="0"/>
        <w:ind w:left="720" w:hanging="720"/>
      </w:pPr>
      <w:r w:rsidRPr="004E1ECE">
        <w:t>19.</w:t>
      </w:r>
      <w:r w:rsidRPr="004E1ECE">
        <w:tab/>
        <w:t xml:space="preserve">B. A. Rahimi và các cộng sự (2020), </w:t>
      </w:r>
      <w:r w:rsidRPr="004E1ECE">
        <w:rPr>
          <w:i/>
        </w:rPr>
        <w:t>Treatment outcome of tuberculosis treatment regimens in Kandahar, Afghanistan</w:t>
      </w:r>
      <w:r w:rsidRPr="004E1ECE">
        <w:t>, Indian J Tuberc. 67(1), 87-93.</w:t>
      </w:r>
    </w:p>
    <w:p w14:paraId="7140809E" w14:textId="77777777" w:rsidR="004E1ECE" w:rsidRPr="004E1ECE" w:rsidRDefault="004E1ECE" w:rsidP="004E1ECE">
      <w:pPr>
        <w:pStyle w:val="EndNoteBibliography"/>
        <w:spacing w:after="0"/>
        <w:ind w:left="720" w:hanging="720"/>
      </w:pPr>
      <w:r w:rsidRPr="004E1ECE">
        <w:t>20.</w:t>
      </w:r>
      <w:r w:rsidRPr="004E1ECE">
        <w:tab/>
        <w:t xml:space="preserve">H. Kaur, N. Pandhi và N. C. Kajal (2022), </w:t>
      </w:r>
      <w:r w:rsidRPr="004E1ECE">
        <w:rPr>
          <w:i/>
        </w:rPr>
        <w:t>A prospective study of the clinical profile of hemoptysis and its correlation with radiological and microbiological findings</w:t>
      </w:r>
      <w:r w:rsidRPr="004E1ECE">
        <w:t>, Int J Mycobacteriol. 11(4), 394-399.</w:t>
      </w:r>
    </w:p>
    <w:p w14:paraId="77B24B62" w14:textId="77777777" w:rsidR="004E1ECE" w:rsidRPr="004E1ECE" w:rsidRDefault="004E1ECE" w:rsidP="004E1ECE">
      <w:pPr>
        <w:pStyle w:val="EndNoteBibliography"/>
        <w:spacing w:after="0"/>
        <w:ind w:left="720" w:hanging="720"/>
      </w:pPr>
      <w:r w:rsidRPr="004E1ECE">
        <w:t>21.</w:t>
      </w:r>
      <w:r w:rsidRPr="004E1ECE">
        <w:tab/>
        <w:t xml:space="preserve">Vũ Thị Vân Anh (2021), </w:t>
      </w:r>
      <w:r w:rsidRPr="004E1ECE">
        <w:rPr>
          <w:i/>
        </w:rPr>
        <w:t>Đặc điểm lâm sàng, cận lâm sàng và mô bệnh học ở bệnh nhân lao phổi có mảnh sinh thiết nuôi cấy trong môi trường lỏng dương tính với Mycobacterium tuberculosis</w:t>
      </w:r>
      <w:r w:rsidRPr="004E1ECE">
        <w:t>.</w:t>
      </w:r>
    </w:p>
    <w:p w14:paraId="7F3C7B8A" w14:textId="77777777" w:rsidR="004E1ECE" w:rsidRPr="004E1ECE" w:rsidRDefault="004E1ECE" w:rsidP="004E1ECE">
      <w:pPr>
        <w:pStyle w:val="EndNoteBibliography"/>
        <w:spacing w:after="0"/>
        <w:ind w:left="720" w:hanging="720"/>
      </w:pPr>
      <w:r w:rsidRPr="004E1ECE">
        <w:t>22.</w:t>
      </w:r>
      <w:r w:rsidRPr="004E1ECE">
        <w:tab/>
        <w:t xml:space="preserve">Nguyễn Thị Phượng (2017), </w:t>
      </w:r>
      <w:r w:rsidRPr="004E1ECE">
        <w:rPr>
          <w:i/>
        </w:rPr>
        <w:t>Đặc điểm lâm sàng, cận lâm sàng và tính kháng thuốc chống lao hàng 1 của vi khuẩn ở bệnh nhân lao phổi tại Bệnh viện Phổi Trung Ương năm 2016-2017</w:t>
      </w:r>
      <w:r w:rsidRPr="004E1ECE">
        <w:t>.</w:t>
      </w:r>
    </w:p>
    <w:p w14:paraId="48D73997" w14:textId="77777777" w:rsidR="004E1ECE" w:rsidRPr="004E1ECE" w:rsidRDefault="004E1ECE" w:rsidP="004E1ECE">
      <w:pPr>
        <w:pStyle w:val="EndNoteBibliography"/>
        <w:spacing w:after="0"/>
        <w:ind w:left="720" w:hanging="720"/>
      </w:pPr>
      <w:r w:rsidRPr="004E1ECE">
        <w:t>23.</w:t>
      </w:r>
      <w:r w:rsidRPr="004E1ECE">
        <w:tab/>
        <w:t xml:space="preserve">Chương trình Chống lao Quốc gia (2018), </w:t>
      </w:r>
      <w:r w:rsidRPr="004E1ECE">
        <w:rPr>
          <w:i/>
        </w:rPr>
        <w:t>Hướng dẫn thực hành chuẩn xét nghiệm vi khuẩn lao</w:t>
      </w:r>
      <w:r w:rsidRPr="004E1ECE">
        <w:t>, Bộ Y tế.</w:t>
      </w:r>
    </w:p>
    <w:p w14:paraId="5B314F10" w14:textId="77777777" w:rsidR="004E1ECE" w:rsidRPr="004E1ECE" w:rsidRDefault="004E1ECE" w:rsidP="004E1ECE">
      <w:pPr>
        <w:pStyle w:val="EndNoteBibliography"/>
        <w:spacing w:after="0"/>
        <w:ind w:left="720" w:hanging="720"/>
      </w:pPr>
      <w:r w:rsidRPr="004E1ECE">
        <w:t>24.</w:t>
      </w:r>
      <w:r w:rsidRPr="004E1ECE">
        <w:tab/>
        <w:t xml:space="preserve">N. W. Schluger (2019), </w:t>
      </w:r>
      <w:r w:rsidRPr="004E1ECE">
        <w:rPr>
          <w:i/>
        </w:rPr>
        <w:t>The Acid-Fast Bacilli Smear: Hail and Farewell</w:t>
      </w:r>
      <w:r w:rsidRPr="004E1ECE">
        <w:t>, Am J Respir Crit Care Med. 199(6), 691-692.</w:t>
      </w:r>
    </w:p>
    <w:p w14:paraId="28133FD0" w14:textId="77777777" w:rsidR="004E1ECE" w:rsidRPr="004E1ECE" w:rsidRDefault="004E1ECE" w:rsidP="004E1ECE">
      <w:pPr>
        <w:pStyle w:val="EndNoteBibliography"/>
        <w:spacing w:after="0"/>
        <w:ind w:left="720" w:hanging="720"/>
      </w:pPr>
      <w:r w:rsidRPr="004E1ECE">
        <w:t>25.</w:t>
      </w:r>
      <w:r w:rsidRPr="004E1ECE">
        <w:tab/>
        <w:t xml:space="preserve">Geleta DA và các cộng sự (2015), </w:t>
      </w:r>
      <w:r w:rsidRPr="004E1ECE">
        <w:rPr>
          <w:i/>
        </w:rPr>
        <w:t>Xpert MTB/RIF assay for diagnosis of pulmonary tuberculosis in sputum specimens in remote health care facility</w:t>
      </w:r>
      <w:r w:rsidRPr="004E1ECE">
        <w:t>.</w:t>
      </w:r>
    </w:p>
    <w:p w14:paraId="2C7B1701" w14:textId="77777777" w:rsidR="004E1ECE" w:rsidRPr="004E1ECE" w:rsidRDefault="004E1ECE" w:rsidP="004E1ECE">
      <w:pPr>
        <w:pStyle w:val="EndNoteBibliography"/>
        <w:spacing w:after="0"/>
        <w:ind w:left="720" w:hanging="720"/>
      </w:pPr>
      <w:r w:rsidRPr="004E1ECE">
        <w:t>26.</w:t>
      </w:r>
      <w:r w:rsidRPr="004E1ECE">
        <w:tab/>
        <w:t xml:space="preserve">Nguyễn Viết Nhung (2022), </w:t>
      </w:r>
      <w:r w:rsidRPr="004E1ECE">
        <w:rPr>
          <w:i/>
        </w:rPr>
        <w:t>Bệnh lao và tiến trình chấm dứt bệnh lao</w:t>
      </w:r>
      <w:r w:rsidRPr="004E1ECE">
        <w:t>, 71.</w:t>
      </w:r>
    </w:p>
    <w:p w14:paraId="6ADBD3CB" w14:textId="77777777" w:rsidR="004E1ECE" w:rsidRPr="004E1ECE" w:rsidRDefault="004E1ECE" w:rsidP="004E1ECE">
      <w:pPr>
        <w:pStyle w:val="EndNoteBibliography"/>
        <w:spacing w:after="0"/>
        <w:ind w:left="720" w:hanging="720"/>
      </w:pPr>
      <w:r w:rsidRPr="004E1ECE">
        <w:t>27.</w:t>
      </w:r>
      <w:r w:rsidRPr="004E1ECE">
        <w:tab/>
        <w:t xml:space="preserve">Chương trình Chống lao Quốc gia (2016), </w:t>
      </w:r>
      <w:r w:rsidRPr="004E1ECE">
        <w:rPr>
          <w:i/>
        </w:rPr>
        <w:t>Hướng dẫn quản lý bệnh lao</w:t>
      </w:r>
      <w:r w:rsidRPr="004E1ECE">
        <w:t>, Nhà xuất bản Y học.</w:t>
      </w:r>
    </w:p>
    <w:p w14:paraId="1E401B07" w14:textId="77777777" w:rsidR="004E1ECE" w:rsidRPr="004E1ECE" w:rsidRDefault="004E1ECE" w:rsidP="004E1ECE">
      <w:pPr>
        <w:pStyle w:val="EndNoteBibliography"/>
        <w:spacing w:after="0"/>
        <w:ind w:left="720" w:hanging="720"/>
      </w:pPr>
      <w:r w:rsidRPr="004E1ECE">
        <w:t>28.</w:t>
      </w:r>
      <w:r w:rsidRPr="004E1ECE">
        <w:tab/>
        <w:t xml:space="preserve">Y. Jin và các cộng sự (2019), </w:t>
      </w:r>
      <w:r w:rsidRPr="004E1ECE">
        <w:rPr>
          <w:i/>
        </w:rPr>
        <w:t>Evaluation of GeneXpert MTB/RIF and BACTEC-MGIT 960 for the detection of tuberculosis among pneumoconiosis-associated tuberculosis patients</w:t>
      </w:r>
      <w:r w:rsidRPr="004E1ECE">
        <w:t>, Zhonghua Lao Dong Wei Sheng Zhi Ye Bing Za Zhi. 37(9), 690-693.</w:t>
      </w:r>
    </w:p>
    <w:p w14:paraId="33B0BA67" w14:textId="77777777" w:rsidR="004E1ECE" w:rsidRPr="004E1ECE" w:rsidRDefault="004E1ECE" w:rsidP="004E1ECE">
      <w:pPr>
        <w:pStyle w:val="EndNoteBibliography"/>
        <w:spacing w:after="0"/>
        <w:ind w:left="720" w:hanging="720"/>
      </w:pPr>
      <w:r w:rsidRPr="004E1ECE">
        <w:t>29.</w:t>
      </w:r>
      <w:r w:rsidRPr="004E1ECE">
        <w:tab/>
        <w:t xml:space="preserve">Nguyễn Văn Lưu (2019), </w:t>
      </w:r>
      <w:r w:rsidRPr="004E1ECE">
        <w:rPr>
          <w:i/>
        </w:rPr>
        <w:t>Nhận xét hiệu quả của phương pháp nuôi cấy BACTEC MGIT 960 trong chẩn đoán Lao phổi tại Hải Dương</w:t>
      </w:r>
      <w:r w:rsidRPr="004E1ECE">
        <w:t>, 501-504.</w:t>
      </w:r>
    </w:p>
    <w:p w14:paraId="2E1EB390" w14:textId="77777777" w:rsidR="004E1ECE" w:rsidRPr="004E1ECE" w:rsidRDefault="004E1ECE" w:rsidP="004E1ECE">
      <w:pPr>
        <w:pStyle w:val="EndNoteBibliography"/>
        <w:spacing w:after="0"/>
        <w:ind w:left="720" w:hanging="720"/>
      </w:pPr>
      <w:r w:rsidRPr="004E1ECE">
        <w:lastRenderedPageBreak/>
        <w:t>30.</w:t>
      </w:r>
      <w:r w:rsidRPr="004E1ECE">
        <w:tab/>
        <w:t xml:space="preserve">Chương trình Chống lao Quốc gia (2014), </w:t>
      </w:r>
      <w:r w:rsidRPr="004E1ECE">
        <w:rPr>
          <w:i/>
        </w:rPr>
        <w:t>Giới thiệu kỹ thuật chẩn đoán bệnh lao bằng Xpert MTB/RIF</w:t>
      </w:r>
      <w:r w:rsidRPr="004E1ECE">
        <w:t>, Báo cáo tổng kết Dự án TB care I, Hà Nội tháng 12 năm 2014, 25-35.</w:t>
      </w:r>
    </w:p>
    <w:p w14:paraId="6CF88DB5" w14:textId="77777777" w:rsidR="004E1ECE" w:rsidRPr="004E1ECE" w:rsidRDefault="004E1ECE" w:rsidP="004E1ECE">
      <w:pPr>
        <w:pStyle w:val="EndNoteBibliography"/>
        <w:spacing w:after="0"/>
        <w:ind w:left="720" w:hanging="720"/>
      </w:pPr>
      <w:r w:rsidRPr="004E1ECE">
        <w:t>31.</w:t>
      </w:r>
      <w:r w:rsidRPr="004E1ECE">
        <w:tab/>
        <w:t xml:space="preserve">Nguyễn Kim Cương và Bùi Huy Hoàng (2021), </w:t>
      </w:r>
      <w:r w:rsidRPr="004E1ECE">
        <w:rPr>
          <w:i/>
        </w:rPr>
        <w:t>Nghiên cứu giá trị của xét nghiệm Xpert MTB/RIF Ultra đờm ở người bệnh nghi lao có hai mẫu xét nghiệm soi đờm trực tiếp AFB (-)</w:t>
      </w:r>
      <w:r w:rsidRPr="004E1ECE">
        <w:t>, 7-14.</w:t>
      </w:r>
    </w:p>
    <w:p w14:paraId="2C572684" w14:textId="77777777" w:rsidR="004E1ECE" w:rsidRPr="004E1ECE" w:rsidRDefault="004E1ECE" w:rsidP="004E1ECE">
      <w:pPr>
        <w:pStyle w:val="EndNoteBibliography"/>
        <w:spacing w:after="0"/>
        <w:ind w:left="720" w:hanging="720"/>
      </w:pPr>
      <w:r w:rsidRPr="004E1ECE">
        <w:t>32.</w:t>
      </w:r>
      <w:r w:rsidRPr="004E1ECE">
        <w:tab/>
        <w:t xml:space="preserve">C. Lama và các cộng sự (2022), </w:t>
      </w:r>
      <w:r w:rsidRPr="004E1ECE">
        <w:rPr>
          <w:i/>
        </w:rPr>
        <w:t>Evaluation of Xpert MTB/RIF Assay, MTB Culture and Line Probe Assay for the Detection of MDR Tuberculosis in AFB Smear Negative Specimens</w:t>
      </w:r>
      <w:r w:rsidRPr="004E1ECE">
        <w:t>, Diseases. 10(4).</w:t>
      </w:r>
    </w:p>
    <w:p w14:paraId="158F2A2D" w14:textId="77777777" w:rsidR="004E1ECE" w:rsidRPr="004E1ECE" w:rsidRDefault="004E1ECE" w:rsidP="004E1ECE">
      <w:pPr>
        <w:pStyle w:val="EndNoteBibliography"/>
        <w:spacing w:after="0"/>
        <w:ind w:left="720" w:hanging="720"/>
      </w:pPr>
      <w:r w:rsidRPr="004E1ECE">
        <w:t>33.</w:t>
      </w:r>
      <w:r w:rsidRPr="004E1ECE">
        <w:tab/>
        <w:t xml:space="preserve">Đỗ Đức Hiển (1999), </w:t>
      </w:r>
      <w:r w:rsidRPr="004E1ECE">
        <w:rPr>
          <w:i/>
        </w:rPr>
        <w:t>X-quang trong chẩn đoán lao phổi</w:t>
      </w:r>
      <w:r w:rsidRPr="004E1ECE">
        <w:t>, Bệnh học lao và bệnh phổi, Nhà xuất bản Y học, 43-46.</w:t>
      </w:r>
    </w:p>
    <w:p w14:paraId="4B9FDDFA" w14:textId="77777777" w:rsidR="004E1ECE" w:rsidRPr="004E1ECE" w:rsidRDefault="004E1ECE" w:rsidP="004E1ECE">
      <w:pPr>
        <w:pStyle w:val="EndNoteBibliography"/>
        <w:spacing w:after="0"/>
        <w:ind w:left="720" w:hanging="720"/>
      </w:pPr>
      <w:r w:rsidRPr="004E1ECE">
        <w:t>34.</w:t>
      </w:r>
      <w:r w:rsidRPr="004E1ECE">
        <w:tab/>
        <w:t xml:space="preserve">Nguyễn Văn Thành (2021), </w:t>
      </w:r>
      <w:r w:rsidRPr="004E1ECE">
        <w:rPr>
          <w:i/>
        </w:rPr>
        <w:t>Thực hành X-quang ngực</w:t>
      </w:r>
      <w:r w:rsidRPr="004E1ECE">
        <w:t>, Nhà xuất bản Y học.</w:t>
      </w:r>
    </w:p>
    <w:p w14:paraId="3166E749" w14:textId="77777777" w:rsidR="004E1ECE" w:rsidRPr="004E1ECE" w:rsidRDefault="004E1ECE" w:rsidP="004E1ECE">
      <w:pPr>
        <w:pStyle w:val="EndNoteBibliography"/>
        <w:spacing w:after="0"/>
        <w:ind w:left="720" w:hanging="720"/>
      </w:pPr>
      <w:r w:rsidRPr="004E1ECE">
        <w:t>35.</w:t>
      </w:r>
      <w:r w:rsidRPr="004E1ECE">
        <w:tab/>
        <w:t xml:space="preserve">Trần Văn Việt và Nguyễn Xuân Hiền (2017), </w:t>
      </w:r>
      <w:r w:rsidRPr="004E1ECE">
        <w:rPr>
          <w:i/>
        </w:rPr>
        <w:t>Nghiên cứu giá trị của phương pháp chụp X-quang phổi trong chẩn đoán lao phổi tại Bệnh viện Lao và bệnh phổi Hải Dương</w:t>
      </w:r>
      <w:r w:rsidRPr="004E1ECE">
        <w:t>, 38-42.</w:t>
      </w:r>
    </w:p>
    <w:p w14:paraId="33A26FA5" w14:textId="77777777" w:rsidR="004E1ECE" w:rsidRPr="004E1ECE" w:rsidRDefault="004E1ECE" w:rsidP="004E1ECE">
      <w:pPr>
        <w:pStyle w:val="EndNoteBibliography"/>
        <w:spacing w:after="0"/>
        <w:ind w:left="720" w:hanging="720"/>
      </w:pPr>
      <w:r w:rsidRPr="004E1ECE">
        <w:t>36.</w:t>
      </w:r>
      <w:r w:rsidRPr="004E1ECE">
        <w:tab/>
        <w:t xml:space="preserve">G. Tavaziva và các cộng sự (2022), </w:t>
      </w:r>
      <w:r w:rsidRPr="004E1ECE">
        <w:rPr>
          <w:i/>
        </w:rPr>
        <w:t>Diagnostic accuracy of a commercially available, deep learning-based chest X-ray interpretation software for detecting culture-confirmed pulmonary tuberculosis</w:t>
      </w:r>
      <w:r w:rsidRPr="004E1ECE">
        <w:t>, Int J Infect Dis. 122, 15-20.</w:t>
      </w:r>
    </w:p>
    <w:p w14:paraId="5061F7E2" w14:textId="77777777" w:rsidR="004E1ECE" w:rsidRPr="004E1ECE" w:rsidRDefault="004E1ECE" w:rsidP="004E1ECE">
      <w:pPr>
        <w:pStyle w:val="EndNoteBibliography"/>
        <w:spacing w:after="0"/>
        <w:ind w:left="720" w:hanging="720"/>
      </w:pPr>
      <w:r w:rsidRPr="004E1ECE">
        <w:t>37.</w:t>
      </w:r>
      <w:r w:rsidRPr="004E1ECE">
        <w:tab/>
        <w:t xml:space="preserve">Võ Trọng Thành (2019), </w:t>
      </w:r>
      <w:r w:rsidRPr="004E1ECE">
        <w:rPr>
          <w:i/>
        </w:rPr>
        <w:t>Nghiên cứu sự thay đổi một số chỉ số huyết học ở bệnh nhân lao phổi được điều trị tại Bệnh viện Phổi Trung Ương</w:t>
      </w:r>
      <w:r w:rsidRPr="004E1ECE">
        <w:t>, Trường Đại học Y Hà Nội.</w:t>
      </w:r>
    </w:p>
    <w:p w14:paraId="199BBDBA" w14:textId="77777777" w:rsidR="004E1ECE" w:rsidRPr="004E1ECE" w:rsidRDefault="004E1ECE" w:rsidP="004E1ECE">
      <w:pPr>
        <w:pStyle w:val="EndNoteBibliography"/>
        <w:spacing w:after="0"/>
        <w:ind w:left="720" w:hanging="720"/>
      </w:pPr>
      <w:r w:rsidRPr="004E1ECE">
        <w:t>38.</w:t>
      </w:r>
      <w:r w:rsidRPr="004E1ECE">
        <w:tab/>
        <w:t xml:space="preserve">A. Mukherjee và các cộng sự (2019), </w:t>
      </w:r>
      <w:r w:rsidRPr="004E1ECE">
        <w:rPr>
          <w:i/>
        </w:rPr>
        <w:t>Prevalence, characteristics, and predictors of tuberculosis associated anemia</w:t>
      </w:r>
      <w:r w:rsidRPr="004E1ECE">
        <w:t>, J Family Med Prim Care. 8(7), 2445-2449.</w:t>
      </w:r>
    </w:p>
    <w:p w14:paraId="1B879AD4" w14:textId="77777777" w:rsidR="004E1ECE" w:rsidRPr="004E1ECE" w:rsidRDefault="004E1ECE" w:rsidP="004E1ECE">
      <w:pPr>
        <w:pStyle w:val="EndNoteBibliography"/>
        <w:spacing w:after="0"/>
        <w:ind w:left="720" w:hanging="720"/>
      </w:pPr>
      <w:r w:rsidRPr="004E1ECE">
        <w:t>39.</w:t>
      </w:r>
      <w:r w:rsidRPr="004E1ECE">
        <w:tab/>
        <w:t xml:space="preserve">Chương trình Chống lao Quốc gia (2009), </w:t>
      </w:r>
      <w:r w:rsidRPr="004E1ECE">
        <w:rPr>
          <w:i/>
        </w:rPr>
        <w:t>Hướng dẫn quản lý bệnh lao kháng đa thuốc</w:t>
      </w:r>
      <w:r w:rsidRPr="004E1ECE">
        <w:t>, Nhà xuất bản Y học.</w:t>
      </w:r>
    </w:p>
    <w:p w14:paraId="246B3A2E" w14:textId="77777777" w:rsidR="004E1ECE" w:rsidRPr="004E1ECE" w:rsidRDefault="004E1ECE" w:rsidP="004E1ECE">
      <w:pPr>
        <w:pStyle w:val="EndNoteBibliography"/>
        <w:spacing w:after="0"/>
        <w:ind w:left="720" w:hanging="720"/>
      </w:pPr>
      <w:r w:rsidRPr="004E1ECE">
        <w:t>40.</w:t>
      </w:r>
      <w:r w:rsidRPr="004E1ECE">
        <w:tab/>
        <w:t xml:space="preserve">Trần Văn Sáng (2007), </w:t>
      </w:r>
      <w:r w:rsidRPr="004E1ECE">
        <w:rPr>
          <w:i/>
        </w:rPr>
        <w:t>Hỏi đáp về bệnh lao kháng thuốc</w:t>
      </w:r>
      <w:r w:rsidRPr="004E1ECE">
        <w:t>, Nhà xuất bản Y học.</w:t>
      </w:r>
    </w:p>
    <w:p w14:paraId="652E9DCB" w14:textId="77777777" w:rsidR="004E1ECE" w:rsidRPr="004E1ECE" w:rsidRDefault="004E1ECE" w:rsidP="004E1ECE">
      <w:pPr>
        <w:pStyle w:val="EndNoteBibliography"/>
        <w:spacing w:after="0"/>
        <w:ind w:left="720" w:hanging="720"/>
      </w:pPr>
      <w:r w:rsidRPr="004E1ECE">
        <w:t>41.</w:t>
      </w:r>
      <w:r w:rsidRPr="004E1ECE">
        <w:tab/>
        <w:t xml:space="preserve">World Health Organization (2011), </w:t>
      </w:r>
      <w:r w:rsidRPr="004E1ECE">
        <w:rPr>
          <w:i/>
        </w:rPr>
        <w:t>Guidelines for the programmatic management of drug-resistant tuberculosis</w:t>
      </w:r>
      <w:r w:rsidRPr="004E1ECE">
        <w:t>, World Health Organization.</w:t>
      </w:r>
    </w:p>
    <w:p w14:paraId="7C6B500E" w14:textId="77777777" w:rsidR="004E1ECE" w:rsidRPr="004E1ECE" w:rsidRDefault="004E1ECE" w:rsidP="004E1ECE">
      <w:pPr>
        <w:pStyle w:val="EndNoteBibliography"/>
        <w:spacing w:after="0"/>
        <w:ind w:left="720" w:hanging="720"/>
      </w:pPr>
      <w:r w:rsidRPr="004E1ECE">
        <w:t>42.</w:t>
      </w:r>
      <w:r w:rsidRPr="004E1ECE">
        <w:tab/>
        <w:t xml:space="preserve">M. Elia (2017), </w:t>
      </w:r>
      <w:r w:rsidRPr="004E1ECE">
        <w:rPr>
          <w:i/>
        </w:rPr>
        <w:t>Defining, Recognizing, and Reporting Malnutrition</w:t>
      </w:r>
      <w:r w:rsidRPr="004E1ECE">
        <w:t>, Int J Low Extrem Wounds. 16(4), 230-237.</w:t>
      </w:r>
    </w:p>
    <w:p w14:paraId="49A9D60A" w14:textId="77777777" w:rsidR="004E1ECE" w:rsidRPr="004E1ECE" w:rsidRDefault="004E1ECE" w:rsidP="004E1ECE">
      <w:pPr>
        <w:pStyle w:val="EndNoteBibliography"/>
        <w:spacing w:after="0"/>
        <w:ind w:left="720" w:hanging="720"/>
      </w:pPr>
      <w:r w:rsidRPr="004E1ECE">
        <w:t>43.</w:t>
      </w:r>
      <w:r w:rsidRPr="004E1ECE">
        <w:tab/>
        <w:t xml:space="preserve">A. Zierle-Ghosh và A. Jan (2022), </w:t>
      </w:r>
      <w:r w:rsidRPr="004E1ECE">
        <w:rPr>
          <w:i/>
        </w:rPr>
        <w:t>Physiology, Body Mass Index</w:t>
      </w:r>
      <w:r w:rsidRPr="004E1ECE">
        <w:t>, StatPearls, StatPearls Publishing Copyright © 2022, StatPearls Publishing LLC., Treasure Island (FL).</w:t>
      </w:r>
    </w:p>
    <w:p w14:paraId="2AC05F0C" w14:textId="77777777" w:rsidR="004E1ECE" w:rsidRPr="004E1ECE" w:rsidRDefault="004E1ECE" w:rsidP="004E1ECE">
      <w:pPr>
        <w:pStyle w:val="EndNoteBibliography"/>
        <w:spacing w:after="0"/>
        <w:ind w:left="720" w:hanging="720"/>
      </w:pPr>
      <w:r w:rsidRPr="004E1ECE">
        <w:lastRenderedPageBreak/>
        <w:t>44.</w:t>
      </w:r>
      <w:r w:rsidRPr="004E1ECE">
        <w:tab/>
        <w:t xml:space="preserve">World Health Organization (1995), </w:t>
      </w:r>
      <w:r w:rsidRPr="004E1ECE">
        <w:rPr>
          <w:i/>
        </w:rPr>
        <w:t>Physical status: the use and interpretation of anthropometry. Report of a WHO Expert Committee</w:t>
      </w:r>
      <w:r w:rsidRPr="004E1ECE">
        <w:t>, World Health Organ Tech Rep Ser. 854, 1-452.</w:t>
      </w:r>
    </w:p>
    <w:p w14:paraId="735683B6" w14:textId="77777777" w:rsidR="004E1ECE" w:rsidRPr="004E1ECE" w:rsidRDefault="004E1ECE" w:rsidP="004E1ECE">
      <w:pPr>
        <w:pStyle w:val="EndNoteBibliography"/>
        <w:spacing w:after="0"/>
        <w:ind w:left="720" w:hanging="720"/>
      </w:pPr>
      <w:r w:rsidRPr="004E1ECE">
        <w:t>45.</w:t>
      </w:r>
      <w:r w:rsidRPr="004E1ECE">
        <w:tab/>
        <w:t xml:space="preserve">D. R. Duerksen, M. Laporte và K. Jeejeebhoy (2021), </w:t>
      </w:r>
      <w:r w:rsidRPr="004E1ECE">
        <w:rPr>
          <w:i/>
        </w:rPr>
        <w:t>Evaluation of Nutrition Status Using the Subjective Global Assessment: Malnutrition, Cachexia, and Sarcopenia</w:t>
      </w:r>
      <w:r w:rsidRPr="004E1ECE">
        <w:t>, Nutr Clin Pract. 36(5), 942-956.</w:t>
      </w:r>
    </w:p>
    <w:p w14:paraId="1AFC6468" w14:textId="77777777" w:rsidR="004E1ECE" w:rsidRPr="004E1ECE" w:rsidRDefault="004E1ECE" w:rsidP="004E1ECE">
      <w:pPr>
        <w:pStyle w:val="EndNoteBibliography"/>
        <w:spacing w:after="0"/>
        <w:ind w:left="720" w:hanging="720"/>
      </w:pPr>
      <w:r w:rsidRPr="004E1ECE">
        <w:t>46.</w:t>
      </w:r>
      <w:r w:rsidRPr="004E1ECE">
        <w:tab/>
        <w:t xml:space="preserve">Walker HK, Hall WD và Hurst JW (1990), </w:t>
      </w:r>
      <w:r w:rsidRPr="004E1ECE">
        <w:rPr>
          <w:i/>
        </w:rPr>
        <w:t>Chapter 101: Serum Albumin and Globulin</w:t>
      </w:r>
      <w:r w:rsidRPr="004E1ECE">
        <w:t>, Physical Clinical Methods: The History, and Laboratory Examinations. 3rd edition., ed.</w:t>
      </w:r>
    </w:p>
    <w:p w14:paraId="17DC3081" w14:textId="77777777" w:rsidR="004E1ECE" w:rsidRPr="004E1ECE" w:rsidRDefault="004E1ECE" w:rsidP="004E1ECE">
      <w:pPr>
        <w:pStyle w:val="EndNoteBibliography"/>
        <w:spacing w:after="0"/>
        <w:ind w:left="720" w:hanging="720"/>
      </w:pPr>
      <w:r w:rsidRPr="004E1ECE">
        <w:t>47.</w:t>
      </w:r>
      <w:r w:rsidRPr="004E1ECE">
        <w:tab/>
        <w:t xml:space="preserve">D. C. Evans và các cộng sự (2021), </w:t>
      </w:r>
      <w:r w:rsidRPr="004E1ECE">
        <w:rPr>
          <w:i/>
        </w:rPr>
        <w:t>The Use of Visceral Proteins as Nutrition Markers: An ASPEN Position Paper</w:t>
      </w:r>
      <w:r w:rsidRPr="004E1ECE">
        <w:t>, Nutr Clin Pract. 36(1), 22-28.</w:t>
      </w:r>
    </w:p>
    <w:p w14:paraId="53FEDF1A" w14:textId="77777777" w:rsidR="004E1ECE" w:rsidRPr="004E1ECE" w:rsidRDefault="004E1ECE" w:rsidP="004E1ECE">
      <w:pPr>
        <w:pStyle w:val="EndNoteBibliography"/>
        <w:spacing w:after="0"/>
        <w:ind w:left="720" w:hanging="720"/>
      </w:pPr>
      <w:r w:rsidRPr="004E1ECE">
        <w:t>48.</w:t>
      </w:r>
      <w:r w:rsidRPr="004E1ECE">
        <w:tab/>
        <w:t xml:space="preserve">Nguyễn Ngọc Lanh (2012), </w:t>
      </w:r>
      <w:r w:rsidRPr="004E1ECE">
        <w:rPr>
          <w:i/>
        </w:rPr>
        <w:t>Sinh lý bệnh học</w:t>
      </w:r>
      <w:r w:rsidRPr="004E1ECE">
        <w:t>, Nhà xuất bản Y học.</w:t>
      </w:r>
    </w:p>
    <w:p w14:paraId="57DEA038" w14:textId="77777777" w:rsidR="004E1ECE" w:rsidRPr="004E1ECE" w:rsidRDefault="004E1ECE" w:rsidP="004E1ECE">
      <w:pPr>
        <w:pStyle w:val="EndNoteBibliography"/>
        <w:spacing w:after="0"/>
        <w:ind w:left="720" w:hanging="720"/>
      </w:pPr>
      <w:r w:rsidRPr="004E1ECE">
        <w:t>49.</w:t>
      </w:r>
      <w:r w:rsidRPr="004E1ECE">
        <w:tab/>
        <w:t xml:space="preserve">Bộ Y tế (2022), </w:t>
      </w:r>
      <w:r w:rsidRPr="004E1ECE">
        <w:rPr>
          <w:i/>
        </w:rPr>
        <w:t>Quyết định 1832/QĐ-BYT về việc ban hành "Hướng dẫn chẩn đoán và điều trị một số bệnh lý huyết học"</w:t>
      </w:r>
      <w:r w:rsidRPr="004E1ECE">
        <w:t>.</w:t>
      </w:r>
    </w:p>
    <w:p w14:paraId="5443F33A" w14:textId="77777777" w:rsidR="004E1ECE" w:rsidRPr="004E1ECE" w:rsidRDefault="004E1ECE" w:rsidP="004E1ECE">
      <w:pPr>
        <w:pStyle w:val="EndNoteBibliography"/>
        <w:spacing w:after="0"/>
        <w:ind w:left="720" w:hanging="720"/>
      </w:pPr>
      <w:r w:rsidRPr="004E1ECE">
        <w:t>50.</w:t>
      </w:r>
      <w:r w:rsidRPr="004E1ECE">
        <w:tab/>
        <w:t xml:space="preserve">Nguyễn Đạt Anh và Nguyễn Thị Hương (2013), </w:t>
      </w:r>
      <w:r w:rsidRPr="004E1ECE">
        <w:rPr>
          <w:i/>
        </w:rPr>
        <w:t>Các xét nghiệm thường quy ứng dụng trong thực hành lâm sàng</w:t>
      </w:r>
      <w:r w:rsidRPr="004E1ECE">
        <w:t>, Nhà xuất bản Y học.</w:t>
      </w:r>
    </w:p>
    <w:p w14:paraId="40101059" w14:textId="77777777" w:rsidR="004E1ECE" w:rsidRPr="004E1ECE" w:rsidRDefault="004E1ECE" w:rsidP="004E1ECE">
      <w:pPr>
        <w:pStyle w:val="EndNoteBibliography"/>
        <w:spacing w:after="0"/>
        <w:ind w:left="720" w:hanging="720"/>
      </w:pPr>
      <w:r w:rsidRPr="004E1ECE">
        <w:t>51.</w:t>
      </w:r>
      <w:r w:rsidRPr="004E1ECE">
        <w:tab/>
        <w:t xml:space="preserve">B. B. Musuenge, G. G. Poda và P. C. Chen (2020), </w:t>
      </w:r>
      <w:r w:rsidRPr="004E1ECE">
        <w:rPr>
          <w:i/>
        </w:rPr>
        <w:t>Nutritional Status of Patients with Tuberculosis and Associated Factors in the Health Centre Region of Burkina Faso</w:t>
      </w:r>
      <w:r w:rsidRPr="004E1ECE">
        <w:t>, Nutrients. 12(9).</w:t>
      </w:r>
    </w:p>
    <w:p w14:paraId="28BA7709" w14:textId="77777777" w:rsidR="004E1ECE" w:rsidRPr="004E1ECE" w:rsidRDefault="004E1ECE" w:rsidP="004E1ECE">
      <w:pPr>
        <w:pStyle w:val="EndNoteBibliography"/>
        <w:spacing w:after="0"/>
        <w:ind w:left="720" w:hanging="720"/>
      </w:pPr>
      <w:r w:rsidRPr="004E1ECE">
        <w:t>52.</w:t>
      </w:r>
      <w:r w:rsidRPr="004E1ECE">
        <w:tab/>
        <w:t xml:space="preserve">P. K. Appiah, B. Osei và H. Amu (2021), </w:t>
      </w:r>
      <w:r w:rsidRPr="004E1ECE">
        <w:rPr>
          <w:i/>
        </w:rPr>
        <w:t>Factors associated with nutritional status, knowledge and attitudes among tuberculosis patients receiving treatment in Ghana: A cross-sectional study in the Tema Metropolis</w:t>
      </w:r>
      <w:r w:rsidRPr="004E1ECE">
        <w:t>, PLoS One. 16(10), e0258033.</w:t>
      </w:r>
    </w:p>
    <w:p w14:paraId="166741DB" w14:textId="77777777" w:rsidR="004E1ECE" w:rsidRPr="004E1ECE" w:rsidRDefault="004E1ECE" w:rsidP="004E1ECE">
      <w:pPr>
        <w:pStyle w:val="EndNoteBibliography"/>
        <w:spacing w:after="0"/>
        <w:ind w:left="720" w:hanging="720"/>
      </w:pPr>
      <w:r w:rsidRPr="004E1ECE">
        <w:t>53.</w:t>
      </w:r>
      <w:r w:rsidRPr="004E1ECE">
        <w:tab/>
        <w:t xml:space="preserve">Ngọc Dung Trần và các cộng sự (2023), </w:t>
      </w:r>
      <w:r w:rsidRPr="004E1ECE">
        <w:rPr>
          <w:i/>
        </w:rPr>
        <w:t>TỶ LỆ MẮC VÀ ĐẶC ĐIỂM DỊCH TỄ LAO MỚI TẠI TỈNH ĐỒNG THÁP NĂM 2020</w:t>
      </w:r>
      <w:r w:rsidRPr="004E1ECE">
        <w:t>, Tạp chí Y học Việt Nam. 524(1B).</w:t>
      </w:r>
    </w:p>
    <w:p w14:paraId="0C61D096" w14:textId="77777777" w:rsidR="004E1ECE" w:rsidRPr="004E1ECE" w:rsidRDefault="004E1ECE" w:rsidP="004E1ECE">
      <w:pPr>
        <w:pStyle w:val="EndNoteBibliography"/>
        <w:ind w:left="720" w:hanging="720"/>
      </w:pPr>
      <w:r w:rsidRPr="004E1ECE">
        <w:t>54.</w:t>
      </w:r>
      <w:r w:rsidRPr="004E1ECE">
        <w:tab/>
        <w:t xml:space="preserve">Y. Zhang và các cộng sự (2018), </w:t>
      </w:r>
      <w:r w:rsidRPr="004E1ECE">
        <w:rPr>
          <w:i/>
        </w:rPr>
        <w:t>Analysis of spatial-temporal distribution and influencing factors of pulmonary tuberculosis in China, during 2008-2015</w:t>
      </w:r>
      <w:r w:rsidRPr="004E1ECE">
        <w:t>, Epidemiol Infect. 147, e25.</w:t>
      </w:r>
    </w:p>
    <w:p w14:paraId="6FD80654" w14:textId="12561B4B" w:rsidR="007D3B20" w:rsidRDefault="00021ACD" w:rsidP="00C23165">
      <w:r>
        <w:fldChar w:fldCharType="end"/>
      </w:r>
    </w:p>
    <w:sectPr w:rsidR="007D3B20" w:rsidSect="00C333DD">
      <w:pgSz w:w="12240" w:h="15840"/>
      <w:pgMar w:top="1985" w:right="1134" w:bottom="1701"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FA85F" w14:textId="77777777" w:rsidR="00615867" w:rsidRDefault="00615867" w:rsidP="00C23165">
      <w:r>
        <w:separator/>
      </w:r>
    </w:p>
  </w:endnote>
  <w:endnote w:type="continuationSeparator" w:id="0">
    <w:p w14:paraId="1204F767" w14:textId="77777777" w:rsidR="00615867" w:rsidRDefault="00615867"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815525792"/>
      <w:docPartObj>
        <w:docPartGallery w:val="Page Numbers (Bottom of Page)"/>
        <w:docPartUnique/>
      </w:docPartObj>
    </w:sdtPr>
    <w:sdtEndPr>
      <w:rPr>
        <w:noProof/>
      </w:rPr>
    </w:sdtEndPr>
    <w:sdtContent>
      <w:p w14:paraId="35C09D88" w14:textId="5F1EA7E3" w:rsidR="00C333DD" w:rsidRDefault="00C333DD">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8C341D0" w14:textId="77777777" w:rsidR="00C333DD" w:rsidRDefault="00C33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C579B" w14:textId="77777777" w:rsidR="00615867" w:rsidRDefault="00615867" w:rsidP="00C23165">
      <w:r>
        <w:separator/>
      </w:r>
    </w:p>
  </w:footnote>
  <w:footnote w:type="continuationSeparator" w:id="0">
    <w:p w14:paraId="0C328B9E" w14:textId="77777777" w:rsidR="00615867" w:rsidRDefault="00615867"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1E2A" w14:textId="77777777" w:rsidR="00101135" w:rsidRDefault="00101135" w:rsidP="00C23165"/>
  <w:p w14:paraId="62A8DDC3" w14:textId="77777777" w:rsidR="00101135" w:rsidRDefault="00101135" w:rsidP="00C231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F32FF"/>
    <w:multiLevelType w:val="multilevel"/>
    <w:tmpl w:val="372AB50C"/>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E12C1"/>
    <w:multiLevelType w:val="multilevel"/>
    <w:tmpl w:val="A9B876BC"/>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6B8E684C"/>
    <w:multiLevelType w:val="multilevel"/>
    <w:tmpl w:val="4760B28A"/>
    <w:lvl w:ilvl="0">
      <w:start w:val="1"/>
      <w:numFmt w:val="decimal"/>
      <w:suff w:val="space"/>
      <w:lvlText w:val="Chương %1"/>
      <w:lvlJc w:val="left"/>
      <w:pPr>
        <w:ind w:left="0" w:firstLine="0"/>
      </w:pPr>
      <w:rPr>
        <w:rFonts w:hint="default"/>
      </w:rPr>
    </w:lvl>
    <w:lvl w:ilvl="1">
      <w:start w:val="1"/>
      <w:numFmt w:val="none"/>
      <w:pStyle w:val="TOC1"/>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3DE5BE0"/>
    <w:multiLevelType w:val="hybridMultilevel"/>
    <w:tmpl w:val="D79C2B84"/>
    <w:lvl w:ilvl="0" w:tplc="4E0EC03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898064">
    <w:abstractNumId w:val="3"/>
  </w:num>
  <w:num w:numId="2" w16cid:durableId="474956585">
    <w:abstractNumId w:val="0"/>
  </w:num>
  <w:num w:numId="3" w16cid:durableId="1909995907">
    <w:abstractNumId w:val="6"/>
  </w:num>
  <w:num w:numId="4" w16cid:durableId="1325933012">
    <w:abstractNumId w:val="5"/>
  </w:num>
  <w:num w:numId="5" w16cid:durableId="277224095">
    <w:abstractNumId w:val="4"/>
  </w:num>
  <w:num w:numId="6" w16cid:durableId="1208953580">
    <w:abstractNumId w:val="1"/>
  </w:num>
  <w:num w:numId="7" w16cid:durableId="564147596">
    <w:abstractNumId w:val="9"/>
  </w:num>
  <w:num w:numId="8" w16cid:durableId="1149711909">
    <w:abstractNumId w:val="7"/>
  </w:num>
  <w:num w:numId="9" w16cid:durableId="4577274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38000308">
    <w:abstractNumId w:val="8"/>
  </w:num>
  <w:num w:numId="11" w16cid:durableId="379742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6&lt;/item&gt;&lt;item&gt;27&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1&lt;/item&gt;&lt;item&gt;63&lt;/item&gt;&lt;item&gt;67&lt;/item&gt;&lt;item&gt;69&lt;/item&gt;&lt;item&gt;70&lt;/item&gt;&lt;item&gt;71&lt;/item&gt;&lt;item&gt;74&lt;/item&gt;&lt;item&gt;75&lt;/item&gt;&lt;item&gt;77&lt;/item&gt;&lt;item&gt;78&lt;/item&gt;&lt;item&gt;79&lt;/item&gt;&lt;item&gt;80&lt;/item&gt;&lt;item&gt;82&lt;/item&gt;&lt;item&gt;83&lt;/item&gt;&lt;item&gt;85&lt;/item&gt;&lt;item&gt;86&lt;/item&gt;&lt;/record-ids&gt;&lt;/item&gt;&lt;/Libraries&gt;"/>
  </w:docVars>
  <w:rsids>
    <w:rsidRoot w:val="00101135"/>
    <w:rsid w:val="000000D6"/>
    <w:rsid w:val="00000851"/>
    <w:rsid w:val="00000BA7"/>
    <w:rsid w:val="00001871"/>
    <w:rsid w:val="00002328"/>
    <w:rsid w:val="00002A45"/>
    <w:rsid w:val="00003016"/>
    <w:rsid w:val="0000376C"/>
    <w:rsid w:val="00004000"/>
    <w:rsid w:val="000053F8"/>
    <w:rsid w:val="00005B10"/>
    <w:rsid w:val="00005D12"/>
    <w:rsid w:val="000065BD"/>
    <w:rsid w:val="00007014"/>
    <w:rsid w:val="00007024"/>
    <w:rsid w:val="00007F57"/>
    <w:rsid w:val="000105CA"/>
    <w:rsid w:val="0001143E"/>
    <w:rsid w:val="000114AD"/>
    <w:rsid w:val="00011B3E"/>
    <w:rsid w:val="00012350"/>
    <w:rsid w:val="00012C44"/>
    <w:rsid w:val="0001353C"/>
    <w:rsid w:val="00013563"/>
    <w:rsid w:val="000137BA"/>
    <w:rsid w:val="00013952"/>
    <w:rsid w:val="00013E69"/>
    <w:rsid w:val="00014517"/>
    <w:rsid w:val="000153C1"/>
    <w:rsid w:val="00015C87"/>
    <w:rsid w:val="00016863"/>
    <w:rsid w:val="000175D5"/>
    <w:rsid w:val="000178F6"/>
    <w:rsid w:val="0002109E"/>
    <w:rsid w:val="00021ACD"/>
    <w:rsid w:val="00022441"/>
    <w:rsid w:val="00022858"/>
    <w:rsid w:val="00022BF2"/>
    <w:rsid w:val="000235A3"/>
    <w:rsid w:val="000239F6"/>
    <w:rsid w:val="000253CC"/>
    <w:rsid w:val="000255A2"/>
    <w:rsid w:val="00025E29"/>
    <w:rsid w:val="0002683F"/>
    <w:rsid w:val="00026D04"/>
    <w:rsid w:val="000270CE"/>
    <w:rsid w:val="00027702"/>
    <w:rsid w:val="000278C4"/>
    <w:rsid w:val="00027B3E"/>
    <w:rsid w:val="00030139"/>
    <w:rsid w:val="000302E9"/>
    <w:rsid w:val="000309C9"/>
    <w:rsid w:val="000315B0"/>
    <w:rsid w:val="00032498"/>
    <w:rsid w:val="00032AA8"/>
    <w:rsid w:val="0003306D"/>
    <w:rsid w:val="00033B2D"/>
    <w:rsid w:val="00034376"/>
    <w:rsid w:val="00034818"/>
    <w:rsid w:val="00034AF9"/>
    <w:rsid w:val="00034E73"/>
    <w:rsid w:val="00034FC3"/>
    <w:rsid w:val="00035FFF"/>
    <w:rsid w:val="00040454"/>
    <w:rsid w:val="00041352"/>
    <w:rsid w:val="00041823"/>
    <w:rsid w:val="00042888"/>
    <w:rsid w:val="00045927"/>
    <w:rsid w:val="00045C97"/>
    <w:rsid w:val="0004683C"/>
    <w:rsid w:val="00046F42"/>
    <w:rsid w:val="00047118"/>
    <w:rsid w:val="0004739E"/>
    <w:rsid w:val="00050484"/>
    <w:rsid w:val="000507D2"/>
    <w:rsid w:val="000513D4"/>
    <w:rsid w:val="000514AA"/>
    <w:rsid w:val="000515B4"/>
    <w:rsid w:val="000516D7"/>
    <w:rsid w:val="00051C4C"/>
    <w:rsid w:val="000529AF"/>
    <w:rsid w:val="00053B53"/>
    <w:rsid w:val="000546E2"/>
    <w:rsid w:val="00054718"/>
    <w:rsid w:val="00054D26"/>
    <w:rsid w:val="00055121"/>
    <w:rsid w:val="00055717"/>
    <w:rsid w:val="00055CF8"/>
    <w:rsid w:val="0005760A"/>
    <w:rsid w:val="000602E8"/>
    <w:rsid w:val="00060344"/>
    <w:rsid w:val="00060388"/>
    <w:rsid w:val="00061660"/>
    <w:rsid w:val="000623F8"/>
    <w:rsid w:val="00062560"/>
    <w:rsid w:val="00064742"/>
    <w:rsid w:val="000650D4"/>
    <w:rsid w:val="00065CB5"/>
    <w:rsid w:val="00066FA7"/>
    <w:rsid w:val="00070C10"/>
    <w:rsid w:val="00071306"/>
    <w:rsid w:val="0007145D"/>
    <w:rsid w:val="00072B1C"/>
    <w:rsid w:val="00072BE9"/>
    <w:rsid w:val="00072C2E"/>
    <w:rsid w:val="00073515"/>
    <w:rsid w:val="0007377F"/>
    <w:rsid w:val="000743AB"/>
    <w:rsid w:val="00074EFC"/>
    <w:rsid w:val="00075667"/>
    <w:rsid w:val="000756E0"/>
    <w:rsid w:val="00077095"/>
    <w:rsid w:val="00080504"/>
    <w:rsid w:val="00080746"/>
    <w:rsid w:val="000812B1"/>
    <w:rsid w:val="00081664"/>
    <w:rsid w:val="00081A23"/>
    <w:rsid w:val="00081BBF"/>
    <w:rsid w:val="00081CAD"/>
    <w:rsid w:val="00082CCB"/>
    <w:rsid w:val="000834FB"/>
    <w:rsid w:val="0008366B"/>
    <w:rsid w:val="00083AB9"/>
    <w:rsid w:val="00083BE5"/>
    <w:rsid w:val="00084DD4"/>
    <w:rsid w:val="000850C6"/>
    <w:rsid w:val="00085187"/>
    <w:rsid w:val="000858C5"/>
    <w:rsid w:val="00085A04"/>
    <w:rsid w:val="00085D87"/>
    <w:rsid w:val="00087451"/>
    <w:rsid w:val="00087AB4"/>
    <w:rsid w:val="00090780"/>
    <w:rsid w:val="00090FE6"/>
    <w:rsid w:val="00091968"/>
    <w:rsid w:val="000921AB"/>
    <w:rsid w:val="00093261"/>
    <w:rsid w:val="000935FA"/>
    <w:rsid w:val="0009626B"/>
    <w:rsid w:val="000972F2"/>
    <w:rsid w:val="00097AB9"/>
    <w:rsid w:val="00097BB0"/>
    <w:rsid w:val="00097F20"/>
    <w:rsid w:val="000A104B"/>
    <w:rsid w:val="000A10AF"/>
    <w:rsid w:val="000A1243"/>
    <w:rsid w:val="000A15E8"/>
    <w:rsid w:val="000A1612"/>
    <w:rsid w:val="000A1A5C"/>
    <w:rsid w:val="000A254D"/>
    <w:rsid w:val="000A2644"/>
    <w:rsid w:val="000A319A"/>
    <w:rsid w:val="000A3368"/>
    <w:rsid w:val="000A3CD0"/>
    <w:rsid w:val="000A409E"/>
    <w:rsid w:val="000A469E"/>
    <w:rsid w:val="000A480B"/>
    <w:rsid w:val="000A4977"/>
    <w:rsid w:val="000A4CAF"/>
    <w:rsid w:val="000A5610"/>
    <w:rsid w:val="000A7057"/>
    <w:rsid w:val="000A7A3A"/>
    <w:rsid w:val="000B1663"/>
    <w:rsid w:val="000B19D8"/>
    <w:rsid w:val="000B232E"/>
    <w:rsid w:val="000B282E"/>
    <w:rsid w:val="000B2F2E"/>
    <w:rsid w:val="000B308B"/>
    <w:rsid w:val="000B39BA"/>
    <w:rsid w:val="000B3A9C"/>
    <w:rsid w:val="000B5694"/>
    <w:rsid w:val="000B628C"/>
    <w:rsid w:val="000B68D6"/>
    <w:rsid w:val="000B7AB9"/>
    <w:rsid w:val="000B7BB3"/>
    <w:rsid w:val="000C0A07"/>
    <w:rsid w:val="000C0BB0"/>
    <w:rsid w:val="000C15F3"/>
    <w:rsid w:val="000C17FC"/>
    <w:rsid w:val="000C18F9"/>
    <w:rsid w:val="000C250B"/>
    <w:rsid w:val="000C3077"/>
    <w:rsid w:val="000C384A"/>
    <w:rsid w:val="000C39AB"/>
    <w:rsid w:val="000C5834"/>
    <w:rsid w:val="000C590D"/>
    <w:rsid w:val="000C64B5"/>
    <w:rsid w:val="000C6D6C"/>
    <w:rsid w:val="000D091E"/>
    <w:rsid w:val="000D0D73"/>
    <w:rsid w:val="000D11FC"/>
    <w:rsid w:val="000D1722"/>
    <w:rsid w:val="000D193F"/>
    <w:rsid w:val="000D1E6D"/>
    <w:rsid w:val="000D23B6"/>
    <w:rsid w:val="000D30A9"/>
    <w:rsid w:val="000D378D"/>
    <w:rsid w:val="000D4425"/>
    <w:rsid w:val="000D5800"/>
    <w:rsid w:val="000D631B"/>
    <w:rsid w:val="000D6327"/>
    <w:rsid w:val="000D66B5"/>
    <w:rsid w:val="000D6AD0"/>
    <w:rsid w:val="000D736B"/>
    <w:rsid w:val="000D7C91"/>
    <w:rsid w:val="000E01C5"/>
    <w:rsid w:val="000E278E"/>
    <w:rsid w:val="000E2819"/>
    <w:rsid w:val="000E3B29"/>
    <w:rsid w:val="000E3CA8"/>
    <w:rsid w:val="000E45EB"/>
    <w:rsid w:val="000E65FD"/>
    <w:rsid w:val="000E7916"/>
    <w:rsid w:val="000E79F4"/>
    <w:rsid w:val="000E7B03"/>
    <w:rsid w:val="000F1E21"/>
    <w:rsid w:val="000F32EF"/>
    <w:rsid w:val="000F39E8"/>
    <w:rsid w:val="000F43A3"/>
    <w:rsid w:val="000F686E"/>
    <w:rsid w:val="0010054A"/>
    <w:rsid w:val="00100C30"/>
    <w:rsid w:val="00100CF9"/>
    <w:rsid w:val="00101135"/>
    <w:rsid w:val="00101EE2"/>
    <w:rsid w:val="00102F09"/>
    <w:rsid w:val="00102FAB"/>
    <w:rsid w:val="00103095"/>
    <w:rsid w:val="00103231"/>
    <w:rsid w:val="0010329E"/>
    <w:rsid w:val="0010362A"/>
    <w:rsid w:val="001036BF"/>
    <w:rsid w:val="001037FB"/>
    <w:rsid w:val="00104177"/>
    <w:rsid w:val="0010436F"/>
    <w:rsid w:val="00104C96"/>
    <w:rsid w:val="001050A7"/>
    <w:rsid w:val="00105D23"/>
    <w:rsid w:val="00106892"/>
    <w:rsid w:val="00106C32"/>
    <w:rsid w:val="0011043A"/>
    <w:rsid w:val="00110A70"/>
    <w:rsid w:val="00110E14"/>
    <w:rsid w:val="001113AF"/>
    <w:rsid w:val="001120C1"/>
    <w:rsid w:val="00112A6A"/>
    <w:rsid w:val="001137C8"/>
    <w:rsid w:val="00114017"/>
    <w:rsid w:val="0011506A"/>
    <w:rsid w:val="00116238"/>
    <w:rsid w:val="00116479"/>
    <w:rsid w:val="00116EB6"/>
    <w:rsid w:val="00117A02"/>
    <w:rsid w:val="001218DE"/>
    <w:rsid w:val="00121CF6"/>
    <w:rsid w:val="00121F5D"/>
    <w:rsid w:val="00122A11"/>
    <w:rsid w:val="00124297"/>
    <w:rsid w:val="001247DF"/>
    <w:rsid w:val="0012523C"/>
    <w:rsid w:val="00125342"/>
    <w:rsid w:val="00125E2B"/>
    <w:rsid w:val="00127543"/>
    <w:rsid w:val="00127BC0"/>
    <w:rsid w:val="0013084C"/>
    <w:rsid w:val="00130F90"/>
    <w:rsid w:val="00131038"/>
    <w:rsid w:val="001310FB"/>
    <w:rsid w:val="00133366"/>
    <w:rsid w:val="00133813"/>
    <w:rsid w:val="00133BC9"/>
    <w:rsid w:val="00133E8D"/>
    <w:rsid w:val="001347C6"/>
    <w:rsid w:val="00135F98"/>
    <w:rsid w:val="001373F5"/>
    <w:rsid w:val="00137693"/>
    <w:rsid w:val="00137949"/>
    <w:rsid w:val="0014203F"/>
    <w:rsid w:val="001420F8"/>
    <w:rsid w:val="00142980"/>
    <w:rsid w:val="001440B5"/>
    <w:rsid w:val="00144E3B"/>
    <w:rsid w:val="001453BD"/>
    <w:rsid w:val="001455D1"/>
    <w:rsid w:val="00145881"/>
    <w:rsid w:val="00145C15"/>
    <w:rsid w:val="00145C3F"/>
    <w:rsid w:val="00145EBA"/>
    <w:rsid w:val="00146247"/>
    <w:rsid w:val="001469A4"/>
    <w:rsid w:val="00147E87"/>
    <w:rsid w:val="00151CFF"/>
    <w:rsid w:val="00152061"/>
    <w:rsid w:val="00153963"/>
    <w:rsid w:val="00153BE2"/>
    <w:rsid w:val="00153EE4"/>
    <w:rsid w:val="00155072"/>
    <w:rsid w:val="001562AC"/>
    <w:rsid w:val="001572E2"/>
    <w:rsid w:val="00157B21"/>
    <w:rsid w:val="00157C3F"/>
    <w:rsid w:val="00160161"/>
    <w:rsid w:val="00161151"/>
    <w:rsid w:val="00161360"/>
    <w:rsid w:val="00161BDE"/>
    <w:rsid w:val="00162078"/>
    <w:rsid w:val="00164590"/>
    <w:rsid w:val="00164A05"/>
    <w:rsid w:val="00164B2F"/>
    <w:rsid w:val="001653D0"/>
    <w:rsid w:val="00165CC2"/>
    <w:rsid w:val="0016699F"/>
    <w:rsid w:val="00166F46"/>
    <w:rsid w:val="001670D8"/>
    <w:rsid w:val="00167948"/>
    <w:rsid w:val="0017003A"/>
    <w:rsid w:val="001701E7"/>
    <w:rsid w:val="00170835"/>
    <w:rsid w:val="00171095"/>
    <w:rsid w:val="001710E2"/>
    <w:rsid w:val="00171107"/>
    <w:rsid w:val="00171ED8"/>
    <w:rsid w:val="001728BF"/>
    <w:rsid w:val="00173546"/>
    <w:rsid w:val="00173E52"/>
    <w:rsid w:val="00174387"/>
    <w:rsid w:val="0017490E"/>
    <w:rsid w:val="001762A9"/>
    <w:rsid w:val="001775F5"/>
    <w:rsid w:val="00180475"/>
    <w:rsid w:val="00180635"/>
    <w:rsid w:val="001809E9"/>
    <w:rsid w:val="001811B5"/>
    <w:rsid w:val="00181B3D"/>
    <w:rsid w:val="001827AC"/>
    <w:rsid w:val="001827C4"/>
    <w:rsid w:val="001829DA"/>
    <w:rsid w:val="00182ADB"/>
    <w:rsid w:val="001831D7"/>
    <w:rsid w:val="00185FC1"/>
    <w:rsid w:val="00186348"/>
    <w:rsid w:val="001867AE"/>
    <w:rsid w:val="00186BFD"/>
    <w:rsid w:val="00187E6C"/>
    <w:rsid w:val="0019062C"/>
    <w:rsid w:val="00193B50"/>
    <w:rsid w:val="001946F9"/>
    <w:rsid w:val="00195F59"/>
    <w:rsid w:val="001965B8"/>
    <w:rsid w:val="00196A7C"/>
    <w:rsid w:val="00196B59"/>
    <w:rsid w:val="001A1092"/>
    <w:rsid w:val="001A1378"/>
    <w:rsid w:val="001A1AE4"/>
    <w:rsid w:val="001A1E0C"/>
    <w:rsid w:val="001A2DC1"/>
    <w:rsid w:val="001A2F26"/>
    <w:rsid w:val="001A3156"/>
    <w:rsid w:val="001A4921"/>
    <w:rsid w:val="001A4CA9"/>
    <w:rsid w:val="001A56B6"/>
    <w:rsid w:val="001B00D6"/>
    <w:rsid w:val="001B0F0B"/>
    <w:rsid w:val="001B23DB"/>
    <w:rsid w:val="001B303A"/>
    <w:rsid w:val="001B4075"/>
    <w:rsid w:val="001B44F2"/>
    <w:rsid w:val="001B590F"/>
    <w:rsid w:val="001B667A"/>
    <w:rsid w:val="001B6CC1"/>
    <w:rsid w:val="001B6E86"/>
    <w:rsid w:val="001B7200"/>
    <w:rsid w:val="001B7A43"/>
    <w:rsid w:val="001B7BAE"/>
    <w:rsid w:val="001B7E08"/>
    <w:rsid w:val="001B7F0F"/>
    <w:rsid w:val="001B7F98"/>
    <w:rsid w:val="001C0B22"/>
    <w:rsid w:val="001C1D01"/>
    <w:rsid w:val="001C2BD1"/>
    <w:rsid w:val="001C2CDB"/>
    <w:rsid w:val="001C35A8"/>
    <w:rsid w:val="001C4303"/>
    <w:rsid w:val="001C4E21"/>
    <w:rsid w:val="001C53A1"/>
    <w:rsid w:val="001C7041"/>
    <w:rsid w:val="001D08C4"/>
    <w:rsid w:val="001D1CC3"/>
    <w:rsid w:val="001D2071"/>
    <w:rsid w:val="001D2C7F"/>
    <w:rsid w:val="001D4020"/>
    <w:rsid w:val="001D4288"/>
    <w:rsid w:val="001D4438"/>
    <w:rsid w:val="001D4D15"/>
    <w:rsid w:val="001D5793"/>
    <w:rsid w:val="001D5841"/>
    <w:rsid w:val="001D6255"/>
    <w:rsid w:val="001D6683"/>
    <w:rsid w:val="001D6CCB"/>
    <w:rsid w:val="001D6F33"/>
    <w:rsid w:val="001E0283"/>
    <w:rsid w:val="001E0475"/>
    <w:rsid w:val="001E0885"/>
    <w:rsid w:val="001E1847"/>
    <w:rsid w:val="001E2712"/>
    <w:rsid w:val="001E32B6"/>
    <w:rsid w:val="001E35DD"/>
    <w:rsid w:val="001E3732"/>
    <w:rsid w:val="001E5937"/>
    <w:rsid w:val="001E5F63"/>
    <w:rsid w:val="001E73E8"/>
    <w:rsid w:val="001E764A"/>
    <w:rsid w:val="001E7DB0"/>
    <w:rsid w:val="001F034B"/>
    <w:rsid w:val="001F0D45"/>
    <w:rsid w:val="001F10E0"/>
    <w:rsid w:val="001F1364"/>
    <w:rsid w:val="001F1C8B"/>
    <w:rsid w:val="001F2F92"/>
    <w:rsid w:val="001F347C"/>
    <w:rsid w:val="001F3796"/>
    <w:rsid w:val="001F388A"/>
    <w:rsid w:val="001F39B2"/>
    <w:rsid w:val="001F3DA0"/>
    <w:rsid w:val="001F4020"/>
    <w:rsid w:val="001F4274"/>
    <w:rsid w:val="001F4421"/>
    <w:rsid w:val="001F4914"/>
    <w:rsid w:val="001F5E21"/>
    <w:rsid w:val="001F6938"/>
    <w:rsid w:val="001F7D17"/>
    <w:rsid w:val="001F7FF2"/>
    <w:rsid w:val="002015CD"/>
    <w:rsid w:val="00201786"/>
    <w:rsid w:val="00201C94"/>
    <w:rsid w:val="00201CAC"/>
    <w:rsid w:val="00201D80"/>
    <w:rsid w:val="00202F24"/>
    <w:rsid w:val="0020306C"/>
    <w:rsid w:val="002045F1"/>
    <w:rsid w:val="00204E58"/>
    <w:rsid w:val="002059C7"/>
    <w:rsid w:val="00205C53"/>
    <w:rsid w:val="00205E2A"/>
    <w:rsid w:val="00206489"/>
    <w:rsid w:val="00206AEC"/>
    <w:rsid w:val="00206C64"/>
    <w:rsid w:val="00207FF8"/>
    <w:rsid w:val="0021000B"/>
    <w:rsid w:val="002115D1"/>
    <w:rsid w:val="0021161E"/>
    <w:rsid w:val="00211B6E"/>
    <w:rsid w:val="00212A56"/>
    <w:rsid w:val="002131C3"/>
    <w:rsid w:val="002136A1"/>
    <w:rsid w:val="00213B52"/>
    <w:rsid w:val="00213B74"/>
    <w:rsid w:val="00213BAA"/>
    <w:rsid w:val="00214456"/>
    <w:rsid w:val="00214549"/>
    <w:rsid w:val="00214751"/>
    <w:rsid w:val="002156D2"/>
    <w:rsid w:val="00215F78"/>
    <w:rsid w:val="00216459"/>
    <w:rsid w:val="0021745B"/>
    <w:rsid w:val="00217CD1"/>
    <w:rsid w:val="0022069B"/>
    <w:rsid w:val="002208BB"/>
    <w:rsid w:val="0022143B"/>
    <w:rsid w:val="002219C8"/>
    <w:rsid w:val="0022202C"/>
    <w:rsid w:val="00222933"/>
    <w:rsid w:val="00222C24"/>
    <w:rsid w:val="00222CA0"/>
    <w:rsid w:val="00223920"/>
    <w:rsid w:val="002246DD"/>
    <w:rsid w:val="002258A4"/>
    <w:rsid w:val="00225BB5"/>
    <w:rsid w:val="00226378"/>
    <w:rsid w:val="0022674D"/>
    <w:rsid w:val="00226BA3"/>
    <w:rsid w:val="00227B96"/>
    <w:rsid w:val="00231061"/>
    <w:rsid w:val="002313EC"/>
    <w:rsid w:val="002316C0"/>
    <w:rsid w:val="002332CC"/>
    <w:rsid w:val="00233AEA"/>
    <w:rsid w:val="0023416D"/>
    <w:rsid w:val="00234CBA"/>
    <w:rsid w:val="002350E3"/>
    <w:rsid w:val="0023570C"/>
    <w:rsid w:val="002359A2"/>
    <w:rsid w:val="00235A0B"/>
    <w:rsid w:val="0023727E"/>
    <w:rsid w:val="002401D7"/>
    <w:rsid w:val="00240D39"/>
    <w:rsid w:val="00240ECA"/>
    <w:rsid w:val="0024153E"/>
    <w:rsid w:val="00243553"/>
    <w:rsid w:val="00243739"/>
    <w:rsid w:val="00243B2E"/>
    <w:rsid w:val="002446AE"/>
    <w:rsid w:val="00244F1C"/>
    <w:rsid w:val="002452DC"/>
    <w:rsid w:val="0024548C"/>
    <w:rsid w:val="00245A13"/>
    <w:rsid w:val="00245BC2"/>
    <w:rsid w:val="0024604A"/>
    <w:rsid w:val="00246D81"/>
    <w:rsid w:val="002474BC"/>
    <w:rsid w:val="00250260"/>
    <w:rsid w:val="002502B0"/>
    <w:rsid w:val="00250A5E"/>
    <w:rsid w:val="00251862"/>
    <w:rsid w:val="0025195C"/>
    <w:rsid w:val="00252EED"/>
    <w:rsid w:val="00253037"/>
    <w:rsid w:val="002534CE"/>
    <w:rsid w:val="00253BF0"/>
    <w:rsid w:val="002542DA"/>
    <w:rsid w:val="00254591"/>
    <w:rsid w:val="002546B3"/>
    <w:rsid w:val="002555BA"/>
    <w:rsid w:val="00255778"/>
    <w:rsid w:val="00255E08"/>
    <w:rsid w:val="00255F11"/>
    <w:rsid w:val="002560D2"/>
    <w:rsid w:val="00256BC7"/>
    <w:rsid w:val="00257379"/>
    <w:rsid w:val="0026135D"/>
    <w:rsid w:val="002626C8"/>
    <w:rsid w:val="002627AD"/>
    <w:rsid w:val="00263857"/>
    <w:rsid w:val="0026473B"/>
    <w:rsid w:val="00265334"/>
    <w:rsid w:val="00266BFD"/>
    <w:rsid w:val="00266C97"/>
    <w:rsid w:val="00267890"/>
    <w:rsid w:val="00267D8A"/>
    <w:rsid w:val="00267ED3"/>
    <w:rsid w:val="00270100"/>
    <w:rsid w:val="002703B9"/>
    <w:rsid w:val="00270A1F"/>
    <w:rsid w:val="00270E9D"/>
    <w:rsid w:val="00270EDD"/>
    <w:rsid w:val="002723C6"/>
    <w:rsid w:val="00272DD5"/>
    <w:rsid w:val="002731DD"/>
    <w:rsid w:val="0027326A"/>
    <w:rsid w:val="0027355C"/>
    <w:rsid w:val="0027392C"/>
    <w:rsid w:val="00276183"/>
    <w:rsid w:val="002765A1"/>
    <w:rsid w:val="00276D9A"/>
    <w:rsid w:val="00277645"/>
    <w:rsid w:val="00277F6A"/>
    <w:rsid w:val="002800E8"/>
    <w:rsid w:val="00280D54"/>
    <w:rsid w:val="00281F76"/>
    <w:rsid w:val="00281FD2"/>
    <w:rsid w:val="002820CA"/>
    <w:rsid w:val="00283856"/>
    <w:rsid w:val="002867DF"/>
    <w:rsid w:val="00287FA5"/>
    <w:rsid w:val="00290D99"/>
    <w:rsid w:val="0029121C"/>
    <w:rsid w:val="00291D98"/>
    <w:rsid w:val="002938B7"/>
    <w:rsid w:val="00293AAF"/>
    <w:rsid w:val="00294FAC"/>
    <w:rsid w:val="00295407"/>
    <w:rsid w:val="00296058"/>
    <w:rsid w:val="0029624E"/>
    <w:rsid w:val="00296E83"/>
    <w:rsid w:val="0029777A"/>
    <w:rsid w:val="00297CEE"/>
    <w:rsid w:val="002A0BD0"/>
    <w:rsid w:val="002A15EF"/>
    <w:rsid w:val="002A19E3"/>
    <w:rsid w:val="002A1B48"/>
    <w:rsid w:val="002A1DCE"/>
    <w:rsid w:val="002A22BB"/>
    <w:rsid w:val="002A267D"/>
    <w:rsid w:val="002A2884"/>
    <w:rsid w:val="002A2C8B"/>
    <w:rsid w:val="002A41CE"/>
    <w:rsid w:val="002A4202"/>
    <w:rsid w:val="002A4DCD"/>
    <w:rsid w:val="002A5947"/>
    <w:rsid w:val="002A5AFF"/>
    <w:rsid w:val="002A6614"/>
    <w:rsid w:val="002A74E7"/>
    <w:rsid w:val="002B05BF"/>
    <w:rsid w:val="002B0927"/>
    <w:rsid w:val="002B0E77"/>
    <w:rsid w:val="002B14E8"/>
    <w:rsid w:val="002B2684"/>
    <w:rsid w:val="002B2876"/>
    <w:rsid w:val="002B3524"/>
    <w:rsid w:val="002B3748"/>
    <w:rsid w:val="002B3FB6"/>
    <w:rsid w:val="002B4798"/>
    <w:rsid w:val="002B5681"/>
    <w:rsid w:val="002B6718"/>
    <w:rsid w:val="002B69FE"/>
    <w:rsid w:val="002C4787"/>
    <w:rsid w:val="002C4BBA"/>
    <w:rsid w:val="002C56FB"/>
    <w:rsid w:val="002C5786"/>
    <w:rsid w:val="002C6B41"/>
    <w:rsid w:val="002C6CDF"/>
    <w:rsid w:val="002C7837"/>
    <w:rsid w:val="002C7C9D"/>
    <w:rsid w:val="002D03DE"/>
    <w:rsid w:val="002D0807"/>
    <w:rsid w:val="002D13A9"/>
    <w:rsid w:val="002D352E"/>
    <w:rsid w:val="002D4C59"/>
    <w:rsid w:val="002D4E11"/>
    <w:rsid w:val="002D5504"/>
    <w:rsid w:val="002D6562"/>
    <w:rsid w:val="002D659C"/>
    <w:rsid w:val="002D6D63"/>
    <w:rsid w:val="002D6DDE"/>
    <w:rsid w:val="002D76C2"/>
    <w:rsid w:val="002E00BE"/>
    <w:rsid w:val="002E0D3A"/>
    <w:rsid w:val="002E26B0"/>
    <w:rsid w:val="002E402C"/>
    <w:rsid w:val="002E4051"/>
    <w:rsid w:val="002E4FC4"/>
    <w:rsid w:val="002E697A"/>
    <w:rsid w:val="002E6EAC"/>
    <w:rsid w:val="002E7606"/>
    <w:rsid w:val="002E77A3"/>
    <w:rsid w:val="002E78C0"/>
    <w:rsid w:val="002E7AF8"/>
    <w:rsid w:val="002E7F9F"/>
    <w:rsid w:val="002F0029"/>
    <w:rsid w:val="002F0746"/>
    <w:rsid w:val="002F08BE"/>
    <w:rsid w:val="002F2074"/>
    <w:rsid w:val="002F266C"/>
    <w:rsid w:val="002F4CAB"/>
    <w:rsid w:val="002F556C"/>
    <w:rsid w:val="002F5E3C"/>
    <w:rsid w:val="002F6458"/>
    <w:rsid w:val="002F663E"/>
    <w:rsid w:val="002F6CC2"/>
    <w:rsid w:val="002F6E5B"/>
    <w:rsid w:val="00300506"/>
    <w:rsid w:val="00301B16"/>
    <w:rsid w:val="00302281"/>
    <w:rsid w:val="0030294A"/>
    <w:rsid w:val="00302C88"/>
    <w:rsid w:val="00303630"/>
    <w:rsid w:val="00304836"/>
    <w:rsid w:val="00304CA8"/>
    <w:rsid w:val="00305A6B"/>
    <w:rsid w:val="00305E52"/>
    <w:rsid w:val="003060E8"/>
    <w:rsid w:val="00306162"/>
    <w:rsid w:val="003063D9"/>
    <w:rsid w:val="00306408"/>
    <w:rsid w:val="003076FA"/>
    <w:rsid w:val="00307903"/>
    <w:rsid w:val="00307E1F"/>
    <w:rsid w:val="003101EC"/>
    <w:rsid w:val="00310A5D"/>
    <w:rsid w:val="0031195F"/>
    <w:rsid w:val="0031269E"/>
    <w:rsid w:val="00313618"/>
    <w:rsid w:val="00313EAD"/>
    <w:rsid w:val="0031427D"/>
    <w:rsid w:val="00314518"/>
    <w:rsid w:val="0031457C"/>
    <w:rsid w:val="00314651"/>
    <w:rsid w:val="00314C57"/>
    <w:rsid w:val="003152D8"/>
    <w:rsid w:val="003157BA"/>
    <w:rsid w:val="00315B79"/>
    <w:rsid w:val="0032023C"/>
    <w:rsid w:val="00321B5E"/>
    <w:rsid w:val="00321DC7"/>
    <w:rsid w:val="00322D8A"/>
    <w:rsid w:val="00323453"/>
    <w:rsid w:val="003234FE"/>
    <w:rsid w:val="00323A16"/>
    <w:rsid w:val="003242B0"/>
    <w:rsid w:val="003242F4"/>
    <w:rsid w:val="00324ACB"/>
    <w:rsid w:val="00325803"/>
    <w:rsid w:val="00326054"/>
    <w:rsid w:val="00326073"/>
    <w:rsid w:val="00326375"/>
    <w:rsid w:val="00326D9D"/>
    <w:rsid w:val="00330AB0"/>
    <w:rsid w:val="00330ECA"/>
    <w:rsid w:val="00331C09"/>
    <w:rsid w:val="003320BB"/>
    <w:rsid w:val="00332473"/>
    <w:rsid w:val="00332515"/>
    <w:rsid w:val="003328FC"/>
    <w:rsid w:val="00333766"/>
    <w:rsid w:val="003338AB"/>
    <w:rsid w:val="00333E38"/>
    <w:rsid w:val="003346E4"/>
    <w:rsid w:val="00334897"/>
    <w:rsid w:val="00334899"/>
    <w:rsid w:val="003348F4"/>
    <w:rsid w:val="00334D4C"/>
    <w:rsid w:val="00335B12"/>
    <w:rsid w:val="00335F6F"/>
    <w:rsid w:val="00336595"/>
    <w:rsid w:val="00337C8E"/>
    <w:rsid w:val="00340D5D"/>
    <w:rsid w:val="00340EAF"/>
    <w:rsid w:val="003441A7"/>
    <w:rsid w:val="00344395"/>
    <w:rsid w:val="003443D3"/>
    <w:rsid w:val="003450BF"/>
    <w:rsid w:val="003451AC"/>
    <w:rsid w:val="0034545A"/>
    <w:rsid w:val="0034734D"/>
    <w:rsid w:val="003506E8"/>
    <w:rsid w:val="00350E4B"/>
    <w:rsid w:val="003525F9"/>
    <w:rsid w:val="0035271C"/>
    <w:rsid w:val="0035272E"/>
    <w:rsid w:val="0035401E"/>
    <w:rsid w:val="0035482A"/>
    <w:rsid w:val="003550A0"/>
    <w:rsid w:val="0035593E"/>
    <w:rsid w:val="0035674C"/>
    <w:rsid w:val="00360A58"/>
    <w:rsid w:val="003626DF"/>
    <w:rsid w:val="00362BBC"/>
    <w:rsid w:val="003630E0"/>
    <w:rsid w:val="00365440"/>
    <w:rsid w:val="00365A7E"/>
    <w:rsid w:val="00365B9D"/>
    <w:rsid w:val="00365F6E"/>
    <w:rsid w:val="003666F0"/>
    <w:rsid w:val="003669BB"/>
    <w:rsid w:val="003674CE"/>
    <w:rsid w:val="00370550"/>
    <w:rsid w:val="003707BB"/>
    <w:rsid w:val="003719D6"/>
    <w:rsid w:val="00372374"/>
    <w:rsid w:val="00372AB7"/>
    <w:rsid w:val="00372C8E"/>
    <w:rsid w:val="00372F41"/>
    <w:rsid w:val="00373313"/>
    <w:rsid w:val="003734BC"/>
    <w:rsid w:val="00373F75"/>
    <w:rsid w:val="003743D1"/>
    <w:rsid w:val="00374D7E"/>
    <w:rsid w:val="00374F1A"/>
    <w:rsid w:val="00375422"/>
    <w:rsid w:val="00375909"/>
    <w:rsid w:val="00375A0E"/>
    <w:rsid w:val="00375EE3"/>
    <w:rsid w:val="0037600A"/>
    <w:rsid w:val="00376CAB"/>
    <w:rsid w:val="00376F9B"/>
    <w:rsid w:val="00377459"/>
    <w:rsid w:val="003775AB"/>
    <w:rsid w:val="00377C56"/>
    <w:rsid w:val="0038077F"/>
    <w:rsid w:val="00383AA7"/>
    <w:rsid w:val="0038404C"/>
    <w:rsid w:val="0038426E"/>
    <w:rsid w:val="00384AEF"/>
    <w:rsid w:val="00384C36"/>
    <w:rsid w:val="003851AF"/>
    <w:rsid w:val="00385A07"/>
    <w:rsid w:val="0038724B"/>
    <w:rsid w:val="00387F60"/>
    <w:rsid w:val="0039031F"/>
    <w:rsid w:val="00390341"/>
    <w:rsid w:val="003905F3"/>
    <w:rsid w:val="003907BC"/>
    <w:rsid w:val="003915CC"/>
    <w:rsid w:val="00391774"/>
    <w:rsid w:val="00391EBC"/>
    <w:rsid w:val="00393ED7"/>
    <w:rsid w:val="00393F96"/>
    <w:rsid w:val="0039468C"/>
    <w:rsid w:val="00396586"/>
    <w:rsid w:val="003A0F3B"/>
    <w:rsid w:val="003A13EC"/>
    <w:rsid w:val="003A17B4"/>
    <w:rsid w:val="003A18E3"/>
    <w:rsid w:val="003A2093"/>
    <w:rsid w:val="003A23ED"/>
    <w:rsid w:val="003A2892"/>
    <w:rsid w:val="003A311D"/>
    <w:rsid w:val="003A32A0"/>
    <w:rsid w:val="003A39A0"/>
    <w:rsid w:val="003A4103"/>
    <w:rsid w:val="003A6F61"/>
    <w:rsid w:val="003B00CE"/>
    <w:rsid w:val="003B166C"/>
    <w:rsid w:val="003B179E"/>
    <w:rsid w:val="003B1E8F"/>
    <w:rsid w:val="003B2B87"/>
    <w:rsid w:val="003B385E"/>
    <w:rsid w:val="003B4101"/>
    <w:rsid w:val="003B41BD"/>
    <w:rsid w:val="003B4831"/>
    <w:rsid w:val="003B48BF"/>
    <w:rsid w:val="003B5597"/>
    <w:rsid w:val="003B635D"/>
    <w:rsid w:val="003B6537"/>
    <w:rsid w:val="003B7974"/>
    <w:rsid w:val="003C0C29"/>
    <w:rsid w:val="003C1488"/>
    <w:rsid w:val="003C1B99"/>
    <w:rsid w:val="003C232F"/>
    <w:rsid w:val="003C2417"/>
    <w:rsid w:val="003C2462"/>
    <w:rsid w:val="003C33B7"/>
    <w:rsid w:val="003C34BC"/>
    <w:rsid w:val="003C484B"/>
    <w:rsid w:val="003C4A3D"/>
    <w:rsid w:val="003C4FDD"/>
    <w:rsid w:val="003C50A8"/>
    <w:rsid w:val="003C632F"/>
    <w:rsid w:val="003C662A"/>
    <w:rsid w:val="003C6B71"/>
    <w:rsid w:val="003D10D0"/>
    <w:rsid w:val="003D1372"/>
    <w:rsid w:val="003D2859"/>
    <w:rsid w:val="003D2A62"/>
    <w:rsid w:val="003D3109"/>
    <w:rsid w:val="003D3D5D"/>
    <w:rsid w:val="003D3DCE"/>
    <w:rsid w:val="003D40C2"/>
    <w:rsid w:val="003D4FD3"/>
    <w:rsid w:val="003D5605"/>
    <w:rsid w:val="003D5E9C"/>
    <w:rsid w:val="003D688C"/>
    <w:rsid w:val="003D7DD6"/>
    <w:rsid w:val="003D7EDD"/>
    <w:rsid w:val="003E028F"/>
    <w:rsid w:val="003E06BA"/>
    <w:rsid w:val="003E0B4E"/>
    <w:rsid w:val="003E1039"/>
    <w:rsid w:val="003E2207"/>
    <w:rsid w:val="003E2528"/>
    <w:rsid w:val="003E2943"/>
    <w:rsid w:val="003E2E17"/>
    <w:rsid w:val="003E3BAE"/>
    <w:rsid w:val="003E3EAD"/>
    <w:rsid w:val="003E4607"/>
    <w:rsid w:val="003E4E22"/>
    <w:rsid w:val="003E4FD9"/>
    <w:rsid w:val="003E7293"/>
    <w:rsid w:val="003E7FC5"/>
    <w:rsid w:val="003F0248"/>
    <w:rsid w:val="003F042E"/>
    <w:rsid w:val="003F06C8"/>
    <w:rsid w:val="003F0F4B"/>
    <w:rsid w:val="003F14F4"/>
    <w:rsid w:val="003F1D03"/>
    <w:rsid w:val="003F1EBF"/>
    <w:rsid w:val="003F236D"/>
    <w:rsid w:val="003F2E68"/>
    <w:rsid w:val="003F3589"/>
    <w:rsid w:val="003F35E6"/>
    <w:rsid w:val="003F35FB"/>
    <w:rsid w:val="003F38FE"/>
    <w:rsid w:val="003F40A4"/>
    <w:rsid w:val="003F4572"/>
    <w:rsid w:val="003F4590"/>
    <w:rsid w:val="003F4A3F"/>
    <w:rsid w:val="003F4C1F"/>
    <w:rsid w:val="003F5118"/>
    <w:rsid w:val="003F5E54"/>
    <w:rsid w:val="003F684E"/>
    <w:rsid w:val="003F6B73"/>
    <w:rsid w:val="003F6F2B"/>
    <w:rsid w:val="003F72C2"/>
    <w:rsid w:val="003F7E63"/>
    <w:rsid w:val="00401138"/>
    <w:rsid w:val="00401A40"/>
    <w:rsid w:val="00401EFB"/>
    <w:rsid w:val="004027B7"/>
    <w:rsid w:val="00402859"/>
    <w:rsid w:val="00402BF3"/>
    <w:rsid w:val="00402E4C"/>
    <w:rsid w:val="00402E5E"/>
    <w:rsid w:val="00405256"/>
    <w:rsid w:val="004057C4"/>
    <w:rsid w:val="00405932"/>
    <w:rsid w:val="0040709F"/>
    <w:rsid w:val="00407A1E"/>
    <w:rsid w:val="00407B60"/>
    <w:rsid w:val="00407D1A"/>
    <w:rsid w:val="004106D1"/>
    <w:rsid w:val="00411A09"/>
    <w:rsid w:val="004121A1"/>
    <w:rsid w:val="00413016"/>
    <w:rsid w:val="00413B2F"/>
    <w:rsid w:val="00414EF7"/>
    <w:rsid w:val="004155DF"/>
    <w:rsid w:val="00415873"/>
    <w:rsid w:val="00415B20"/>
    <w:rsid w:val="00416093"/>
    <w:rsid w:val="00416286"/>
    <w:rsid w:val="004164B3"/>
    <w:rsid w:val="00417804"/>
    <w:rsid w:val="00417E13"/>
    <w:rsid w:val="004208DA"/>
    <w:rsid w:val="00420A15"/>
    <w:rsid w:val="00420D10"/>
    <w:rsid w:val="0042103D"/>
    <w:rsid w:val="004216E1"/>
    <w:rsid w:val="00421C0F"/>
    <w:rsid w:val="00422B33"/>
    <w:rsid w:val="00422EFA"/>
    <w:rsid w:val="00423268"/>
    <w:rsid w:val="004236F3"/>
    <w:rsid w:val="00423D95"/>
    <w:rsid w:val="00423E88"/>
    <w:rsid w:val="0042566E"/>
    <w:rsid w:val="0042568B"/>
    <w:rsid w:val="004278E8"/>
    <w:rsid w:val="004300F1"/>
    <w:rsid w:val="0043053C"/>
    <w:rsid w:val="00430EFC"/>
    <w:rsid w:val="00431008"/>
    <w:rsid w:val="00431284"/>
    <w:rsid w:val="004313E0"/>
    <w:rsid w:val="00432B92"/>
    <w:rsid w:val="0043326F"/>
    <w:rsid w:val="00434398"/>
    <w:rsid w:val="00434647"/>
    <w:rsid w:val="004346BA"/>
    <w:rsid w:val="00434D14"/>
    <w:rsid w:val="00434F59"/>
    <w:rsid w:val="004352A1"/>
    <w:rsid w:val="00435311"/>
    <w:rsid w:val="00435514"/>
    <w:rsid w:val="0043563E"/>
    <w:rsid w:val="00436480"/>
    <w:rsid w:val="00436542"/>
    <w:rsid w:val="00436EF9"/>
    <w:rsid w:val="00440031"/>
    <w:rsid w:val="0044081B"/>
    <w:rsid w:val="00441341"/>
    <w:rsid w:val="00442FDF"/>
    <w:rsid w:val="004431EC"/>
    <w:rsid w:val="00444081"/>
    <w:rsid w:val="00444870"/>
    <w:rsid w:val="00445249"/>
    <w:rsid w:val="0044545B"/>
    <w:rsid w:val="004460A2"/>
    <w:rsid w:val="0044621B"/>
    <w:rsid w:val="004506C0"/>
    <w:rsid w:val="0045077F"/>
    <w:rsid w:val="00453094"/>
    <w:rsid w:val="00454B35"/>
    <w:rsid w:val="00454CDA"/>
    <w:rsid w:val="00455150"/>
    <w:rsid w:val="0045580B"/>
    <w:rsid w:val="00455BAB"/>
    <w:rsid w:val="0045687B"/>
    <w:rsid w:val="00456A14"/>
    <w:rsid w:val="00456D3A"/>
    <w:rsid w:val="00457A86"/>
    <w:rsid w:val="00457BC7"/>
    <w:rsid w:val="00460D69"/>
    <w:rsid w:val="00461645"/>
    <w:rsid w:val="00461D91"/>
    <w:rsid w:val="0046222E"/>
    <w:rsid w:val="00462864"/>
    <w:rsid w:val="00462A6A"/>
    <w:rsid w:val="00464A81"/>
    <w:rsid w:val="00464AA1"/>
    <w:rsid w:val="00464CD9"/>
    <w:rsid w:val="00464F55"/>
    <w:rsid w:val="00464FDA"/>
    <w:rsid w:val="00465154"/>
    <w:rsid w:val="004661A5"/>
    <w:rsid w:val="0046699F"/>
    <w:rsid w:val="00466A5B"/>
    <w:rsid w:val="0046723C"/>
    <w:rsid w:val="004677CC"/>
    <w:rsid w:val="0047012D"/>
    <w:rsid w:val="00471273"/>
    <w:rsid w:val="004712B7"/>
    <w:rsid w:val="00471481"/>
    <w:rsid w:val="00471626"/>
    <w:rsid w:val="00472122"/>
    <w:rsid w:val="00472575"/>
    <w:rsid w:val="004728F3"/>
    <w:rsid w:val="00472A9C"/>
    <w:rsid w:val="00473E92"/>
    <w:rsid w:val="004741C0"/>
    <w:rsid w:val="00474B61"/>
    <w:rsid w:val="0047611E"/>
    <w:rsid w:val="00476880"/>
    <w:rsid w:val="004769C8"/>
    <w:rsid w:val="00477FDA"/>
    <w:rsid w:val="00480339"/>
    <w:rsid w:val="004822DA"/>
    <w:rsid w:val="00483647"/>
    <w:rsid w:val="004848F5"/>
    <w:rsid w:val="00485A48"/>
    <w:rsid w:val="004875F4"/>
    <w:rsid w:val="00487D47"/>
    <w:rsid w:val="00487F45"/>
    <w:rsid w:val="004901C4"/>
    <w:rsid w:val="004902F8"/>
    <w:rsid w:val="00490F67"/>
    <w:rsid w:val="0049110F"/>
    <w:rsid w:val="0049153A"/>
    <w:rsid w:val="0049163A"/>
    <w:rsid w:val="00491C0A"/>
    <w:rsid w:val="0049222D"/>
    <w:rsid w:val="004929C8"/>
    <w:rsid w:val="00492D41"/>
    <w:rsid w:val="00493204"/>
    <w:rsid w:val="00493279"/>
    <w:rsid w:val="004944FF"/>
    <w:rsid w:val="004963D9"/>
    <w:rsid w:val="00496EC3"/>
    <w:rsid w:val="00497282"/>
    <w:rsid w:val="00497307"/>
    <w:rsid w:val="004973A0"/>
    <w:rsid w:val="00497B0D"/>
    <w:rsid w:val="00497E51"/>
    <w:rsid w:val="004A0127"/>
    <w:rsid w:val="004A12CC"/>
    <w:rsid w:val="004A141B"/>
    <w:rsid w:val="004A264E"/>
    <w:rsid w:val="004A26C7"/>
    <w:rsid w:val="004A3916"/>
    <w:rsid w:val="004A4BD2"/>
    <w:rsid w:val="004A4EA6"/>
    <w:rsid w:val="004A53A2"/>
    <w:rsid w:val="004A5518"/>
    <w:rsid w:val="004A5539"/>
    <w:rsid w:val="004A567A"/>
    <w:rsid w:val="004A569F"/>
    <w:rsid w:val="004A671B"/>
    <w:rsid w:val="004A70E3"/>
    <w:rsid w:val="004A75A0"/>
    <w:rsid w:val="004B036F"/>
    <w:rsid w:val="004B0C7D"/>
    <w:rsid w:val="004B0C91"/>
    <w:rsid w:val="004B0DBE"/>
    <w:rsid w:val="004B11C7"/>
    <w:rsid w:val="004B1484"/>
    <w:rsid w:val="004B1999"/>
    <w:rsid w:val="004B232D"/>
    <w:rsid w:val="004B2FC9"/>
    <w:rsid w:val="004B420F"/>
    <w:rsid w:val="004B4AC5"/>
    <w:rsid w:val="004B4BF9"/>
    <w:rsid w:val="004B62A5"/>
    <w:rsid w:val="004B6959"/>
    <w:rsid w:val="004B7695"/>
    <w:rsid w:val="004B7795"/>
    <w:rsid w:val="004B7B4D"/>
    <w:rsid w:val="004B7C58"/>
    <w:rsid w:val="004C18E6"/>
    <w:rsid w:val="004C19D2"/>
    <w:rsid w:val="004C2374"/>
    <w:rsid w:val="004C23C1"/>
    <w:rsid w:val="004C2B1E"/>
    <w:rsid w:val="004C3654"/>
    <w:rsid w:val="004C375E"/>
    <w:rsid w:val="004C396C"/>
    <w:rsid w:val="004C3C72"/>
    <w:rsid w:val="004C4E65"/>
    <w:rsid w:val="004C553B"/>
    <w:rsid w:val="004C5C6F"/>
    <w:rsid w:val="004C7996"/>
    <w:rsid w:val="004C7C9C"/>
    <w:rsid w:val="004C7D61"/>
    <w:rsid w:val="004D135C"/>
    <w:rsid w:val="004D16DC"/>
    <w:rsid w:val="004D2BC4"/>
    <w:rsid w:val="004D31A8"/>
    <w:rsid w:val="004D3461"/>
    <w:rsid w:val="004D37A9"/>
    <w:rsid w:val="004D3FB3"/>
    <w:rsid w:val="004D4172"/>
    <w:rsid w:val="004D4431"/>
    <w:rsid w:val="004D4832"/>
    <w:rsid w:val="004D5B63"/>
    <w:rsid w:val="004D6D4A"/>
    <w:rsid w:val="004D6FED"/>
    <w:rsid w:val="004E0990"/>
    <w:rsid w:val="004E1555"/>
    <w:rsid w:val="004E1884"/>
    <w:rsid w:val="004E1ECE"/>
    <w:rsid w:val="004E1F1D"/>
    <w:rsid w:val="004E242D"/>
    <w:rsid w:val="004E2702"/>
    <w:rsid w:val="004E3B39"/>
    <w:rsid w:val="004E3D3F"/>
    <w:rsid w:val="004E54B7"/>
    <w:rsid w:val="004E5924"/>
    <w:rsid w:val="004E5E72"/>
    <w:rsid w:val="004E6B05"/>
    <w:rsid w:val="004E6E68"/>
    <w:rsid w:val="004F03EC"/>
    <w:rsid w:val="004F06A1"/>
    <w:rsid w:val="004F0A31"/>
    <w:rsid w:val="004F1BC3"/>
    <w:rsid w:val="004F1C97"/>
    <w:rsid w:val="004F32A8"/>
    <w:rsid w:val="004F4780"/>
    <w:rsid w:val="004F4BFD"/>
    <w:rsid w:val="004F4FC9"/>
    <w:rsid w:val="004F50AD"/>
    <w:rsid w:val="004F5497"/>
    <w:rsid w:val="004F55F8"/>
    <w:rsid w:val="004F5A1C"/>
    <w:rsid w:val="004F6E2C"/>
    <w:rsid w:val="004F717B"/>
    <w:rsid w:val="004F73C5"/>
    <w:rsid w:val="004F7AA6"/>
    <w:rsid w:val="00500086"/>
    <w:rsid w:val="00500366"/>
    <w:rsid w:val="00500432"/>
    <w:rsid w:val="005016F3"/>
    <w:rsid w:val="0050180E"/>
    <w:rsid w:val="00501FB6"/>
    <w:rsid w:val="00501FD4"/>
    <w:rsid w:val="00502861"/>
    <w:rsid w:val="00502BE3"/>
    <w:rsid w:val="0050366F"/>
    <w:rsid w:val="00503795"/>
    <w:rsid w:val="0050429E"/>
    <w:rsid w:val="00505B60"/>
    <w:rsid w:val="0050623F"/>
    <w:rsid w:val="00506B55"/>
    <w:rsid w:val="00506C99"/>
    <w:rsid w:val="0051053E"/>
    <w:rsid w:val="00510AA5"/>
    <w:rsid w:val="00510F04"/>
    <w:rsid w:val="00512EED"/>
    <w:rsid w:val="005136BF"/>
    <w:rsid w:val="00513795"/>
    <w:rsid w:val="005145C7"/>
    <w:rsid w:val="005150FA"/>
    <w:rsid w:val="0051510C"/>
    <w:rsid w:val="005158C5"/>
    <w:rsid w:val="00516105"/>
    <w:rsid w:val="005164E0"/>
    <w:rsid w:val="00516E3B"/>
    <w:rsid w:val="005174DD"/>
    <w:rsid w:val="005176F7"/>
    <w:rsid w:val="00517A88"/>
    <w:rsid w:val="00521754"/>
    <w:rsid w:val="00521914"/>
    <w:rsid w:val="00521BD1"/>
    <w:rsid w:val="005237FF"/>
    <w:rsid w:val="005242CC"/>
    <w:rsid w:val="00524BD2"/>
    <w:rsid w:val="00524F60"/>
    <w:rsid w:val="00525EFF"/>
    <w:rsid w:val="005267D8"/>
    <w:rsid w:val="005274D3"/>
    <w:rsid w:val="00527DD8"/>
    <w:rsid w:val="00530B68"/>
    <w:rsid w:val="00531479"/>
    <w:rsid w:val="0053166E"/>
    <w:rsid w:val="0053190A"/>
    <w:rsid w:val="00532787"/>
    <w:rsid w:val="00532C99"/>
    <w:rsid w:val="00532DF4"/>
    <w:rsid w:val="00533B54"/>
    <w:rsid w:val="00533FFC"/>
    <w:rsid w:val="00534DF3"/>
    <w:rsid w:val="0053666D"/>
    <w:rsid w:val="00536675"/>
    <w:rsid w:val="005369A1"/>
    <w:rsid w:val="00536DB1"/>
    <w:rsid w:val="00536E80"/>
    <w:rsid w:val="00537BB6"/>
    <w:rsid w:val="00537C13"/>
    <w:rsid w:val="005400EB"/>
    <w:rsid w:val="005401A8"/>
    <w:rsid w:val="005408E9"/>
    <w:rsid w:val="00540D7C"/>
    <w:rsid w:val="0054235D"/>
    <w:rsid w:val="005425D2"/>
    <w:rsid w:val="005428DC"/>
    <w:rsid w:val="00543231"/>
    <w:rsid w:val="00543BDA"/>
    <w:rsid w:val="00543C84"/>
    <w:rsid w:val="00543D6A"/>
    <w:rsid w:val="00545436"/>
    <w:rsid w:val="00552A44"/>
    <w:rsid w:val="00552EF3"/>
    <w:rsid w:val="00553AD5"/>
    <w:rsid w:val="00553FDE"/>
    <w:rsid w:val="00555282"/>
    <w:rsid w:val="005552ED"/>
    <w:rsid w:val="005553AD"/>
    <w:rsid w:val="0055567B"/>
    <w:rsid w:val="00555C79"/>
    <w:rsid w:val="00556146"/>
    <w:rsid w:val="005562A0"/>
    <w:rsid w:val="00560182"/>
    <w:rsid w:val="00561998"/>
    <w:rsid w:val="00561E31"/>
    <w:rsid w:val="00562492"/>
    <w:rsid w:val="0056264A"/>
    <w:rsid w:val="0056365E"/>
    <w:rsid w:val="0056425A"/>
    <w:rsid w:val="005642F8"/>
    <w:rsid w:val="00566650"/>
    <w:rsid w:val="00566A3F"/>
    <w:rsid w:val="00566B51"/>
    <w:rsid w:val="00567305"/>
    <w:rsid w:val="0057045E"/>
    <w:rsid w:val="00570CA8"/>
    <w:rsid w:val="00570F83"/>
    <w:rsid w:val="0057132F"/>
    <w:rsid w:val="005715C5"/>
    <w:rsid w:val="00571979"/>
    <w:rsid w:val="005719A3"/>
    <w:rsid w:val="005729CE"/>
    <w:rsid w:val="00572E37"/>
    <w:rsid w:val="00572EF4"/>
    <w:rsid w:val="00572F29"/>
    <w:rsid w:val="00573467"/>
    <w:rsid w:val="00573BB4"/>
    <w:rsid w:val="00573EA7"/>
    <w:rsid w:val="005745AB"/>
    <w:rsid w:val="005761AB"/>
    <w:rsid w:val="00576708"/>
    <w:rsid w:val="00577158"/>
    <w:rsid w:val="00580878"/>
    <w:rsid w:val="005809FE"/>
    <w:rsid w:val="00580EC5"/>
    <w:rsid w:val="005821AD"/>
    <w:rsid w:val="00585259"/>
    <w:rsid w:val="005857B7"/>
    <w:rsid w:val="0058585F"/>
    <w:rsid w:val="005874A1"/>
    <w:rsid w:val="00587593"/>
    <w:rsid w:val="005879FD"/>
    <w:rsid w:val="00587AF0"/>
    <w:rsid w:val="0059066E"/>
    <w:rsid w:val="00590788"/>
    <w:rsid w:val="00590D89"/>
    <w:rsid w:val="00592522"/>
    <w:rsid w:val="005928C8"/>
    <w:rsid w:val="00593E40"/>
    <w:rsid w:val="005948FB"/>
    <w:rsid w:val="00594BDC"/>
    <w:rsid w:val="0059583B"/>
    <w:rsid w:val="0059590F"/>
    <w:rsid w:val="00596535"/>
    <w:rsid w:val="00596A67"/>
    <w:rsid w:val="00596C43"/>
    <w:rsid w:val="00597442"/>
    <w:rsid w:val="005A33D7"/>
    <w:rsid w:val="005A3D22"/>
    <w:rsid w:val="005A4AD3"/>
    <w:rsid w:val="005A4B90"/>
    <w:rsid w:val="005A5FFD"/>
    <w:rsid w:val="005A726E"/>
    <w:rsid w:val="005A74FF"/>
    <w:rsid w:val="005A7C79"/>
    <w:rsid w:val="005A7F58"/>
    <w:rsid w:val="005B0257"/>
    <w:rsid w:val="005B259B"/>
    <w:rsid w:val="005B3DA6"/>
    <w:rsid w:val="005B4DC9"/>
    <w:rsid w:val="005B5258"/>
    <w:rsid w:val="005B5CB5"/>
    <w:rsid w:val="005B6175"/>
    <w:rsid w:val="005B64DC"/>
    <w:rsid w:val="005B70C8"/>
    <w:rsid w:val="005B7495"/>
    <w:rsid w:val="005B7B09"/>
    <w:rsid w:val="005C2337"/>
    <w:rsid w:val="005C2340"/>
    <w:rsid w:val="005C2ECD"/>
    <w:rsid w:val="005C33F2"/>
    <w:rsid w:val="005C4DEF"/>
    <w:rsid w:val="005C4F2E"/>
    <w:rsid w:val="005C579F"/>
    <w:rsid w:val="005C5F34"/>
    <w:rsid w:val="005C6651"/>
    <w:rsid w:val="005C69EE"/>
    <w:rsid w:val="005C6F80"/>
    <w:rsid w:val="005C7307"/>
    <w:rsid w:val="005C734D"/>
    <w:rsid w:val="005C7EEE"/>
    <w:rsid w:val="005D0400"/>
    <w:rsid w:val="005D0A0B"/>
    <w:rsid w:val="005D147F"/>
    <w:rsid w:val="005D1D36"/>
    <w:rsid w:val="005D5050"/>
    <w:rsid w:val="005D5314"/>
    <w:rsid w:val="005D608F"/>
    <w:rsid w:val="005D6723"/>
    <w:rsid w:val="005D6E23"/>
    <w:rsid w:val="005D705F"/>
    <w:rsid w:val="005D70BA"/>
    <w:rsid w:val="005D775C"/>
    <w:rsid w:val="005D7A82"/>
    <w:rsid w:val="005E136C"/>
    <w:rsid w:val="005E14E4"/>
    <w:rsid w:val="005E3027"/>
    <w:rsid w:val="005E4485"/>
    <w:rsid w:val="005E55D1"/>
    <w:rsid w:val="005E5EEA"/>
    <w:rsid w:val="005E6039"/>
    <w:rsid w:val="005E621F"/>
    <w:rsid w:val="005E7342"/>
    <w:rsid w:val="005E785F"/>
    <w:rsid w:val="005E7C4F"/>
    <w:rsid w:val="005E7F18"/>
    <w:rsid w:val="005F0823"/>
    <w:rsid w:val="005F0EB7"/>
    <w:rsid w:val="005F1AB6"/>
    <w:rsid w:val="005F2377"/>
    <w:rsid w:val="005F3002"/>
    <w:rsid w:val="005F3B6D"/>
    <w:rsid w:val="005F3E3D"/>
    <w:rsid w:val="005F43FE"/>
    <w:rsid w:val="005F49C8"/>
    <w:rsid w:val="005F53F2"/>
    <w:rsid w:val="005F6676"/>
    <w:rsid w:val="005F6825"/>
    <w:rsid w:val="005F68FE"/>
    <w:rsid w:val="005F6F7C"/>
    <w:rsid w:val="005F7636"/>
    <w:rsid w:val="005F7A39"/>
    <w:rsid w:val="0060061E"/>
    <w:rsid w:val="00600B42"/>
    <w:rsid w:val="006011D0"/>
    <w:rsid w:val="0060156D"/>
    <w:rsid w:val="006016A0"/>
    <w:rsid w:val="00602DF1"/>
    <w:rsid w:val="0060390C"/>
    <w:rsid w:val="00603FCC"/>
    <w:rsid w:val="00604ABC"/>
    <w:rsid w:val="0060520C"/>
    <w:rsid w:val="00606EF0"/>
    <w:rsid w:val="006110B3"/>
    <w:rsid w:val="00611B51"/>
    <w:rsid w:val="00612BEA"/>
    <w:rsid w:val="0061364A"/>
    <w:rsid w:val="00613BEC"/>
    <w:rsid w:val="00614B26"/>
    <w:rsid w:val="006153D8"/>
    <w:rsid w:val="00615867"/>
    <w:rsid w:val="0061603B"/>
    <w:rsid w:val="006162C7"/>
    <w:rsid w:val="00616F87"/>
    <w:rsid w:val="006171B0"/>
    <w:rsid w:val="0061747D"/>
    <w:rsid w:val="00617673"/>
    <w:rsid w:val="00617715"/>
    <w:rsid w:val="0062060E"/>
    <w:rsid w:val="0062137C"/>
    <w:rsid w:val="00621618"/>
    <w:rsid w:val="00621D3A"/>
    <w:rsid w:val="00621E60"/>
    <w:rsid w:val="00622E3F"/>
    <w:rsid w:val="00623F3C"/>
    <w:rsid w:val="00624211"/>
    <w:rsid w:val="00624424"/>
    <w:rsid w:val="006249F0"/>
    <w:rsid w:val="00625E38"/>
    <w:rsid w:val="00626970"/>
    <w:rsid w:val="00626E08"/>
    <w:rsid w:val="00630568"/>
    <w:rsid w:val="0063060A"/>
    <w:rsid w:val="00630723"/>
    <w:rsid w:val="006327ED"/>
    <w:rsid w:val="00632FE7"/>
    <w:rsid w:val="0063314A"/>
    <w:rsid w:val="006338D8"/>
    <w:rsid w:val="00633965"/>
    <w:rsid w:val="00633B0B"/>
    <w:rsid w:val="006343EE"/>
    <w:rsid w:val="00634B54"/>
    <w:rsid w:val="00635932"/>
    <w:rsid w:val="00635C3B"/>
    <w:rsid w:val="006361D2"/>
    <w:rsid w:val="00636A89"/>
    <w:rsid w:val="00637A35"/>
    <w:rsid w:val="00640AE6"/>
    <w:rsid w:val="00640CAC"/>
    <w:rsid w:val="006411E3"/>
    <w:rsid w:val="0064206B"/>
    <w:rsid w:val="006426E5"/>
    <w:rsid w:val="0064360C"/>
    <w:rsid w:val="00643ED8"/>
    <w:rsid w:val="006441D9"/>
    <w:rsid w:val="00644474"/>
    <w:rsid w:val="006466A4"/>
    <w:rsid w:val="00646822"/>
    <w:rsid w:val="006479D7"/>
    <w:rsid w:val="00647CD8"/>
    <w:rsid w:val="00647E9E"/>
    <w:rsid w:val="0065033E"/>
    <w:rsid w:val="0065106E"/>
    <w:rsid w:val="00651933"/>
    <w:rsid w:val="00651BCC"/>
    <w:rsid w:val="00651D52"/>
    <w:rsid w:val="00652C89"/>
    <w:rsid w:val="00652D6C"/>
    <w:rsid w:val="00653BEA"/>
    <w:rsid w:val="006543EC"/>
    <w:rsid w:val="0065462A"/>
    <w:rsid w:val="0065505F"/>
    <w:rsid w:val="006561F7"/>
    <w:rsid w:val="00656EF1"/>
    <w:rsid w:val="00657D91"/>
    <w:rsid w:val="00660448"/>
    <w:rsid w:val="006605C1"/>
    <w:rsid w:val="006605E2"/>
    <w:rsid w:val="00660B8F"/>
    <w:rsid w:val="00660DA7"/>
    <w:rsid w:val="00662383"/>
    <w:rsid w:val="00662B13"/>
    <w:rsid w:val="00662E7F"/>
    <w:rsid w:val="006630CE"/>
    <w:rsid w:val="00663D2B"/>
    <w:rsid w:val="0066403D"/>
    <w:rsid w:val="006649CD"/>
    <w:rsid w:val="00665080"/>
    <w:rsid w:val="006650AC"/>
    <w:rsid w:val="006669F7"/>
    <w:rsid w:val="0066715C"/>
    <w:rsid w:val="00667592"/>
    <w:rsid w:val="006677CA"/>
    <w:rsid w:val="006715EC"/>
    <w:rsid w:val="00671F84"/>
    <w:rsid w:val="0067210A"/>
    <w:rsid w:val="006724B7"/>
    <w:rsid w:val="0067397B"/>
    <w:rsid w:val="0067494C"/>
    <w:rsid w:val="00674CC1"/>
    <w:rsid w:val="006754EB"/>
    <w:rsid w:val="0067786E"/>
    <w:rsid w:val="00680D43"/>
    <w:rsid w:val="006827F2"/>
    <w:rsid w:val="00682A4D"/>
    <w:rsid w:val="00682D3D"/>
    <w:rsid w:val="00683551"/>
    <w:rsid w:val="00683BDA"/>
    <w:rsid w:val="006848E0"/>
    <w:rsid w:val="006850ED"/>
    <w:rsid w:val="00686BD5"/>
    <w:rsid w:val="00687069"/>
    <w:rsid w:val="00687318"/>
    <w:rsid w:val="00687473"/>
    <w:rsid w:val="00690162"/>
    <w:rsid w:val="006907BD"/>
    <w:rsid w:val="006907CE"/>
    <w:rsid w:val="0069135E"/>
    <w:rsid w:val="00691BE3"/>
    <w:rsid w:val="00691EBB"/>
    <w:rsid w:val="0069207B"/>
    <w:rsid w:val="00692904"/>
    <w:rsid w:val="006929A3"/>
    <w:rsid w:val="00692E67"/>
    <w:rsid w:val="00693578"/>
    <w:rsid w:val="00693A5F"/>
    <w:rsid w:val="00694120"/>
    <w:rsid w:val="00694D32"/>
    <w:rsid w:val="00695949"/>
    <w:rsid w:val="006966DB"/>
    <w:rsid w:val="00697205"/>
    <w:rsid w:val="00697A35"/>
    <w:rsid w:val="006A08D1"/>
    <w:rsid w:val="006A2047"/>
    <w:rsid w:val="006A35BA"/>
    <w:rsid w:val="006A3693"/>
    <w:rsid w:val="006A4CDE"/>
    <w:rsid w:val="006A4FDB"/>
    <w:rsid w:val="006A680F"/>
    <w:rsid w:val="006A7C4B"/>
    <w:rsid w:val="006B048C"/>
    <w:rsid w:val="006B1DD4"/>
    <w:rsid w:val="006B2B78"/>
    <w:rsid w:val="006B3327"/>
    <w:rsid w:val="006B4DF5"/>
    <w:rsid w:val="006B5398"/>
    <w:rsid w:val="006B5C66"/>
    <w:rsid w:val="006B6B74"/>
    <w:rsid w:val="006B6D8F"/>
    <w:rsid w:val="006B6FD8"/>
    <w:rsid w:val="006B7A21"/>
    <w:rsid w:val="006C1D72"/>
    <w:rsid w:val="006C3C7A"/>
    <w:rsid w:val="006C4507"/>
    <w:rsid w:val="006C49E1"/>
    <w:rsid w:val="006C504E"/>
    <w:rsid w:val="006C536D"/>
    <w:rsid w:val="006C5797"/>
    <w:rsid w:val="006C651A"/>
    <w:rsid w:val="006C6DB2"/>
    <w:rsid w:val="006C7598"/>
    <w:rsid w:val="006C7BE7"/>
    <w:rsid w:val="006C7E2B"/>
    <w:rsid w:val="006C7EE7"/>
    <w:rsid w:val="006D01D6"/>
    <w:rsid w:val="006D030F"/>
    <w:rsid w:val="006D1483"/>
    <w:rsid w:val="006D18AF"/>
    <w:rsid w:val="006D1A4E"/>
    <w:rsid w:val="006D218C"/>
    <w:rsid w:val="006D239F"/>
    <w:rsid w:val="006D3460"/>
    <w:rsid w:val="006D3811"/>
    <w:rsid w:val="006D395E"/>
    <w:rsid w:val="006D3C85"/>
    <w:rsid w:val="006D3CD7"/>
    <w:rsid w:val="006D3E98"/>
    <w:rsid w:val="006D4B7C"/>
    <w:rsid w:val="006D4ED1"/>
    <w:rsid w:val="006D51AA"/>
    <w:rsid w:val="006D5482"/>
    <w:rsid w:val="006D5899"/>
    <w:rsid w:val="006D5FB0"/>
    <w:rsid w:val="006D622B"/>
    <w:rsid w:val="006D6567"/>
    <w:rsid w:val="006D7350"/>
    <w:rsid w:val="006E0238"/>
    <w:rsid w:val="006E0B56"/>
    <w:rsid w:val="006E0FEC"/>
    <w:rsid w:val="006E12D5"/>
    <w:rsid w:val="006E1CFA"/>
    <w:rsid w:val="006E2AD8"/>
    <w:rsid w:val="006E3931"/>
    <w:rsid w:val="006E5364"/>
    <w:rsid w:val="006E5539"/>
    <w:rsid w:val="006E5CF6"/>
    <w:rsid w:val="006E6A1F"/>
    <w:rsid w:val="006E6AFC"/>
    <w:rsid w:val="006E6BE9"/>
    <w:rsid w:val="006E6DA7"/>
    <w:rsid w:val="006E76B3"/>
    <w:rsid w:val="006E7D08"/>
    <w:rsid w:val="006F0014"/>
    <w:rsid w:val="006F0770"/>
    <w:rsid w:val="006F0D05"/>
    <w:rsid w:val="006F121A"/>
    <w:rsid w:val="006F1A76"/>
    <w:rsid w:val="006F1BAF"/>
    <w:rsid w:val="006F2646"/>
    <w:rsid w:val="006F267D"/>
    <w:rsid w:val="006F2CE6"/>
    <w:rsid w:val="006F31D8"/>
    <w:rsid w:val="006F3D98"/>
    <w:rsid w:val="006F414C"/>
    <w:rsid w:val="006F6075"/>
    <w:rsid w:val="006F69D0"/>
    <w:rsid w:val="006F6AC0"/>
    <w:rsid w:val="006F7C29"/>
    <w:rsid w:val="00700C4E"/>
    <w:rsid w:val="00700E2B"/>
    <w:rsid w:val="00703183"/>
    <w:rsid w:val="0070428C"/>
    <w:rsid w:val="007047B7"/>
    <w:rsid w:val="00704E1D"/>
    <w:rsid w:val="00704E26"/>
    <w:rsid w:val="00705309"/>
    <w:rsid w:val="00705626"/>
    <w:rsid w:val="00705A7B"/>
    <w:rsid w:val="00705B8C"/>
    <w:rsid w:val="00705FF0"/>
    <w:rsid w:val="007066B2"/>
    <w:rsid w:val="0070691D"/>
    <w:rsid w:val="007075EA"/>
    <w:rsid w:val="00707BC9"/>
    <w:rsid w:val="00707D8C"/>
    <w:rsid w:val="00707F8D"/>
    <w:rsid w:val="00710146"/>
    <w:rsid w:val="007109C9"/>
    <w:rsid w:val="00710B98"/>
    <w:rsid w:val="00710EC9"/>
    <w:rsid w:val="00712409"/>
    <w:rsid w:val="007127BD"/>
    <w:rsid w:val="0071337D"/>
    <w:rsid w:val="00713CB6"/>
    <w:rsid w:val="0071403C"/>
    <w:rsid w:val="00714AA8"/>
    <w:rsid w:val="00714F0C"/>
    <w:rsid w:val="00714F0E"/>
    <w:rsid w:val="007155F7"/>
    <w:rsid w:val="00715990"/>
    <w:rsid w:val="00715B10"/>
    <w:rsid w:val="0071720D"/>
    <w:rsid w:val="0072055D"/>
    <w:rsid w:val="007205BE"/>
    <w:rsid w:val="00720836"/>
    <w:rsid w:val="00720C82"/>
    <w:rsid w:val="00720ED1"/>
    <w:rsid w:val="007230D1"/>
    <w:rsid w:val="00725A64"/>
    <w:rsid w:val="00726817"/>
    <w:rsid w:val="0072698F"/>
    <w:rsid w:val="00726CB4"/>
    <w:rsid w:val="00727912"/>
    <w:rsid w:val="00730A25"/>
    <w:rsid w:val="00730D57"/>
    <w:rsid w:val="00732086"/>
    <w:rsid w:val="007320B3"/>
    <w:rsid w:val="00732943"/>
    <w:rsid w:val="00733296"/>
    <w:rsid w:val="007332C1"/>
    <w:rsid w:val="0073342C"/>
    <w:rsid w:val="00733989"/>
    <w:rsid w:val="00733CD6"/>
    <w:rsid w:val="00734434"/>
    <w:rsid w:val="00734960"/>
    <w:rsid w:val="00734DDE"/>
    <w:rsid w:val="007368C3"/>
    <w:rsid w:val="00737041"/>
    <w:rsid w:val="0073740F"/>
    <w:rsid w:val="007403A3"/>
    <w:rsid w:val="007405EB"/>
    <w:rsid w:val="00741298"/>
    <w:rsid w:val="00741A60"/>
    <w:rsid w:val="00741A88"/>
    <w:rsid w:val="00741D52"/>
    <w:rsid w:val="00742315"/>
    <w:rsid w:val="00742ADA"/>
    <w:rsid w:val="00742B78"/>
    <w:rsid w:val="00743B96"/>
    <w:rsid w:val="0074502C"/>
    <w:rsid w:val="007455DD"/>
    <w:rsid w:val="00745C8C"/>
    <w:rsid w:val="00745D8E"/>
    <w:rsid w:val="00745DCD"/>
    <w:rsid w:val="00746BC0"/>
    <w:rsid w:val="00746BC2"/>
    <w:rsid w:val="00747091"/>
    <w:rsid w:val="00747E46"/>
    <w:rsid w:val="0075069C"/>
    <w:rsid w:val="007510C4"/>
    <w:rsid w:val="00751236"/>
    <w:rsid w:val="00751727"/>
    <w:rsid w:val="0075420F"/>
    <w:rsid w:val="0075455E"/>
    <w:rsid w:val="00754FF2"/>
    <w:rsid w:val="007552CA"/>
    <w:rsid w:val="00755356"/>
    <w:rsid w:val="00756DE3"/>
    <w:rsid w:val="00760B4F"/>
    <w:rsid w:val="00760C54"/>
    <w:rsid w:val="00760DC1"/>
    <w:rsid w:val="007622EA"/>
    <w:rsid w:val="007622F6"/>
    <w:rsid w:val="00762A9E"/>
    <w:rsid w:val="00762C00"/>
    <w:rsid w:val="007633A7"/>
    <w:rsid w:val="007639D5"/>
    <w:rsid w:val="007650A7"/>
    <w:rsid w:val="0076526A"/>
    <w:rsid w:val="00765380"/>
    <w:rsid w:val="007659E4"/>
    <w:rsid w:val="007662E1"/>
    <w:rsid w:val="007702D7"/>
    <w:rsid w:val="0077064D"/>
    <w:rsid w:val="007709E9"/>
    <w:rsid w:val="00771205"/>
    <w:rsid w:val="00771283"/>
    <w:rsid w:val="0077139A"/>
    <w:rsid w:val="00771420"/>
    <w:rsid w:val="0077213E"/>
    <w:rsid w:val="0077233F"/>
    <w:rsid w:val="007737E1"/>
    <w:rsid w:val="00773844"/>
    <w:rsid w:val="00773ABA"/>
    <w:rsid w:val="00773DF6"/>
    <w:rsid w:val="00774284"/>
    <w:rsid w:val="00775A42"/>
    <w:rsid w:val="00776B94"/>
    <w:rsid w:val="00777ADA"/>
    <w:rsid w:val="0078001E"/>
    <w:rsid w:val="00780C4C"/>
    <w:rsid w:val="00781602"/>
    <w:rsid w:val="0078196E"/>
    <w:rsid w:val="007823F4"/>
    <w:rsid w:val="007831D5"/>
    <w:rsid w:val="0078359B"/>
    <w:rsid w:val="007866AD"/>
    <w:rsid w:val="0078688A"/>
    <w:rsid w:val="00786D0C"/>
    <w:rsid w:val="00786F46"/>
    <w:rsid w:val="007873B3"/>
    <w:rsid w:val="00787605"/>
    <w:rsid w:val="0079000C"/>
    <w:rsid w:val="00791303"/>
    <w:rsid w:val="00791379"/>
    <w:rsid w:val="00791EF3"/>
    <w:rsid w:val="007922AE"/>
    <w:rsid w:val="00792BDD"/>
    <w:rsid w:val="00793206"/>
    <w:rsid w:val="007940E3"/>
    <w:rsid w:val="007941E6"/>
    <w:rsid w:val="0079425A"/>
    <w:rsid w:val="007948FA"/>
    <w:rsid w:val="00795BCF"/>
    <w:rsid w:val="00797923"/>
    <w:rsid w:val="007A08C5"/>
    <w:rsid w:val="007A0964"/>
    <w:rsid w:val="007A1973"/>
    <w:rsid w:val="007A24E5"/>
    <w:rsid w:val="007A4064"/>
    <w:rsid w:val="007A4330"/>
    <w:rsid w:val="007A5278"/>
    <w:rsid w:val="007A5C30"/>
    <w:rsid w:val="007A6ED7"/>
    <w:rsid w:val="007B0FED"/>
    <w:rsid w:val="007B115B"/>
    <w:rsid w:val="007B11D1"/>
    <w:rsid w:val="007B162E"/>
    <w:rsid w:val="007B21E5"/>
    <w:rsid w:val="007B2325"/>
    <w:rsid w:val="007B2A1A"/>
    <w:rsid w:val="007B4145"/>
    <w:rsid w:val="007B43D3"/>
    <w:rsid w:val="007B4555"/>
    <w:rsid w:val="007B4DF2"/>
    <w:rsid w:val="007B4EF1"/>
    <w:rsid w:val="007B54F5"/>
    <w:rsid w:val="007B5845"/>
    <w:rsid w:val="007B5F33"/>
    <w:rsid w:val="007B5FC5"/>
    <w:rsid w:val="007B7AF1"/>
    <w:rsid w:val="007C02CE"/>
    <w:rsid w:val="007C0491"/>
    <w:rsid w:val="007C1510"/>
    <w:rsid w:val="007C1867"/>
    <w:rsid w:val="007C31CB"/>
    <w:rsid w:val="007C31D7"/>
    <w:rsid w:val="007C3255"/>
    <w:rsid w:val="007C41C3"/>
    <w:rsid w:val="007C4584"/>
    <w:rsid w:val="007C4AE3"/>
    <w:rsid w:val="007C4C48"/>
    <w:rsid w:val="007C5696"/>
    <w:rsid w:val="007C5BF4"/>
    <w:rsid w:val="007C67D0"/>
    <w:rsid w:val="007C6B54"/>
    <w:rsid w:val="007C7003"/>
    <w:rsid w:val="007D013F"/>
    <w:rsid w:val="007D0597"/>
    <w:rsid w:val="007D0825"/>
    <w:rsid w:val="007D0B1E"/>
    <w:rsid w:val="007D28D5"/>
    <w:rsid w:val="007D32EF"/>
    <w:rsid w:val="007D3B20"/>
    <w:rsid w:val="007D41F1"/>
    <w:rsid w:val="007D4F5C"/>
    <w:rsid w:val="007D68CC"/>
    <w:rsid w:val="007D708C"/>
    <w:rsid w:val="007D74FF"/>
    <w:rsid w:val="007E0C6B"/>
    <w:rsid w:val="007E0D48"/>
    <w:rsid w:val="007E1330"/>
    <w:rsid w:val="007E17FB"/>
    <w:rsid w:val="007E1AA0"/>
    <w:rsid w:val="007E1FA4"/>
    <w:rsid w:val="007E22BA"/>
    <w:rsid w:val="007E33B1"/>
    <w:rsid w:val="007E3BFE"/>
    <w:rsid w:val="007E504C"/>
    <w:rsid w:val="007E5C35"/>
    <w:rsid w:val="007E7291"/>
    <w:rsid w:val="007F1044"/>
    <w:rsid w:val="007F1578"/>
    <w:rsid w:val="007F1EF9"/>
    <w:rsid w:val="007F2F1C"/>
    <w:rsid w:val="007F2F77"/>
    <w:rsid w:val="007F3696"/>
    <w:rsid w:val="007F3DB9"/>
    <w:rsid w:val="007F479A"/>
    <w:rsid w:val="007F4838"/>
    <w:rsid w:val="007F4BCA"/>
    <w:rsid w:val="007F4D67"/>
    <w:rsid w:val="007F4E7B"/>
    <w:rsid w:val="007F55A3"/>
    <w:rsid w:val="007F56D4"/>
    <w:rsid w:val="007F5786"/>
    <w:rsid w:val="007F674B"/>
    <w:rsid w:val="007F6BD9"/>
    <w:rsid w:val="007F7324"/>
    <w:rsid w:val="007F781F"/>
    <w:rsid w:val="008007C5"/>
    <w:rsid w:val="008017A9"/>
    <w:rsid w:val="00801EBE"/>
    <w:rsid w:val="00802A61"/>
    <w:rsid w:val="008032B8"/>
    <w:rsid w:val="008032F7"/>
    <w:rsid w:val="008035CA"/>
    <w:rsid w:val="008038BC"/>
    <w:rsid w:val="008039E8"/>
    <w:rsid w:val="00803AC3"/>
    <w:rsid w:val="00804259"/>
    <w:rsid w:val="00806A0F"/>
    <w:rsid w:val="00807022"/>
    <w:rsid w:val="008075D5"/>
    <w:rsid w:val="0081147B"/>
    <w:rsid w:val="00813017"/>
    <w:rsid w:val="00813069"/>
    <w:rsid w:val="008136D9"/>
    <w:rsid w:val="008138FA"/>
    <w:rsid w:val="00813A43"/>
    <w:rsid w:val="00813EE2"/>
    <w:rsid w:val="008146C8"/>
    <w:rsid w:val="0081498A"/>
    <w:rsid w:val="00814E93"/>
    <w:rsid w:val="00814F24"/>
    <w:rsid w:val="00815813"/>
    <w:rsid w:val="00815C18"/>
    <w:rsid w:val="00816600"/>
    <w:rsid w:val="0081733E"/>
    <w:rsid w:val="008179AA"/>
    <w:rsid w:val="00817CDB"/>
    <w:rsid w:val="008209D7"/>
    <w:rsid w:val="0082112C"/>
    <w:rsid w:val="0082151E"/>
    <w:rsid w:val="008225FB"/>
    <w:rsid w:val="008227FF"/>
    <w:rsid w:val="008229F6"/>
    <w:rsid w:val="00822A39"/>
    <w:rsid w:val="00822B7E"/>
    <w:rsid w:val="00822CFF"/>
    <w:rsid w:val="008230D5"/>
    <w:rsid w:val="008233A5"/>
    <w:rsid w:val="008240EA"/>
    <w:rsid w:val="00824155"/>
    <w:rsid w:val="00824DE9"/>
    <w:rsid w:val="00824F2E"/>
    <w:rsid w:val="00825690"/>
    <w:rsid w:val="00825D86"/>
    <w:rsid w:val="008265B7"/>
    <w:rsid w:val="0082688B"/>
    <w:rsid w:val="00826B4C"/>
    <w:rsid w:val="00826FF9"/>
    <w:rsid w:val="00830145"/>
    <w:rsid w:val="00830A35"/>
    <w:rsid w:val="008318F5"/>
    <w:rsid w:val="00831A78"/>
    <w:rsid w:val="008321CB"/>
    <w:rsid w:val="008339E8"/>
    <w:rsid w:val="008340AA"/>
    <w:rsid w:val="00835C44"/>
    <w:rsid w:val="00835CAC"/>
    <w:rsid w:val="00835F4C"/>
    <w:rsid w:val="00837175"/>
    <w:rsid w:val="00837592"/>
    <w:rsid w:val="00841719"/>
    <w:rsid w:val="00841A80"/>
    <w:rsid w:val="008422A0"/>
    <w:rsid w:val="00842932"/>
    <w:rsid w:val="0084293A"/>
    <w:rsid w:val="008433E2"/>
    <w:rsid w:val="00843919"/>
    <w:rsid w:val="008459BA"/>
    <w:rsid w:val="0084672B"/>
    <w:rsid w:val="00847131"/>
    <w:rsid w:val="00847426"/>
    <w:rsid w:val="00847D05"/>
    <w:rsid w:val="00850509"/>
    <w:rsid w:val="00850A8E"/>
    <w:rsid w:val="00850D08"/>
    <w:rsid w:val="00850D2F"/>
    <w:rsid w:val="00851FC8"/>
    <w:rsid w:val="00852709"/>
    <w:rsid w:val="00852C5F"/>
    <w:rsid w:val="00853BC2"/>
    <w:rsid w:val="0085475B"/>
    <w:rsid w:val="00854E33"/>
    <w:rsid w:val="00854F5A"/>
    <w:rsid w:val="00855952"/>
    <w:rsid w:val="00856D61"/>
    <w:rsid w:val="00857A6E"/>
    <w:rsid w:val="008602A1"/>
    <w:rsid w:val="008613A7"/>
    <w:rsid w:val="00863A45"/>
    <w:rsid w:val="00864C8C"/>
    <w:rsid w:val="0086510D"/>
    <w:rsid w:val="00865456"/>
    <w:rsid w:val="0086617A"/>
    <w:rsid w:val="00866642"/>
    <w:rsid w:val="0086679C"/>
    <w:rsid w:val="00866BC3"/>
    <w:rsid w:val="00866DBE"/>
    <w:rsid w:val="008671F4"/>
    <w:rsid w:val="00867CF8"/>
    <w:rsid w:val="00870019"/>
    <w:rsid w:val="008701DA"/>
    <w:rsid w:val="00870D3C"/>
    <w:rsid w:val="00871475"/>
    <w:rsid w:val="00871A91"/>
    <w:rsid w:val="00871FCE"/>
    <w:rsid w:val="00872326"/>
    <w:rsid w:val="00872414"/>
    <w:rsid w:val="00872B6D"/>
    <w:rsid w:val="00874D53"/>
    <w:rsid w:val="00876003"/>
    <w:rsid w:val="0087620D"/>
    <w:rsid w:val="00876B81"/>
    <w:rsid w:val="00876B92"/>
    <w:rsid w:val="00876E8B"/>
    <w:rsid w:val="00877B05"/>
    <w:rsid w:val="0088101E"/>
    <w:rsid w:val="00881B6F"/>
    <w:rsid w:val="0088219A"/>
    <w:rsid w:val="00882593"/>
    <w:rsid w:val="00882E9F"/>
    <w:rsid w:val="00883B09"/>
    <w:rsid w:val="00884831"/>
    <w:rsid w:val="0088507D"/>
    <w:rsid w:val="008852F1"/>
    <w:rsid w:val="00885733"/>
    <w:rsid w:val="00886152"/>
    <w:rsid w:val="00886183"/>
    <w:rsid w:val="00887412"/>
    <w:rsid w:val="008876BD"/>
    <w:rsid w:val="00890697"/>
    <w:rsid w:val="00890978"/>
    <w:rsid w:val="008918BA"/>
    <w:rsid w:val="00892389"/>
    <w:rsid w:val="008940D5"/>
    <w:rsid w:val="00895134"/>
    <w:rsid w:val="00895FC8"/>
    <w:rsid w:val="0089674C"/>
    <w:rsid w:val="008973AE"/>
    <w:rsid w:val="00897461"/>
    <w:rsid w:val="008977C9"/>
    <w:rsid w:val="008A0457"/>
    <w:rsid w:val="008A04EF"/>
    <w:rsid w:val="008A1329"/>
    <w:rsid w:val="008A13B5"/>
    <w:rsid w:val="008A1C73"/>
    <w:rsid w:val="008A1FDA"/>
    <w:rsid w:val="008A2BBB"/>
    <w:rsid w:val="008A2CCE"/>
    <w:rsid w:val="008A470F"/>
    <w:rsid w:val="008A4744"/>
    <w:rsid w:val="008A54CA"/>
    <w:rsid w:val="008A56B4"/>
    <w:rsid w:val="008A5F1A"/>
    <w:rsid w:val="008A70BF"/>
    <w:rsid w:val="008A72D5"/>
    <w:rsid w:val="008A74E6"/>
    <w:rsid w:val="008A7F86"/>
    <w:rsid w:val="008B067D"/>
    <w:rsid w:val="008B24CA"/>
    <w:rsid w:val="008B2C5D"/>
    <w:rsid w:val="008B2DB1"/>
    <w:rsid w:val="008B3606"/>
    <w:rsid w:val="008B39B6"/>
    <w:rsid w:val="008B416A"/>
    <w:rsid w:val="008B4629"/>
    <w:rsid w:val="008B47F5"/>
    <w:rsid w:val="008B48C3"/>
    <w:rsid w:val="008B4C32"/>
    <w:rsid w:val="008B4D50"/>
    <w:rsid w:val="008B6263"/>
    <w:rsid w:val="008B73FC"/>
    <w:rsid w:val="008C007C"/>
    <w:rsid w:val="008C0E05"/>
    <w:rsid w:val="008C15E7"/>
    <w:rsid w:val="008C16DC"/>
    <w:rsid w:val="008C1C1E"/>
    <w:rsid w:val="008C1E8E"/>
    <w:rsid w:val="008C2655"/>
    <w:rsid w:val="008C5E9E"/>
    <w:rsid w:val="008D03C6"/>
    <w:rsid w:val="008D0F05"/>
    <w:rsid w:val="008D1B66"/>
    <w:rsid w:val="008D1E18"/>
    <w:rsid w:val="008D1EA5"/>
    <w:rsid w:val="008D1FD9"/>
    <w:rsid w:val="008D2AB8"/>
    <w:rsid w:val="008D380E"/>
    <w:rsid w:val="008D3B99"/>
    <w:rsid w:val="008D4252"/>
    <w:rsid w:val="008D4B61"/>
    <w:rsid w:val="008D527F"/>
    <w:rsid w:val="008D552A"/>
    <w:rsid w:val="008D561B"/>
    <w:rsid w:val="008D6426"/>
    <w:rsid w:val="008D703C"/>
    <w:rsid w:val="008D719B"/>
    <w:rsid w:val="008D71C0"/>
    <w:rsid w:val="008D7461"/>
    <w:rsid w:val="008D7611"/>
    <w:rsid w:val="008E0CEC"/>
    <w:rsid w:val="008E0E68"/>
    <w:rsid w:val="008E131F"/>
    <w:rsid w:val="008E25DA"/>
    <w:rsid w:val="008E2C7C"/>
    <w:rsid w:val="008E306D"/>
    <w:rsid w:val="008E378E"/>
    <w:rsid w:val="008E3BF1"/>
    <w:rsid w:val="008E3E72"/>
    <w:rsid w:val="008E5569"/>
    <w:rsid w:val="008E6D95"/>
    <w:rsid w:val="008E6E94"/>
    <w:rsid w:val="008E780D"/>
    <w:rsid w:val="008E7EBC"/>
    <w:rsid w:val="008F01D4"/>
    <w:rsid w:val="008F05B5"/>
    <w:rsid w:val="008F0992"/>
    <w:rsid w:val="008F10BE"/>
    <w:rsid w:val="008F18BB"/>
    <w:rsid w:val="008F1D98"/>
    <w:rsid w:val="008F20FD"/>
    <w:rsid w:val="008F2459"/>
    <w:rsid w:val="008F258A"/>
    <w:rsid w:val="008F2E2C"/>
    <w:rsid w:val="008F33D1"/>
    <w:rsid w:val="008F3B58"/>
    <w:rsid w:val="008F420B"/>
    <w:rsid w:val="008F4FAD"/>
    <w:rsid w:val="008F7144"/>
    <w:rsid w:val="008F7258"/>
    <w:rsid w:val="008F7670"/>
    <w:rsid w:val="008F7A18"/>
    <w:rsid w:val="008F7E5A"/>
    <w:rsid w:val="00900410"/>
    <w:rsid w:val="00900E8F"/>
    <w:rsid w:val="0090107F"/>
    <w:rsid w:val="009013E1"/>
    <w:rsid w:val="0090148A"/>
    <w:rsid w:val="009014C8"/>
    <w:rsid w:val="009026D1"/>
    <w:rsid w:val="00903318"/>
    <w:rsid w:val="0090358C"/>
    <w:rsid w:val="00903803"/>
    <w:rsid w:val="00903ADE"/>
    <w:rsid w:val="009048C3"/>
    <w:rsid w:val="00905082"/>
    <w:rsid w:val="009061D0"/>
    <w:rsid w:val="00906A3B"/>
    <w:rsid w:val="00906D30"/>
    <w:rsid w:val="00911B04"/>
    <w:rsid w:val="00911F42"/>
    <w:rsid w:val="00912EC0"/>
    <w:rsid w:val="00913CEE"/>
    <w:rsid w:val="00914769"/>
    <w:rsid w:val="00915091"/>
    <w:rsid w:val="0091531F"/>
    <w:rsid w:val="00915973"/>
    <w:rsid w:val="00916BBC"/>
    <w:rsid w:val="00916CBD"/>
    <w:rsid w:val="00917132"/>
    <w:rsid w:val="00917BFC"/>
    <w:rsid w:val="00920A41"/>
    <w:rsid w:val="009212D1"/>
    <w:rsid w:val="009213B2"/>
    <w:rsid w:val="0092147A"/>
    <w:rsid w:val="0092169C"/>
    <w:rsid w:val="00921D22"/>
    <w:rsid w:val="00922D1F"/>
    <w:rsid w:val="009230B4"/>
    <w:rsid w:val="00924342"/>
    <w:rsid w:val="00924DDD"/>
    <w:rsid w:val="00924F59"/>
    <w:rsid w:val="00925D4E"/>
    <w:rsid w:val="00925FF2"/>
    <w:rsid w:val="0092650C"/>
    <w:rsid w:val="009265B7"/>
    <w:rsid w:val="0092663D"/>
    <w:rsid w:val="009268CC"/>
    <w:rsid w:val="00927E12"/>
    <w:rsid w:val="0093085B"/>
    <w:rsid w:val="009329E2"/>
    <w:rsid w:val="00932FD1"/>
    <w:rsid w:val="0093373A"/>
    <w:rsid w:val="00934217"/>
    <w:rsid w:val="00934708"/>
    <w:rsid w:val="00935674"/>
    <w:rsid w:val="00935CCF"/>
    <w:rsid w:val="00935FDC"/>
    <w:rsid w:val="0093647F"/>
    <w:rsid w:val="00936657"/>
    <w:rsid w:val="009371D5"/>
    <w:rsid w:val="00937CE3"/>
    <w:rsid w:val="0094034E"/>
    <w:rsid w:val="00941982"/>
    <w:rsid w:val="00941E67"/>
    <w:rsid w:val="009423B2"/>
    <w:rsid w:val="00943776"/>
    <w:rsid w:val="00943A23"/>
    <w:rsid w:val="00943F51"/>
    <w:rsid w:val="00945AD9"/>
    <w:rsid w:val="00946268"/>
    <w:rsid w:val="00946294"/>
    <w:rsid w:val="00946484"/>
    <w:rsid w:val="00947B88"/>
    <w:rsid w:val="00950AD7"/>
    <w:rsid w:val="00950DC1"/>
    <w:rsid w:val="00951039"/>
    <w:rsid w:val="0095160E"/>
    <w:rsid w:val="00952097"/>
    <w:rsid w:val="00952168"/>
    <w:rsid w:val="0095228A"/>
    <w:rsid w:val="00952971"/>
    <w:rsid w:val="009529C5"/>
    <w:rsid w:val="00953B03"/>
    <w:rsid w:val="009546B2"/>
    <w:rsid w:val="009564F5"/>
    <w:rsid w:val="00956896"/>
    <w:rsid w:val="009575C6"/>
    <w:rsid w:val="00957A58"/>
    <w:rsid w:val="00960215"/>
    <w:rsid w:val="009605FD"/>
    <w:rsid w:val="0096126B"/>
    <w:rsid w:val="009617E2"/>
    <w:rsid w:val="00962FB3"/>
    <w:rsid w:val="00963793"/>
    <w:rsid w:val="00963CCF"/>
    <w:rsid w:val="00965415"/>
    <w:rsid w:val="00965791"/>
    <w:rsid w:val="009673D3"/>
    <w:rsid w:val="009674AE"/>
    <w:rsid w:val="00967775"/>
    <w:rsid w:val="00967EBC"/>
    <w:rsid w:val="0097026F"/>
    <w:rsid w:val="0097081D"/>
    <w:rsid w:val="00970BBD"/>
    <w:rsid w:val="00970E78"/>
    <w:rsid w:val="00972068"/>
    <w:rsid w:val="00972364"/>
    <w:rsid w:val="00972606"/>
    <w:rsid w:val="00972917"/>
    <w:rsid w:val="009732AD"/>
    <w:rsid w:val="009734FD"/>
    <w:rsid w:val="00975946"/>
    <w:rsid w:val="00975B3D"/>
    <w:rsid w:val="009760A6"/>
    <w:rsid w:val="00976255"/>
    <w:rsid w:val="009762ED"/>
    <w:rsid w:val="0097689C"/>
    <w:rsid w:val="0098021D"/>
    <w:rsid w:val="0098040F"/>
    <w:rsid w:val="0098093A"/>
    <w:rsid w:val="00980CC4"/>
    <w:rsid w:val="00981479"/>
    <w:rsid w:val="00981D5C"/>
    <w:rsid w:val="0098276D"/>
    <w:rsid w:val="009827EF"/>
    <w:rsid w:val="009829E7"/>
    <w:rsid w:val="00982D3E"/>
    <w:rsid w:val="00982F5F"/>
    <w:rsid w:val="00983955"/>
    <w:rsid w:val="00983988"/>
    <w:rsid w:val="009849C7"/>
    <w:rsid w:val="00985A91"/>
    <w:rsid w:val="00987EB4"/>
    <w:rsid w:val="009907CC"/>
    <w:rsid w:val="00990DB1"/>
    <w:rsid w:val="00990E61"/>
    <w:rsid w:val="00991663"/>
    <w:rsid w:val="00991BB6"/>
    <w:rsid w:val="0099225C"/>
    <w:rsid w:val="0099294B"/>
    <w:rsid w:val="00993362"/>
    <w:rsid w:val="0099349B"/>
    <w:rsid w:val="00993EDB"/>
    <w:rsid w:val="00994187"/>
    <w:rsid w:val="00994B24"/>
    <w:rsid w:val="009A0B85"/>
    <w:rsid w:val="009A1A5B"/>
    <w:rsid w:val="009A217C"/>
    <w:rsid w:val="009A2C4F"/>
    <w:rsid w:val="009A439D"/>
    <w:rsid w:val="009A61CA"/>
    <w:rsid w:val="009A6798"/>
    <w:rsid w:val="009A69EB"/>
    <w:rsid w:val="009A7A38"/>
    <w:rsid w:val="009B0719"/>
    <w:rsid w:val="009B08EF"/>
    <w:rsid w:val="009B0E82"/>
    <w:rsid w:val="009B1C55"/>
    <w:rsid w:val="009B1FC0"/>
    <w:rsid w:val="009B24F6"/>
    <w:rsid w:val="009B251A"/>
    <w:rsid w:val="009B27FC"/>
    <w:rsid w:val="009B2E3F"/>
    <w:rsid w:val="009B2E6F"/>
    <w:rsid w:val="009B32E1"/>
    <w:rsid w:val="009B3F28"/>
    <w:rsid w:val="009B4397"/>
    <w:rsid w:val="009B459A"/>
    <w:rsid w:val="009B471D"/>
    <w:rsid w:val="009B4731"/>
    <w:rsid w:val="009B47F7"/>
    <w:rsid w:val="009B4E6F"/>
    <w:rsid w:val="009B5BD8"/>
    <w:rsid w:val="009B6B43"/>
    <w:rsid w:val="009C0187"/>
    <w:rsid w:val="009C09B9"/>
    <w:rsid w:val="009C12D8"/>
    <w:rsid w:val="009C1972"/>
    <w:rsid w:val="009C20FF"/>
    <w:rsid w:val="009C2C25"/>
    <w:rsid w:val="009C2DD1"/>
    <w:rsid w:val="009C394D"/>
    <w:rsid w:val="009C3EEC"/>
    <w:rsid w:val="009C44E6"/>
    <w:rsid w:val="009C45B9"/>
    <w:rsid w:val="009C4C09"/>
    <w:rsid w:val="009C7094"/>
    <w:rsid w:val="009D025B"/>
    <w:rsid w:val="009D0B39"/>
    <w:rsid w:val="009D0EAF"/>
    <w:rsid w:val="009D1321"/>
    <w:rsid w:val="009D2276"/>
    <w:rsid w:val="009D2426"/>
    <w:rsid w:val="009D36D2"/>
    <w:rsid w:val="009D46D9"/>
    <w:rsid w:val="009D493E"/>
    <w:rsid w:val="009D5B6A"/>
    <w:rsid w:val="009D62A7"/>
    <w:rsid w:val="009D6472"/>
    <w:rsid w:val="009D664B"/>
    <w:rsid w:val="009D7346"/>
    <w:rsid w:val="009D789C"/>
    <w:rsid w:val="009E01F0"/>
    <w:rsid w:val="009E0FED"/>
    <w:rsid w:val="009E135E"/>
    <w:rsid w:val="009E1B6A"/>
    <w:rsid w:val="009E225B"/>
    <w:rsid w:val="009E2265"/>
    <w:rsid w:val="009E2A70"/>
    <w:rsid w:val="009E3A51"/>
    <w:rsid w:val="009E43EF"/>
    <w:rsid w:val="009E5265"/>
    <w:rsid w:val="009E591E"/>
    <w:rsid w:val="009E5F4D"/>
    <w:rsid w:val="009E61B5"/>
    <w:rsid w:val="009E6524"/>
    <w:rsid w:val="009E67D7"/>
    <w:rsid w:val="009E7A22"/>
    <w:rsid w:val="009F08CC"/>
    <w:rsid w:val="009F0C3F"/>
    <w:rsid w:val="009F177E"/>
    <w:rsid w:val="009F180C"/>
    <w:rsid w:val="009F19AE"/>
    <w:rsid w:val="009F2209"/>
    <w:rsid w:val="009F4999"/>
    <w:rsid w:val="009F4ABA"/>
    <w:rsid w:val="009F4DAD"/>
    <w:rsid w:val="009F6216"/>
    <w:rsid w:val="009F64C3"/>
    <w:rsid w:val="009F6F26"/>
    <w:rsid w:val="00A001EF"/>
    <w:rsid w:val="00A008F2"/>
    <w:rsid w:val="00A01313"/>
    <w:rsid w:val="00A01933"/>
    <w:rsid w:val="00A0439D"/>
    <w:rsid w:val="00A04469"/>
    <w:rsid w:val="00A046CF"/>
    <w:rsid w:val="00A047CA"/>
    <w:rsid w:val="00A04D0A"/>
    <w:rsid w:val="00A051F6"/>
    <w:rsid w:val="00A052D8"/>
    <w:rsid w:val="00A052E7"/>
    <w:rsid w:val="00A05E86"/>
    <w:rsid w:val="00A0638D"/>
    <w:rsid w:val="00A064F9"/>
    <w:rsid w:val="00A07001"/>
    <w:rsid w:val="00A076BE"/>
    <w:rsid w:val="00A10393"/>
    <w:rsid w:val="00A10809"/>
    <w:rsid w:val="00A10A52"/>
    <w:rsid w:val="00A10FFA"/>
    <w:rsid w:val="00A1104B"/>
    <w:rsid w:val="00A11602"/>
    <w:rsid w:val="00A12741"/>
    <w:rsid w:val="00A14059"/>
    <w:rsid w:val="00A1416F"/>
    <w:rsid w:val="00A14BD8"/>
    <w:rsid w:val="00A152AA"/>
    <w:rsid w:val="00A153A1"/>
    <w:rsid w:val="00A166A1"/>
    <w:rsid w:val="00A178C3"/>
    <w:rsid w:val="00A20260"/>
    <w:rsid w:val="00A203F7"/>
    <w:rsid w:val="00A20426"/>
    <w:rsid w:val="00A205BE"/>
    <w:rsid w:val="00A2075F"/>
    <w:rsid w:val="00A208BD"/>
    <w:rsid w:val="00A20AF1"/>
    <w:rsid w:val="00A21A18"/>
    <w:rsid w:val="00A22163"/>
    <w:rsid w:val="00A22218"/>
    <w:rsid w:val="00A222B9"/>
    <w:rsid w:val="00A22B8F"/>
    <w:rsid w:val="00A22E23"/>
    <w:rsid w:val="00A237C7"/>
    <w:rsid w:val="00A2515E"/>
    <w:rsid w:val="00A25369"/>
    <w:rsid w:val="00A25469"/>
    <w:rsid w:val="00A25D95"/>
    <w:rsid w:val="00A262D9"/>
    <w:rsid w:val="00A266C8"/>
    <w:rsid w:val="00A26D9F"/>
    <w:rsid w:val="00A27476"/>
    <w:rsid w:val="00A30424"/>
    <w:rsid w:val="00A30553"/>
    <w:rsid w:val="00A30A5A"/>
    <w:rsid w:val="00A30AC3"/>
    <w:rsid w:val="00A30BF0"/>
    <w:rsid w:val="00A31289"/>
    <w:rsid w:val="00A32B1F"/>
    <w:rsid w:val="00A33F89"/>
    <w:rsid w:val="00A341E6"/>
    <w:rsid w:val="00A34AF6"/>
    <w:rsid w:val="00A34C6E"/>
    <w:rsid w:val="00A3501F"/>
    <w:rsid w:val="00A351B8"/>
    <w:rsid w:val="00A355B9"/>
    <w:rsid w:val="00A35D57"/>
    <w:rsid w:val="00A3707E"/>
    <w:rsid w:val="00A37370"/>
    <w:rsid w:val="00A37594"/>
    <w:rsid w:val="00A37D5D"/>
    <w:rsid w:val="00A40126"/>
    <w:rsid w:val="00A421E2"/>
    <w:rsid w:val="00A43DB3"/>
    <w:rsid w:val="00A45777"/>
    <w:rsid w:val="00A45D21"/>
    <w:rsid w:val="00A461F3"/>
    <w:rsid w:val="00A46304"/>
    <w:rsid w:val="00A4744E"/>
    <w:rsid w:val="00A47847"/>
    <w:rsid w:val="00A47B84"/>
    <w:rsid w:val="00A50DDD"/>
    <w:rsid w:val="00A5249B"/>
    <w:rsid w:val="00A526FD"/>
    <w:rsid w:val="00A533F6"/>
    <w:rsid w:val="00A5365B"/>
    <w:rsid w:val="00A5477D"/>
    <w:rsid w:val="00A55585"/>
    <w:rsid w:val="00A558BE"/>
    <w:rsid w:val="00A55AF3"/>
    <w:rsid w:val="00A5653C"/>
    <w:rsid w:val="00A56D0C"/>
    <w:rsid w:val="00A57497"/>
    <w:rsid w:val="00A5751B"/>
    <w:rsid w:val="00A57E36"/>
    <w:rsid w:val="00A600F6"/>
    <w:rsid w:val="00A601B1"/>
    <w:rsid w:val="00A61CED"/>
    <w:rsid w:val="00A63019"/>
    <w:rsid w:val="00A635BE"/>
    <w:rsid w:val="00A63631"/>
    <w:rsid w:val="00A64F83"/>
    <w:rsid w:val="00A65DBF"/>
    <w:rsid w:val="00A663F1"/>
    <w:rsid w:val="00A671CD"/>
    <w:rsid w:val="00A67C9F"/>
    <w:rsid w:val="00A703BE"/>
    <w:rsid w:val="00A7059C"/>
    <w:rsid w:val="00A70653"/>
    <w:rsid w:val="00A709F9"/>
    <w:rsid w:val="00A70A14"/>
    <w:rsid w:val="00A70D42"/>
    <w:rsid w:val="00A7100F"/>
    <w:rsid w:val="00A713C1"/>
    <w:rsid w:val="00A714C8"/>
    <w:rsid w:val="00A72118"/>
    <w:rsid w:val="00A73146"/>
    <w:rsid w:val="00A73AC0"/>
    <w:rsid w:val="00A742A2"/>
    <w:rsid w:val="00A749E8"/>
    <w:rsid w:val="00A74BC3"/>
    <w:rsid w:val="00A75620"/>
    <w:rsid w:val="00A75668"/>
    <w:rsid w:val="00A7781B"/>
    <w:rsid w:val="00A80220"/>
    <w:rsid w:val="00A8056F"/>
    <w:rsid w:val="00A80914"/>
    <w:rsid w:val="00A81B5B"/>
    <w:rsid w:val="00A831EA"/>
    <w:rsid w:val="00A83A2D"/>
    <w:rsid w:val="00A85AC0"/>
    <w:rsid w:val="00A85B85"/>
    <w:rsid w:val="00A85F55"/>
    <w:rsid w:val="00A860E3"/>
    <w:rsid w:val="00A86804"/>
    <w:rsid w:val="00A909C4"/>
    <w:rsid w:val="00A91667"/>
    <w:rsid w:val="00A91EAD"/>
    <w:rsid w:val="00A91F55"/>
    <w:rsid w:val="00A9284B"/>
    <w:rsid w:val="00A92FC1"/>
    <w:rsid w:val="00A93919"/>
    <w:rsid w:val="00A940A3"/>
    <w:rsid w:val="00A94110"/>
    <w:rsid w:val="00A9537E"/>
    <w:rsid w:val="00A957BE"/>
    <w:rsid w:val="00A959D7"/>
    <w:rsid w:val="00A974D1"/>
    <w:rsid w:val="00AA02E2"/>
    <w:rsid w:val="00AA0D54"/>
    <w:rsid w:val="00AA28AB"/>
    <w:rsid w:val="00AA3254"/>
    <w:rsid w:val="00AA46CD"/>
    <w:rsid w:val="00AA4C64"/>
    <w:rsid w:val="00AA582C"/>
    <w:rsid w:val="00AA5DCB"/>
    <w:rsid w:val="00AA6919"/>
    <w:rsid w:val="00AA7FE0"/>
    <w:rsid w:val="00AB0989"/>
    <w:rsid w:val="00AB1478"/>
    <w:rsid w:val="00AB1B6E"/>
    <w:rsid w:val="00AB2D81"/>
    <w:rsid w:val="00AB353D"/>
    <w:rsid w:val="00AB3F0D"/>
    <w:rsid w:val="00AB6EDC"/>
    <w:rsid w:val="00AB7132"/>
    <w:rsid w:val="00AB7408"/>
    <w:rsid w:val="00AB75E0"/>
    <w:rsid w:val="00AB7E1B"/>
    <w:rsid w:val="00AC21FD"/>
    <w:rsid w:val="00AC2D6D"/>
    <w:rsid w:val="00AC3CD5"/>
    <w:rsid w:val="00AC4792"/>
    <w:rsid w:val="00AC47DA"/>
    <w:rsid w:val="00AC4BA4"/>
    <w:rsid w:val="00AC4D89"/>
    <w:rsid w:val="00AC52D1"/>
    <w:rsid w:val="00AC560B"/>
    <w:rsid w:val="00AC56A8"/>
    <w:rsid w:val="00AC5BF5"/>
    <w:rsid w:val="00AC64F0"/>
    <w:rsid w:val="00AC65B5"/>
    <w:rsid w:val="00AC6FA4"/>
    <w:rsid w:val="00AC7C15"/>
    <w:rsid w:val="00AC7D12"/>
    <w:rsid w:val="00AD0729"/>
    <w:rsid w:val="00AD0FD8"/>
    <w:rsid w:val="00AD5B3A"/>
    <w:rsid w:val="00AD5CD5"/>
    <w:rsid w:val="00AD6D74"/>
    <w:rsid w:val="00AE0440"/>
    <w:rsid w:val="00AE0C4A"/>
    <w:rsid w:val="00AE18D2"/>
    <w:rsid w:val="00AE1E1C"/>
    <w:rsid w:val="00AE2210"/>
    <w:rsid w:val="00AE2304"/>
    <w:rsid w:val="00AE2FD1"/>
    <w:rsid w:val="00AE3C08"/>
    <w:rsid w:val="00AE3C09"/>
    <w:rsid w:val="00AE4943"/>
    <w:rsid w:val="00AE4AA1"/>
    <w:rsid w:val="00AE58E0"/>
    <w:rsid w:val="00AE5F85"/>
    <w:rsid w:val="00AE6237"/>
    <w:rsid w:val="00AE683A"/>
    <w:rsid w:val="00AE68D4"/>
    <w:rsid w:val="00AE6FAE"/>
    <w:rsid w:val="00AE7B14"/>
    <w:rsid w:val="00AE7C63"/>
    <w:rsid w:val="00AE7CD9"/>
    <w:rsid w:val="00AF09C3"/>
    <w:rsid w:val="00AF2290"/>
    <w:rsid w:val="00AF2A97"/>
    <w:rsid w:val="00AF2F8A"/>
    <w:rsid w:val="00AF3159"/>
    <w:rsid w:val="00AF3C76"/>
    <w:rsid w:val="00AF5278"/>
    <w:rsid w:val="00AF56FF"/>
    <w:rsid w:val="00AF5849"/>
    <w:rsid w:val="00AF5F47"/>
    <w:rsid w:val="00AF62A6"/>
    <w:rsid w:val="00AF62B6"/>
    <w:rsid w:val="00AF6731"/>
    <w:rsid w:val="00AF67A5"/>
    <w:rsid w:val="00AF6E57"/>
    <w:rsid w:val="00AF7C61"/>
    <w:rsid w:val="00B0008E"/>
    <w:rsid w:val="00B0065A"/>
    <w:rsid w:val="00B009BF"/>
    <w:rsid w:val="00B009ED"/>
    <w:rsid w:val="00B01C32"/>
    <w:rsid w:val="00B0209D"/>
    <w:rsid w:val="00B02FA7"/>
    <w:rsid w:val="00B0339E"/>
    <w:rsid w:val="00B03ED9"/>
    <w:rsid w:val="00B04E24"/>
    <w:rsid w:val="00B052B9"/>
    <w:rsid w:val="00B06A08"/>
    <w:rsid w:val="00B07114"/>
    <w:rsid w:val="00B07A80"/>
    <w:rsid w:val="00B105A6"/>
    <w:rsid w:val="00B118B7"/>
    <w:rsid w:val="00B12585"/>
    <w:rsid w:val="00B12FB4"/>
    <w:rsid w:val="00B13323"/>
    <w:rsid w:val="00B13DED"/>
    <w:rsid w:val="00B13F41"/>
    <w:rsid w:val="00B1432C"/>
    <w:rsid w:val="00B152AB"/>
    <w:rsid w:val="00B154FD"/>
    <w:rsid w:val="00B159AB"/>
    <w:rsid w:val="00B15AB0"/>
    <w:rsid w:val="00B16495"/>
    <w:rsid w:val="00B16A6E"/>
    <w:rsid w:val="00B1756E"/>
    <w:rsid w:val="00B17F1E"/>
    <w:rsid w:val="00B2100D"/>
    <w:rsid w:val="00B21720"/>
    <w:rsid w:val="00B2198E"/>
    <w:rsid w:val="00B22A5D"/>
    <w:rsid w:val="00B239F7"/>
    <w:rsid w:val="00B24129"/>
    <w:rsid w:val="00B24376"/>
    <w:rsid w:val="00B24901"/>
    <w:rsid w:val="00B24CC6"/>
    <w:rsid w:val="00B24D22"/>
    <w:rsid w:val="00B24FA4"/>
    <w:rsid w:val="00B265D4"/>
    <w:rsid w:val="00B2730E"/>
    <w:rsid w:val="00B27633"/>
    <w:rsid w:val="00B2774C"/>
    <w:rsid w:val="00B277B7"/>
    <w:rsid w:val="00B31302"/>
    <w:rsid w:val="00B31CC5"/>
    <w:rsid w:val="00B33026"/>
    <w:rsid w:val="00B33E2D"/>
    <w:rsid w:val="00B35210"/>
    <w:rsid w:val="00B3591C"/>
    <w:rsid w:val="00B35E66"/>
    <w:rsid w:val="00B3677B"/>
    <w:rsid w:val="00B369F2"/>
    <w:rsid w:val="00B37725"/>
    <w:rsid w:val="00B37B01"/>
    <w:rsid w:val="00B40432"/>
    <w:rsid w:val="00B41598"/>
    <w:rsid w:val="00B41744"/>
    <w:rsid w:val="00B42597"/>
    <w:rsid w:val="00B42686"/>
    <w:rsid w:val="00B43741"/>
    <w:rsid w:val="00B4396B"/>
    <w:rsid w:val="00B43CFA"/>
    <w:rsid w:val="00B44659"/>
    <w:rsid w:val="00B45003"/>
    <w:rsid w:val="00B452F7"/>
    <w:rsid w:val="00B452FE"/>
    <w:rsid w:val="00B46497"/>
    <w:rsid w:val="00B471C4"/>
    <w:rsid w:val="00B47344"/>
    <w:rsid w:val="00B47745"/>
    <w:rsid w:val="00B50974"/>
    <w:rsid w:val="00B50C4C"/>
    <w:rsid w:val="00B51B8B"/>
    <w:rsid w:val="00B51F57"/>
    <w:rsid w:val="00B52618"/>
    <w:rsid w:val="00B550D7"/>
    <w:rsid w:val="00B554AD"/>
    <w:rsid w:val="00B55567"/>
    <w:rsid w:val="00B55862"/>
    <w:rsid w:val="00B55E5A"/>
    <w:rsid w:val="00B56BE6"/>
    <w:rsid w:val="00B57463"/>
    <w:rsid w:val="00B6015B"/>
    <w:rsid w:val="00B60D10"/>
    <w:rsid w:val="00B611C2"/>
    <w:rsid w:val="00B6153D"/>
    <w:rsid w:val="00B6266B"/>
    <w:rsid w:val="00B634E7"/>
    <w:rsid w:val="00B635C1"/>
    <w:rsid w:val="00B6382F"/>
    <w:rsid w:val="00B6388F"/>
    <w:rsid w:val="00B640E5"/>
    <w:rsid w:val="00B64E1D"/>
    <w:rsid w:val="00B65090"/>
    <w:rsid w:val="00B653A9"/>
    <w:rsid w:val="00B6590C"/>
    <w:rsid w:val="00B65C82"/>
    <w:rsid w:val="00B66447"/>
    <w:rsid w:val="00B67E3C"/>
    <w:rsid w:val="00B67EEB"/>
    <w:rsid w:val="00B70EF4"/>
    <w:rsid w:val="00B72ECB"/>
    <w:rsid w:val="00B73AF2"/>
    <w:rsid w:val="00B73BC4"/>
    <w:rsid w:val="00B75088"/>
    <w:rsid w:val="00B75285"/>
    <w:rsid w:val="00B75D85"/>
    <w:rsid w:val="00B7611A"/>
    <w:rsid w:val="00B769AA"/>
    <w:rsid w:val="00B776CB"/>
    <w:rsid w:val="00B77A30"/>
    <w:rsid w:val="00B801B9"/>
    <w:rsid w:val="00B8054D"/>
    <w:rsid w:val="00B80CEC"/>
    <w:rsid w:val="00B81DCB"/>
    <w:rsid w:val="00B81E3E"/>
    <w:rsid w:val="00B8302B"/>
    <w:rsid w:val="00B837E8"/>
    <w:rsid w:val="00B83D83"/>
    <w:rsid w:val="00B875F2"/>
    <w:rsid w:val="00B87E48"/>
    <w:rsid w:val="00B9026C"/>
    <w:rsid w:val="00B911CA"/>
    <w:rsid w:val="00B91283"/>
    <w:rsid w:val="00B91414"/>
    <w:rsid w:val="00B91820"/>
    <w:rsid w:val="00B91833"/>
    <w:rsid w:val="00B92A4F"/>
    <w:rsid w:val="00B92DA0"/>
    <w:rsid w:val="00B92F4A"/>
    <w:rsid w:val="00B9405E"/>
    <w:rsid w:val="00B94808"/>
    <w:rsid w:val="00B94A5A"/>
    <w:rsid w:val="00B956E5"/>
    <w:rsid w:val="00B95AB8"/>
    <w:rsid w:val="00B95E1E"/>
    <w:rsid w:val="00B95E40"/>
    <w:rsid w:val="00B9622A"/>
    <w:rsid w:val="00B96BB0"/>
    <w:rsid w:val="00BA0559"/>
    <w:rsid w:val="00BA0BF5"/>
    <w:rsid w:val="00BA2150"/>
    <w:rsid w:val="00BA2540"/>
    <w:rsid w:val="00BA30B5"/>
    <w:rsid w:val="00BA3470"/>
    <w:rsid w:val="00BA3DAB"/>
    <w:rsid w:val="00BA3F99"/>
    <w:rsid w:val="00BA4A0C"/>
    <w:rsid w:val="00BA502E"/>
    <w:rsid w:val="00BA7380"/>
    <w:rsid w:val="00BB0927"/>
    <w:rsid w:val="00BB1268"/>
    <w:rsid w:val="00BB1BA0"/>
    <w:rsid w:val="00BB215B"/>
    <w:rsid w:val="00BB2BF8"/>
    <w:rsid w:val="00BB3280"/>
    <w:rsid w:val="00BB5647"/>
    <w:rsid w:val="00BB5966"/>
    <w:rsid w:val="00BB5FC8"/>
    <w:rsid w:val="00BB63A8"/>
    <w:rsid w:val="00BB665F"/>
    <w:rsid w:val="00BC0103"/>
    <w:rsid w:val="00BC1076"/>
    <w:rsid w:val="00BC11A3"/>
    <w:rsid w:val="00BC1252"/>
    <w:rsid w:val="00BC176F"/>
    <w:rsid w:val="00BC2186"/>
    <w:rsid w:val="00BC2D37"/>
    <w:rsid w:val="00BC335D"/>
    <w:rsid w:val="00BC339D"/>
    <w:rsid w:val="00BC43A3"/>
    <w:rsid w:val="00BC46D6"/>
    <w:rsid w:val="00BC52F6"/>
    <w:rsid w:val="00BC5480"/>
    <w:rsid w:val="00BC563E"/>
    <w:rsid w:val="00BC5E09"/>
    <w:rsid w:val="00BC60B3"/>
    <w:rsid w:val="00BC630A"/>
    <w:rsid w:val="00BC6A72"/>
    <w:rsid w:val="00BC7B9A"/>
    <w:rsid w:val="00BD0075"/>
    <w:rsid w:val="00BD00DB"/>
    <w:rsid w:val="00BD01EB"/>
    <w:rsid w:val="00BD0B15"/>
    <w:rsid w:val="00BD170A"/>
    <w:rsid w:val="00BD1743"/>
    <w:rsid w:val="00BD24A6"/>
    <w:rsid w:val="00BD4F44"/>
    <w:rsid w:val="00BD508D"/>
    <w:rsid w:val="00BD5EDA"/>
    <w:rsid w:val="00BD696E"/>
    <w:rsid w:val="00BD73D3"/>
    <w:rsid w:val="00BD7DBD"/>
    <w:rsid w:val="00BD7FFC"/>
    <w:rsid w:val="00BE1232"/>
    <w:rsid w:val="00BE2037"/>
    <w:rsid w:val="00BE2C13"/>
    <w:rsid w:val="00BE3213"/>
    <w:rsid w:val="00BE384C"/>
    <w:rsid w:val="00BE4933"/>
    <w:rsid w:val="00BE5F87"/>
    <w:rsid w:val="00BE617A"/>
    <w:rsid w:val="00BE66DA"/>
    <w:rsid w:val="00BE7242"/>
    <w:rsid w:val="00BE74D1"/>
    <w:rsid w:val="00BF046F"/>
    <w:rsid w:val="00BF127E"/>
    <w:rsid w:val="00BF152A"/>
    <w:rsid w:val="00BF1AF3"/>
    <w:rsid w:val="00BF2354"/>
    <w:rsid w:val="00BF35FF"/>
    <w:rsid w:val="00BF42F7"/>
    <w:rsid w:val="00BF4B15"/>
    <w:rsid w:val="00BF4BA6"/>
    <w:rsid w:val="00BF4BF3"/>
    <w:rsid w:val="00BF4C0A"/>
    <w:rsid w:val="00BF5D70"/>
    <w:rsid w:val="00BF63D6"/>
    <w:rsid w:val="00BF74E2"/>
    <w:rsid w:val="00C01480"/>
    <w:rsid w:val="00C014BE"/>
    <w:rsid w:val="00C01D87"/>
    <w:rsid w:val="00C02261"/>
    <w:rsid w:val="00C0257E"/>
    <w:rsid w:val="00C03885"/>
    <w:rsid w:val="00C03DBD"/>
    <w:rsid w:val="00C03FB9"/>
    <w:rsid w:val="00C04503"/>
    <w:rsid w:val="00C057DD"/>
    <w:rsid w:val="00C05D47"/>
    <w:rsid w:val="00C06AD9"/>
    <w:rsid w:val="00C07736"/>
    <w:rsid w:val="00C07D16"/>
    <w:rsid w:val="00C10139"/>
    <w:rsid w:val="00C106DE"/>
    <w:rsid w:val="00C10DAE"/>
    <w:rsid w:val="00C11236"/>
    <w:rsid w:val="00C13693"/>
    <w:rsid w:val="00C13C90"/>
    <w:rsid w:val="00C13FB2"/>
    <w:rsid w:val="00C142D5"/>
    <w:rsid w:val="00C1516D"/>
    <w:rsid w:val="00C15BC5"/>
    <w:rsid w:val="00C1623A"/>
    <w:rsid w:val="00C16CD3"/>
    <w:rsid w:val="00C16E06"/>
    <w:rsid w:val="00C178A1"/>
    <w:rsid w:val="00C17AD7"/>
    <w:rsid w:val="00C21042"/>
    <w:rsid w:val="00C21857"/>
    <w:rsid w:val="00C21D40"/>
    <w:rsid w:val="00C21F5F"/>
    <w:rsid w:val="00C2215B"/>
    <w:rsid w:val="00C22EDF"/>
    <w:rsid w:val="00C23165"/>
    <w:rsid w:val="00C23B1C"/>
    <w:rsid w:val="00C23EC8"/>
    <w:rsid w:val="00C2409D"/>
    <w:rsid w:val="00C2423E"/>
    <w:rsid w:val="00C25168"/>
    <w:rsid w:val="00C255EA"/>
    <w:rsid w:val="00C260C9"/>
    <w:rsid w:val="00C26AB7"/>
    <w:rsid w:val="00C279B8"/>
    <w:rsid w:val="00C30308"/>
    <w:rsid w:val="00C30741"/>
    <w:rsid w:val="00C3227F"/>
    <w:rsid w:val="00C324AC"/>
    <w:rsid w:val="00C328FA"/>
    <w:rsid w:val="00C32B86"/>
    <w:rsid w:val="00C33197"/>
    <w:rsid w:val="00C333DD"/>
    <w:rsid w:val="00C339C4"/>
    <w:rsid w:val="00C3458A"/>
    <w:rsid w:val="00C34B59"/>
    <w:rsid w:val="00C34B8E"/>
    <w:rsid w:val="00C35F08"/>
    <w:rsid w:val="00C36A93"/>
    <w:rsid w:val="00C37196"/>
    <w:rsid w:val="00C3745F"/>
    <w:rsid w:val="00C4020B"/>
    <w:rsid w:val="00C42569"/>
    <w:rsid w:val="00C42B29"/>
    <w:rsid w:val="00C4380D"/>
    <w:rsid w:val="00C439CB"/>
    <w:rsid w:val="00C454C6"/>
    <w:rsid w:val="00C45657"/>
    <w:rsid w:val="00C45B8C"/>
    <w:rsid w:val="00C45BB0"/>
    <w:rsid w:val="00C46996"/>
    <w:rsid w:val="00C472E0"/>
    <w:rsid w:val="00C47D71"/>
    <w:rsid w:val="00C504F4"/>
    <w:rsid w:val="00C51F82"/>
    <w:rsid w:val="00C52058"/>
    <w:rsid w:val="00C5254C"/>
    <w:rsid w:val="00C525BB"/>
    <w:rsid w:val="00C53729"/>
    <w:rsid w:val="00C53F70"/>
    <w:rsid w:val="00C541EF"/>
    <w:rsid w:val="00C5480E"/>
    <w:rsid w:val="00C54984"/>
    <w:rsid w:val="00C54E73"/>
    <w:rsid w:val="00C55763"/>
    <w:rsid w:val="00C55863"/>
    <w:rsid w:val="00C5590F"/>
    <w:rsid w:val="00C55D4D"/>
    <w:rsid w:val="00C560AC"/>
    <w:rsid w:val="00C561A0"/>
    <w:rsid w:val="00C57387"/>
    <w:rsid w:val="00C57ACE"/>
    <w:rsid w:val="00C57C11"/>
    <w:rsid w:val="00C57DFE"/>
    <w:rsid w:val="00C6096E"/>
    <w:rsid w:val="00C615D2"/>
    <w:rsid w:val="00C61D97"/>
    <w:rsid w:val="00C62037"/>
    <w:rsid w:val="00C6205D"/>
    <w:rsid w:val="00C62583"/>
    <w:rsid w:val="00C62E62"/>
    <w:rsid w:val="00C63000"/>
    <w:rsid w:val="00C63AF8"/>
    <w:rsid w:val="00C63F89"/>
    <w:rsid w:val="00C64054"/>
    <w:rsid w:val="00C64540"/>
    <w:rsid w:val="00C64985"/>
    <w:rsid w:val="00C66955"/>
    <w:rsid w:val="00C66B50"/>
    <w:rsid w:val="00C67215"/>
    <w:rsid w:val="00C677B4"/>
    <w:rsid w:val="00C70940"/>
    <w:rsid w:val="00C717EC"/>
    <w:rsid w:val="00C7283E"/>
    <w:rsid w:val="00C73AF5"/>
    <w:rsid w:val="00C73DBF"/>
    <w:rsid w:val="00C741B9"/>
    <w:rsid w:val="00C74DA7"/>
    <w:rsid w:val="00C75A0E"/>
    <w:rsid w:val="00C75D07"/>
    <w:rsid w:val="00C7610D"/>
    <w:rsid w:val="00C76811"/>
    <w:rsid w:val="00C76A8D"/>
    <w:rsid w:val="00C80029"/>
    <w:rsid w:val="00C80C00"/>
    <w:rsid w:val="00C80EF9"/>
    <w:rsid w:val="00C81695"/>
    <w:rsid w:val="00C826C0"/>
    <w:rsid w:val="00C84CD9"/>
    <w:rsid w:val="00C84F25"/>
    <w:rsid w:val="00C8532D"/>
    <w:rsid w:val="00C864FE"/>
    <w:rsid w:val="00C86966"/>
    <w:rsid w:val="00C874D5"/>
    <w:rsid w:val="00C875FB"/>
    <w:rsid w:val="00C876E2"/>
    <w:rsid w:val="00C90897"/>
    <w:rsid w:val="00C90B67"/>
    <w:rsid w:val="00C91FEB"/>
    <w:rsid w:val="00C9353A"/>
    <w:rsid w:val="00C941F7"/>
    <w:rsid w:val="00C94387"/>
    <w:rsid w:val="00C94430"/>
    <w:rsid w:val="00C9496C"/>
    <w:rsid w:val="00C94AC7"/>
    <w:rsid w:val="00C9513F"/>
    <w:rsid w:val="00C95B5E"/>
    <w:rsid w:val="00C95DC0"/>
    <w:rsid w:val="00C971C7"/>
    <w:rsid w:val="00C97552"/>
    <w:rsid w:val="00C9789B"/>
    <w:rsid w:val="00CA0A57"/>
    <w:rsid w:val="00CA0E06"/>
    <w:rsid w:val="00CA2B05"/>
    <w:rsid w:val="00CA2CA9"/>
    <w:rsid w:val="00CA3920"/>
    <w:rsid w:val="00CA3E2E"/>
    <w:rsid w:val="00CA3E5E"/>
    <w:rsid w:val="00CA414C"/>
    <w:rsid w:val="00CA4B98"/>
    <w:rsid w:val="00CA58E4"/>
    <w:rsid w:val="00CA79D3"/>
    <w:rsid w:val="00CB1153"/>
    <w:rsid w:val="00CB12F6"/>
    <w:rsid w:val="00CB16E6"/>
    <w:rsid w:val="00CB1E37"/>
    <w:rsid w:val="00CB21EE"/>
    <w:rsid w:val="00CB2B1B"/>
    <w:rsid w:val="00CB2F45"/>
    <w:rsid w:val="00CB3241"/>
    <w:rsid w:val="00CB49EC"/>
    <w:rsid w:val="00CB5911"/>
    <w:rsid w:val="00CB647D"/>
    <w:rsid w:val="00CB769D"/>
    <w:rsid w:val="00CC17CF"/>
    <w:rsid w:val="00CC1B3B"/>
    <w:rsid w:val="00CC1E5A"/>
    <w:rsid w:val="00CC2231"/>
    <w:rsid w:val="00CC3B3B"/>
    <w:rsid w:val="00CC3F5C"/>
    <w:rsid w:val="00CC4D62"/>
    <w:rsid w:val="00CC510F"/>
    <w:rsid w:val="00CC5C3C"/>
    <w:rsid w:val="00CC5D3A"/>
    <w:rsid w:val="00CC67D1"/>
    <w:rsid w:val="00CC758D"/>
    <w:rsid w:val="00CD0932"/>
    <w:rsid w:val="00CD0BB9"/>
    <w:rsid w:val="00CD1FBB"/>
    <w:rsid w:val="00CD239E"/>
    <w:rsid w:val="00CD26F9"/>
    <w:rsid w:val="00CD2AC8"/>
    <w:rsid w:val="00CD33D5"/>
    <w:rsid w:val="00CD368A"/>
    <w:rsid w:val="00CD430D"/>
    <w:rsid w:val="00CD43A1"/>
    <w:rsid w:val="00CD46D2"/>
    <w:rsid w:val="00CD4A52"/>
    <w:rsid w:val="00CD4BD6"/>
    <w:rsid w:val="00CD4D9C"/>
    <w:rsid w:val="00CD6F7F"/>
    <w:rsid w:val="00CD7BA5"/>
    <w:rsid w:val="00CE0604"/>
    <w:rsid w:val="00CE08CE"/>
    <w:rsid w:val="00CE14C9"/>
    <w:rsid w:val="00CE276D"/>
    <w:rsid w:val="00CE320F"/>
    <w:rsid w:val="00CE3763"/>
    <w:rsid w:val="00CE4D75"/>
    <w:rsid w:val="00CE5786"/>
    <w:rsid w:val="00CE5C72"/>
    <w:rsid w:val="00CE7241"/>
    <w:rsid w:val="00CE7273"/>
    <w:rsid w:val="00CE7AA8"/>
    <w:rsid w:val="00CE7C5D"/>
    <w:rsid w:val="00CF1D81"/>
    <w:rsid w:val="00CF2351"/>
    <w:rsid w:val="00CF275C"/>
    <w:rsid w:val="00CF5200"/>
    <w:rsid w:val="00CF536B"/>
    <w:rsid w:val="00CF6010"/>
    <w:rsid w:val="00CF694B"/>
    <w:rsid w:val="00CF7382"/>
    <w:rsid w:val="00D00C5D"/>
    <w:rsid w:val="00D023E8"/>
    <w:rsid w:val="00D03441"/>
    <w:rsid w:val="00D03833"/>
    <w:rsid w:val="00D039D7"/>
    <w:rsid w:val="00D03A9C"/>
    <w:rsid w:val="00D03D39"/>
    <w:rsid w:val="00D04918"/>
    <w:rsid w:val="00D0500D"/>
    <w:rsid w:val="00D050FB"/>
    <w:rsid w:val="00D06EB1"/>
    <w:rsid w:val="00D07459"/>
    <w:rsid w:val="00D0751A"/>
    <w:rsid w:val="00D07B9E"/>
    <w:rsid w:val="00D10779"/>
    <w:rsid w:val="00D11746"/>
    <w:rsid w:val="00D11925"/>
    <w:rsid w:val="00D12472"/>
    <w:rsid w:val="00D136D8"/>
    <w:rsid w:val="00D137AD"/>
    <w:rsid w:val="00D14DBB"/>
    <w:rsid w:val="00D15425"/>
    <w:rsid w:val="00D1612A"/>
    <w:rsid w:val="00D17D29"/>
    <w:rsid w:val="00D17D4A"/>
    <w:rsid w:val="00D17FF4"/>
    <w:rsid w:val="00D202D6"/>
    <w:rsid w:val="00D207E9"/>
    <w:rsid w:val="00D20DDB"/>
    <w:rsid w:val="00D20EBA"/>
    <w:rsid w:val="00D2140E"/>
    <w:rsid w:val="00D21B4B"/>
    <w:rsid w:val="00D21C77"/>
    <w:rsid w:val="00D22FB3"/>
    <w:rsid w:val="00D23CBD"/>
    <w:rsid w:val="00D24495"/>
    <w:rsid w:val="00D248D9"/>
    <w:rsid w:val="00D2570F"/>
    <w:rsid w:val="00D257ED"/>
    <w:rsid w:val="00D258D8"/>
    <w:rsid w:val="00D25A67"/>
    <w:rsid w:val="00D261AC"/>
    <w:rsid w:val="00D26492"/>
    <w:rsid w:val="00D26CE6"/>
    <w:rsid w:val="00D27685"/>
    <w:rsid w:val="00D30357"/>
    <w:rsid w:val="00D30398"/>
    <w:rsid w:val="00D3068E"/>
    <w:rsid w:val="00D307F5"/>
    <w:rsid w:val="00D30E72"/>
    <w:rsid w:val="00D310F3"/>
    <w:rsid w:val="00D31B93"/>
    <w:rsid w:val="00D3407A"/>
    <w:rsid w:val="00D3707E"/>
    <w:rsid w:val="00D3729F"/>
    <w:rsid w:val="00D372DA"/>
    <w:rsid w:val="00D3766E"/>
    <w:rsid w:val="00D3775A"/>
    <w:rsid w:val="00D37BA2"/>
    <w:rsid w:val="00D403EC"/>
    <w:rsid w:val="00D406DA"/>
    <w:rsid w:val="00D418EC"/>
    <w:rsid w:val="00D41A3D"/>
    <w:rsid w:val="00D4242F"/>
    <w:rsid w:val="00D43108"/>
    <w:rsid w:val="00D44A2E"/>
    <w:rsid w:val="00D44E7D"/>
    <w:rsid w:val="00D450C8"/>
    <w:rsid w:val="00D45422"/>
    <w:rsid w:val="00D45447"/>
    <w:rsid w:val="00D45615"/>
    <w:rsid w:val="00D467F7"/>
    <w:rsid w:val="00D46D4A"/>
    <w:rsid w:val="00D472C1"/>
    <w:rsid w:val="00D47323"/>
    <w:rsid w:val="00D5093D"/>
    <w:rsid w:val="00D50FC4"/>
    <w:rsid w:val="00D51D13"/>
    <w:rsid w:val="00D52A7B"/>
    <w:rsid w:val="00D52AD5"/>
    <w:rsid w:val="00D53B60"/>
    <w:rsid w:val="00D53FC8"/>
    <w:rsid w:val="00D54D1C"/>
    <w:rsid w:val="00D556A1"/>
    <w:rsid w:val="00D55918"/>
    <w:rsid w:val="00D55BC7"/>
    <w:rsid w:val="00D56659"/>
    <w:rsid w:val="00D57EF0"/>
    <w:rsid w:val="00D601A2"/>
    <w:rsid w:val="00D62517"/>
    <w:rsid w:val="00D63D86"/>
    <w:rsid w:val="00D64596"/>
    <w:rsid w:val="00D64746"/>
    <w:rsid w:val="00D64AD8"/>
    <w:rsid w:val="00D664E6"/>
    <w:rsid w:val="00D67D84"/>
    <w:rsid w:val="00D70C94"/>
    <w:rsid w:val="00D71F64"/>
    <w:rsid w:val="00D72A18"/>
    <w:rsid w:val="00D737F8"/>
    <w:rsid w:val="00D74ECF"/>
    <w:rsid w:val="00D75694"/>
    <w:rsid w:val="00D75E11"/>
    <w:rsid w:val="00D75F64"/>
    <w:rsid w:val="00D760A5"/>
    <w:rsid w:val="00D76CC0"/>
    <w:rsid w:val="00D77979"/>
    <w:rsid w:val="00D77ED6"/>
    <w:rsid w:val="00D80B9E"/>
    <w:rsid w:val="00D819F8"/>
    <w:rsid w:val="00D82039"/>
    <w:rsid w:val="00D8333B"/>
    <w:rsid w:val="00D83D14"/>
    <w:rsid w:val="00D8417B"/>
    <w:rsid w:val="00D85543"/>
    <w:rsid w:val="00D85DC1"/>
    <w:rsid w:val="00D86102"/>
    <w:rsid w:val="00D86D69"/>
    <w:rsid w:val="00D86E49"/>
    <w:rsid w:val="00D86F69"/>
    <w:rsid w:val="00D879BE"/>
    <w:rsid w:val="00D901F8"/>
    <w:rsid w:val="00D9023A"/>
    <w:rsid w:val="00D90361"/>
    <w:rsid w:val="00D9189B"/>
    <w:rsid w:val="00D91973"/>
    <w:rsid w:val="00D925B9"/>
    <w:rsid w:val="00D92D69"/>
    <w:rsid w:val="00D93844"/>
    <w:rsid w:val="00D93B42"/>
    <w:rsid w:val="00D94507"/>
    <w:rsid w:val="00D947B5"/>
    <w:rsid w:val="00D948E3"/>
    <w:rsid w:val="00D94BF6"/>
    <w:rsid w:val="00D95487"/>
    <w:rsid w:val="00D96B62"/>
    <w:rsid w:val="00D9769D"/>
    <w:rsid w:val="00D97E46"/>
    <w:rsid w:val="00DA06FE"/>
    <w:rsid w:val="00DA07F1"/>
    <w:rsid w:val="00DA0BCA"/>
    <w:rsid w:val="00DA11A2"/>
    <w:rsid w:val="00DA1EAE"/>
    <w:rsid w:val="00DA23EB"/>
    <w:rsid w:val="00DA290B"/>
    <w:rsid w:val="00DA2D2E"/>
    <w:rsid w:val="00DA2F0C"/>
    <w:rsid w:val="00DA34D5"/>
    <w:rsid w:val="00DA4449"/>
    <w:rsid w:val="00DA4A30"/>
    <w:rsid w:val="00DA4C77"/>
    <w:rsid w:val="00DA4C9B"/>
    <w:rsid w:val="00DA5CD4"/>
    <w:rsid w:val="00DA6AF0"/>
    <w:rsid w:val="00DA73E8"/>
    <w:rsid w:val="00DA793F"/>
    <w:rsid w:val="00DA7DCB"/>
    <w:rsid w:val="00DB009B"/>
    <w:rsid w:val="00DB0857"/>
    <w:rsid w:val="00DB1C28"/>
    <w:rsid w:val="00DB1F0E"/>
    <w:rsid w:val="00DB2354"/>
    <w:rsid w:val="00DB2D27"/>
    <w:rsid w:val="00DB32E2"/>
    <w:rsid w:val="00DB3617"/>
    <w:rsid w:val="00DB3A72"/>
    <w:rsid w:val="00DB461B"/>
    <w:rsid w:val="00DB4CAA"/>
    <w:rsid w:val="00DB5E47"/>
    <w:rsid w:val="00DB6B88"/>
    <w:rsid w:val="00DB7B4A"/>
    <w:rsid w:val="00DC04AC"/>
    <w:rsid w:val="00DC07E6"/>
    <w:rsid w:val="00DC1A16"/>
    <w:rsid w:val="00DC1B67"/>
    <w:rsid w:val="00DC1CE7"/>
    <w:rsid w:val="00DC27AF"/>
    <w:rsid w:val="00DC2E24"/>
    <w:rsid w:val="00DC36E3"/>
    <w:rsid w:val="00DC516F"/>
    <w:rsid w:val="00DC57AC"/>
    <w:rsid w:val="00DC7458"/>
    <w:rsid w:val="00DC7601"/>
    <w:rsid w:val="00DC78A0"/>
    <w:rsid w:val="00DC7DC4"/>
    <w:rsid w:val="00DD0884"/>
    <w:rsid w:val="00DD1B41"/>
    <w:rsid w:val="00DD2DD0"/>
    <w:rsid w:val="00DD474C"/>
    <w:rsid w:val="00DD4756"/>
    <w:rsid w:val="00DD5815"/>
    <w:rsid w:val="00DD6931"/>
    <w:rsid w:val="00DD6DC6"/>
    <w:rsid w:val="00DD752A"/>
    <w:rsid w:val="00DD7AB1"/>
    <w:rsid w:val="00DE02FA"/>
    <w:rsid w:val="00DE047B"/>
    <w:rsid w:val="00DE0A3C"/>
    <w:rsid w:val="00DE13A4"/>
    <w:rsid w:val="00DE1510"/>
    <w:rsid w:val="00DE1C0D"/>
    <w:rsid w:val="00DE22DD"/>
    <w:rsid w:val="00DE4AE4"/>
    <w:rsid w:val="00DE55F0"/>
    <w:rsid w:val="00DE5617"/>
    <w:rsid w:val="00DE5657"/>
    <w:rsid w:val="00DE5D31"/>
    <w:rsid w:val="00DE67F1"/>
    <w:rsid w:val="00DE7620"/>
    <w:rsid w:val="00DE78BA"/>
    <w:rsid w:val="00DE7B99"/>
    <w:rsid w:val="00DE7C60"/>
    <w:rsid w:val="00DF0338"/>
    <w:rsid w:val="00DF0489"/>
    <w:rsid w:val="00DF0AFA"/>
    <w:rsid w:val="00DF0E25"/>
    <w:rsid w:val="00DF3E10"/>
    <w:rsid w:val="00DF48E1"/>
    <w:rsid w:val="00DF48F0"/>
    <w:rsid w:val="00DF4D1F"/>
    <w:rsid w:val="00DF5729"/>
    <w:rsid w:val="00DF5BD6"/>
    <w:rsid w:val="00DF5CC3"/>
    <w:rsid w:val="00DF6CA3"/>
    <w:rsid w:val="00DF76DC"/>
    <w:rsid w:val="00DF7F64"/>
    <w:rsid w:val="00E00124"/>
    <w:rsid w:val="00E00583"/>
    <w:rsid w:val="00E015C4"/>
    <w:rsid w:val="00E01645"/>
    <w:rsid w:val="00E01B8D"/>
    <w:rsid w:val="00E0312B"/>
    <w:rsid w:val="00E03538"/>
    <w:rsid w:val="00E042FE"/>
    <w:rsid w:val="00E04480"/>
    <w:rsid w:val="00E04958"/>
    <w:rsid w:val="00E04B18"/>
    <w:rsid w:val="00E054CE"/>
    <w:rsid w:val="00E054E4"/>
    <w:rsid w:val="00E0622D"/>
    <w:rsid w:val="00E078FF"/>
    <w:rsid w:val="00E07FCF"/>
    <w:rsid w:val="00E10716"/>
    <w:rsid w:val="00E10D12"/>
    <w:rsid w:val="00E11F71"/>
    <w:rsid w:val="00E1217B"/>
    <w:rsid w:val="00E12481"/>
    <w:rsid w:val="00E124E3"/>
    <w:rsid w:val="00E12C94"/>
    <w:rsid w:val="00E136B9"/>
    <w:rsid w:val="00E14B2C"/>
    <w:rsid w:val="00E14B2D"/>
    <w:rsid w:val="00E15BA6"/>
    <w:rsid w:val="00E16532"/>
    <w:rsid w:val="00E178A3"/>
    <w:rsid w:val="00E17BEC"/>
    <w:rsid w:val="00E202AF"/>
    <w:rsid w:val="00E20311"/>
    <w:rsid w:val="00E20361"/>
    <w:rsid w:val="00E22174"/>
    <w:rsid w:val="00E2265E"/>
    <w:rsid w:val="00E229B1"/>
    <w:rsid w:val="00E22A55"/>
    <w:rsid w:val="00E23B60"/>
    <w:rsid w:val="00E23C83"/>
    <w:rsid w:val="00E2453C"/>
    <w:rsid w:val="00E2464B"/>
    <w:rsid w:val="00E246B4"/>
    <w:rsid w:val="00E25089"/>
    <w:rsid w:val="00E25984"/>
    <w:rsid w:val="00E25AE5"/>
    <w:rsid w:val="00E26125"/>
    <w:rsid w:val="00E271C2"/>
    <w:rsid w:val="00E3091F"/>
    <w:rsid w:val="00E3167B"/>
    <w:rsid w:val="00E32AF4"/>
    <w:rsid w:val="00E32F43"/>
    <w:rsid w:val="00E33518"/>
    <w:rsid w:val="00E335B7"/>
    <w:rsid w:val="00E338E9"/>
    <w:rsid w:val="00E33D13"/>
    <w:rsid w:val="00E33E00"/>
    <w:rsid w:val="00E3667C"/>
    <w:rsid w:val="00E40206"/>
    <w:rsid w:val="00E41E1F"/>
    <w:rsid w:val="00E42839"/>
    <w:rsid w:val="00E43CB0"/>
    <w:rsid w:val="00E446A3"/>
    <w:rsid w:val="00E446BA"/>
    <w:rsid w:val="00E451B9"/>
    <w:rsid w:val="00E4540D"/>
    <w:rsid w:val="00E4598C"/>
    <w:rsid w:val="00E45AA6"/>
    <w:rsid w:val="00E4671D"/>
    <w:rsid w:val="00E46CE1"/>
    <w:rsid w:val="00E47348"/>
    <w:rsid w:val="00E474E7"/>
    <w:rsid w:val="00E47958"/>
    <w:rsid w:val="00E47C0B"/>
    <w:rsid w:val="00E5088D"/>
    <w:rsid w:val="00E50A55"/>
    <w:rsid w:val="00E5186A"/>
    <w:rsid w:val="00E519F8"/>
    <w:rsid w:val="00E51C03"/>
    <w:rsid w:val="00E52C39"/>
    <w:rsid w:val="00E53363"/>
    <w:rsid w:val="00E53F21"/>
    <w:rsid w:val="00E55192"/>
    <w:rsid w:val="00E554F0"/>
    <w:rsid w:val="00E55840"/>
    <w:rsid w:val="00E55C80"/>
    <w:rsid w:val="00E568BB"/>
    <w:rsid w:val="00E575C9"/>
    <w:rsid w:val="00E57696"/>
    <w:rsid w:val="00E6107F"/>
    <w:rsid w:val="00E61C77"/>
    <w:rsid w:val="00E61D1D"/>
    <w:rsid w:val="00E6261B"/>
    <w:rsid w:val="00E63039"/>
    <w:rsid w:val="00E630BF"/>
    <w:rsid w:val="00E63AF4"/>
    <w:rsid w:val="00E6459D"/>
    <w:rsid w:val="00E64758"/>
    <w:rsid w:val="00E65179"/>
    <w:rsid w:val="00E66068"/>
    <w:rsid w:val="00E66DE6"/>
    <w:rsid w:val="00E67AC6"/>
    <w:rsid w:val="00E67ACA"/>
    <w:rsid w:val="00E67C1A"/>
    <w:rsid w:val="00E7049D"/>
    <w:rsid w:val="00E709DD"/>
    <w:rsid w:val="00E728F4"/>
    <w:rsid w:val="00E73351"/>
    <w:rsid w:val="00E73BFD"/>
    <w:rsid w:val="00E73EB6"/>
    <w:rsid w:val="00E73F27"/>
    <w:rsid w:val="00E752EB"/>
    <w:rsid w:val="00E75884"/>
    <w:rsid w:val="00E75DFD"/>
    <w:rsid w:val="00E7619F"/>
    <w:rsid w:val="00E76386"/>
    <w:rsid w:val="00E7640B"/>
    <w:rsid w:val="00E76D47"/>
    <w:rsid w:val="00E80A7C"/>
    <w:rsid w:val="00E80EC3"/>
    <w:rsid w:val="00E81868"/>
    <w:rsid w:val="00E81B92"/>
    <w:rsid w:val="00E82455"/>
    <w:rsid w:val="00E836CE"/>
    <w:rsid w:val="00E84C3E"/>
    <w:rsid w:val="00E84DFB"/>
    <w:rsid w:val="00E85354"/>
    <w:rsid w:val="00E8565A"/>
    <w:rsid w:val="00E856E9"/>
    <w:rsid w:val="00E865EB"/>
    <w:rsid w:val="00E86D6D"/>
    <w:rsid w:val="00E86DAD"/>
    <w:rsid w:val="00E90043"/>
    <w:rsid w:val="00E9067F"/>
    <w:rsid w:val="00E90817"/>
    <w:rsid w:val="00E90A4D"/>
    <w:rsid w:val="00E92470"/>
    <w:rsid w:val="00E92508"/>
    <w:rsid w:val="00E926BE"/>
    <w:rsid w:val="00E93164"/>
    <w:rsid w:val="00E93DB3"/>
    <w:rsid w:val="00E95170"/>
    <w:rsid w:val="00E95552"/>
    <w:rsid w:val="00E95696"/>
    <w:rsid w:val="00E959ED"/>
    <w:rsid w:val="00E9761B"/>
    <w:rsid w:val="00E9762B"/>
    <w:rsid w:val="00EA1F43"/>
    <w:rsid w:val="00EA21EF"/>
    <w:rsid w:val="00EA2309"/>
    <w:rsid w:val="00EA231D"/>
    <w:rsid w:val="00EA360F"/>
    <w:rsid w:val="00EA426E"/>
    <w:rsid w:val="00EA49A2"/>
    <w:rsid w:val="00EA4E90"/>
    <w:rsid w:val="00EA4F26"/>
    <w:rsid w:val="00EA5680"/>
    <w:rsid w:val="00EA638E"/>
    <w:rsid w:val="00EA6AB5"/>
    <w:rsid w:val="00EB1161"/>
    <w:rsid w:val="00EB1E3E"/>
    <w:rsid w:val="00EB2E18"/>
    <w:rsid w:val="00EB3D90"/>
    <w:rsid w:val="00EB4224"/>
    <w:rsid w:val="00EB44B5"/>
    <w:rsid w:val="00EB47F1"/>
    <w:rsid w:val="00EB4C3A"/>
    <w:rsid w:val="00EB4FD9"/>
    <w:rsid w:val="00EB5E89"/>
    <w:rsid w:val="00EB6355"/>
    <w:rsid w:val="00EB6AC4"/>
    <w:rsid w:val="00EB716F"/>
    <w:rsid w:val="00EB7672"/>
    <w:rsid w:val="00EC02D9"/>
    <w:rsid w:val="00EC0B9B"/>
    <w:rsid w:val="00EC1468"/>
    <w:rsid w:val="00EC29D6"/>
    <w:rsid w:val="00EC2F15"/>
    <w:rsid w:val="00EC3C2E"/>
    <w:rsid w:val="00EC3FB6"/>
    <w:rsid w:val="00EC46C2"/>
    <w:rsid w:val="00EC4CD8"/>
    <w:rsid w:val="00EC508A"/>
    <w:rsid w:val="00EC5362"/>
    <w:rsid w:val="00EC5391"/>
    <w:rsid w:val="00EC645C"/>
    <w:rsid w:val="00EC682C"/>
    <w:rsid w:val="00EC6878"/>
    <w:rsid w:val="00EC6CA6"/>
    <w:rsid w:val="00EC6E03"/>
    <w:rsid w:val="00EC70C1"/>
    <w:rsid w:val="00EC7F9D"/>
    <w:rsid w:val="00ED082F"/>
    <w:rsid w:val="00ED0E2A"/>
    <w:rsid w:val="00ED1263"/>
    <w:rsid w:val="00ED126E"/>
    <w:rsid w:val="00ED14E6"/>
    <w:rsid w:val="00ED1EC9"/>
    <w:rsid w:val="00ED2155"/>
    <w:rsid w:val="00ED282E"/>
    <w:rsid w:val="00ED2F8F"/>
    <w:rsid w:val="00ED33BE"/>
    <w:rsid w:val="00ED371C"/>
    <w:rsid w:val="00ED38F4"/>
    <w:rsid w:val="00ED40D6"/>
    <w:rsid w:val="00ED4260"/>
    <w:rsid w:val="00ED55BA"/>
    <w:rsid w:val="00ED63B7"/>
    <w:rsid w:val="00ED67AA"/>
    <w:rsid w:val="00ED67DB"/>
    <w:rsid w:val="00ED6958"/>
    <w:rsid w:val="00ED6B73"/>
    <w:rsid w:val="00ED7F67"/>
    <w:rsid w:val="00EE13F8"/>
    <w:rsid w:val="00EE14CC"/>
    <w:rsid w:val="00EE15D1"/>
    <w:rsid w:val="00EE1DCC"/>
    <w:rsid w:val="00EE2198"/>
    <w:rsid w:val="00EE373E"/>
    <w:rsid w:val="00EE3834"/>
    <w:rsid w:val="00EE39C8"/>
    <w:rsid w:val="00EE4BFB"/>
    <w:rsid w:val="00EE4EF8"/>
    <w:rsid w:val="00EE6070"/>
    <w:rsid w:val="00EE7376"/>
    <w:rsid w:val="00EE7600"/>
    <w:rsid w:val="00EF0727"/>
    <w:rsid w:val="00EF093C"/>
    <w:rsid w:val="00EF0F29"/>
    <w:rsid w:val="00EF176C"/>
    <w:rsid w:val="00EF3456"/>
    <w:rsid w:val="00EF394F"/>
    <w:rsid w:val="00EF46D8"/>
    <w:rsid w:val="00EF5A1E"/>
    <w:rsid w:val="00EF6327"/>
    <w:rsid w:val="00EF6539"/>
    <w:rsid w:val="00EF6726"/>
    <w:rsid w:val="00EF6D9A"/>
    <w:rsid w:val="00EF6DB2"/>
    <w:rsid w:val="00EF71C3"/>
    <w:rsid w:val="00F01486"/>
    <w:rsid w:val="00F01631"/>
    <w:rsid w:val="00F016A5"/>
    <w:rsid w:val="00F01923"/>
    <w:rsid w:val="00F05743"/>
    <w:rsid w:val="00F05812"/>
    <w:rsid w:val="00F07002"/>
    <w:rsid w:val="00F07D9F"/>
    <w:rsid w:val="00F10F74"/>
    <w:rsid w:val="00F1128B"/>
    <w:rsid w:val="00F11BEB"/>
    <w:rsid w:val="00F11D11"/>
    <w:rsid w:val="00F13203"/>
    <w:rsid w:val="00F134C7"/>
    <w:rsid w:val="00F1501A"/>
    <w:rsid w:val="00F159D6"/>
    <w:rsid w:val="00F15CCF"/>
    <w:rsid w:val="00F15F2D"/>
    <w:rsid w:val="00F160BC"/>
    <w:rsid w:val="00F17EA2"/>
    <w:rsid w:val="00F2023C"/>
    <w:rsid w:val="00F20F4C"/>
    <w:rsid w:val="00F21C0E"/>
    <w:rsid w:val="00F23718"/>
    <w:rsid w:val="00F23847"/>
    <w:rsid w:val="00F23ED0"/>
    <w:rsid w:val="00F241C1"/>
    <w:rsid w:val="00F262C6"/>
    <w:rsid w:val="00F26D94"/>
    <w:rsid w:val="00F3021F"/>
    <w:rsid w:val="00F33251"/>
    <w:rsid w:val="00F3411B"/>
    <w:rsid w:val="00F349AF"/>
    <w:rsid w:val="00F3662E"/>
    <w:rsid w:val="00F36881"/>
    <w:rsid w:val="00F369EB"/>
    <w:rsid w:val="00F36FA0"/>
    <w:rsid w:val="00F3702F"/>
    <w:rsid w:val="00F3790D"/>
    <w:rsid w:val="00F40534"/>
    <w:rsid w:val="00F40991"/>
    <w:rsid w:val="00F40B0B"/>
    <w:rsid w:val="00F40E4A"/>
    <w:rsid w:val="00F4156B"/>
    <w:rsid w:val="00F41A72"/>
    <w:rsid w:val="00F41EB2"/>
    <w:rsid w:val="00F421FB"/>
    <w:rsid w:val="00F4251A"/>
    <w:rsid w:val="00F42AD1"/>
    <w:rsid w:val="00F42AF4"/>
    <w:rsid w:val="00F42BCC"/>
    <w:rsid w:val="00F42D2D"/>
    <w:rsid w:val="00F43443"/>
    <w:rsid w:val="00F435DC"/>
    <w:rsid w:val="00F43739"/>
    <w:rsid w:val="00F441BC"/>
    <w:rsid w:val="00F44973"/>
    <w:rsid w:val="00F45C1E"/>
    <w:rsid w:val="00F476D6"/>
    <w:rsid w:val="00F478E4"/>
    <w:rsid w:val="00F51FE5"/>
    <w:rsid w:val="00F52A15"/>
    <w:rsid w:val="00F52B1B"/>
    <w:rsid w:val="00F5332B"/>
    <w:rsid w:val="00F533E1"/>
    <w:rsid w:val="00F53731"/>
    <w:rsid w:val="00F53825"/>
    <w:rsid w:val="00F539CC"/>
    <w:rsid w:val="00F53D70"/>
    <w:rsid w:val="00F5463B"/>
    <w:rsid w:val="00F54C12"/>
    <w:rsid w:val="00F55399"/>
    <w:rsid w:val="00F553FC"/>
    <w:rsid w:val="00F5626E"/>
    <w:rsid w:val="00F5661D"/>
    <w:rsid w:val="00F56F6B"/>
    <w:rsid w:val="00F57131"/>
    <w:rsid w:val="00F57206"/>
    <w:rsid w:val="00F573F2"/>
    <w:rsid w:val="00F60060"/>
    <w:rsid w:val="00F60AB6"/>
    <w:rsid w:val="00F61114"/>
    <w:rsid w:val="00F617A1"/>
    <w:rsid w:val="00F62158"/>
    <w:rsid w:val="00F62224"/>
    <w:rsid w:val="00F62B12"/>
    <w:rsid w:val="00F63E39"/>
    <w:rsid w:val="00F64072"/>
    <w:rsid w:val="00F64D42"/>
    <w:rsid w:val="00F655A3"/>
    <w:rsid w:val="00F65DEF"/>
    <w:rsid w:val="00F66052"/>
    <w:rsid w:val="00F66655"/>
    <w:rsid w:val="00F67D02"/>
    <w:rsid w:val="00F67FB7"/>
    <w:rsid w:val="00F71428"/>
    <w:rsid w:val="00F724BC"/>
    <w:rsid w:val="00F72905"/>
    <w:rsid w:val="00F72CC2"/>
    <w:rsid w:val="00F73263"/>
    <w:rsid w:val="00F733BC"/>
    <w:rsid w:val="00F73620"/>
    <w:rsid w:val="00F739FD"/>
    <w:rsid w:val="00F75451"/>
    <w:rsid w:val="00F757A5"/>
    <w:rsid w:val="00F760E1"/>
    <w:rsid w:val="00F76C81"/>
    <w:rsid w:val="00F76D0B"/>
    <w:rsid w:val="00F779F9"/>
    <w:rsid w:val="00F77B86"/>
    <w:rsid w:val="00F77CB9"/>
    <w:rsid w:val="00F8111E"/>
    <w:rsid w:val="00F81D25"/>
    <w:rsid w:val="00F81DD6"/>
    <w:rsid w:val="00F824AA"/>
    <w:rsid w:val="00F832D1"/>
    <w:rsid w:val="00F834D1"/>
    <w:rsid w:val="00F835AE"/>
    <w:rsid w:val="00F8394A"/>
    <w:rsid w:val="00F83E28"/>
    <w:rsid w:val="00F847CE"/>
    <w:rsid w:val="00F84B16"/>
    <w:rsid w:val="00F84EF0"/>
    <w:rsid w:val="00F85284"/>
    <w:rsid w:val="00F85E18"/>
    <w:rsid w:val="00F86D14"/>
    <w:rsid w:val="00F86F73"/>
    <w:rsid w:val="00F87A62"/>
    <w:rsid w:val="00F87B1A"/>
    <w:rsid w:val="00F87B96"/>
    <w:rsid w:val="00F9016D"/>
    <w:rsid w:val="00F91A65"/>
    <w:rsid w:val="00F91F82"/>
    <w:rsid w:val="00F923BB"/>
    <w:rsid w:val="00F926F4"/>
    <w:rsid w:val="00F92710"/>
    <w:rsid w:val="00F92B69"/>
    <w:rsid w:val="00F9329B"/>
    <w:rsid w:val="00F9376C"/>
    <w:rsid w:val="00F940AB"/>
    <w:rsid w:val="00F94477"/>
    <w:rsid w:val="00F94714"/>
    <w:rsid w:val="00F959E2"/>
    <w:rsid w:val="00F95C3F"/>
    <w:rsid w:val="00F95C56"/>
    <w:rsid w:val="00F964FB"/>
    <w:rsid w:val="00F96766"/>
    <w:rsid w:val="00F96ADB"/>
    <w:rsid w:val="00F97576"/>
    <w:rsid w:val="00FA0337"/>
    <w:rsid w:val="00FA03C3"/>
    <w:rsid w:val="00FA0B90"/>
    <w:rsid w:val="00FA0B9F"/>
    <w:rsid w:val="00FA18DC"/>
    <w:rsid w:val="00FA1EF9"/>
    <w:rsid w:val="00FA2093"/>
    <w:rsid w:val="00FA2C71"/>
    <w:rsid w:val="00FA2FFA"/>
    <w:rsid w:val="00FA4A2E"/>
    <w:rsid w:val="00FA57BA"/>
    <w:rsid w:val="00FA604E"/>
    <w:rsid w:val="00FA61E4"/>
    <w:rsid w:val="00FA688E"/>
    <w:rsid w:val="00FA731B"/>
    <w:rsid w:val="00FB02EF"/>
    <w:rsid w:val="00FB12DF"/>
    <w:rsid w:val="00FB15E9"/>
    <w:rsid w:val="00FB17D6"/>
    <w:rsid w:val="00FB22BB"/>
    <w:rsid w:val="00FB2534"/>
    <w:rsid w:val="00FB4734"/>
    <w:rsid w:val="00FB4F3A"/>
    <w:rsid w:val="00FB53DF"/>
    <w:rsid w:val="00FB6694"/>
    <w:rsid w:val="00FB6E51"/>
    <w:rsid w:val="00FB712B"/>
    <w:rsid w:val="00FB7487"/>
    <w:rsid w:val="00FB7B43"/>
    <w:rsid w:val="00FC14AD"/>
    <w:rsid w:val="00FC177B"/>
    <w:rsid w:val="00FC1B69"/>
    <w:rsid w:val="00FC2CAE"/>
    <w:rsid w:val="00FC30FB"/>
    <w:rsid w:val="00FC32EF"/>
    <w:rsid w:val="00FC4062"/>
    <w:rsid w:val="00FC4C13"/>
    <w:rsid w:val="00FC4E37"/>
    <w:rsid w:val="00FC4F3D"/>
    <w:rsid w:val="00FC547C"/>
    <w:rsid w:val="00FC6D1B"/>
    <w:rsid w:val="00FC70C4"/>
    <w:rsid w:val="00FD0533"/>
    <w:rsid w:val="00FD0992"/>
    <w:rsid w:val="00FD46C4"/>
    <w:rsid w:val="00FD5C5F"/>
    <w:rsid w:val="00FD6785"/>
    <w:rsid w:val="00FD7A74"/>
    <w:rsid w:val="00FD7B1A"/>
    <w:rsid w:val="00FE0205"/>
    <w:rsid w:val="00FE0344"/>
    <w:rsid w:val="00FE03E9"/>
    <w:rsid w:val="00FE0D05"/>
    <w:rsid w:val="00FE0E91"/>
    <w:rsid w:val="00FE2DAB"/>
    <w:rsid w:val="00FE32E6"/>
    <w:rsid w:val="00FE3A7D"/>
    <w:rsid w:val="00FE4B9E"/>
    <w:rsid w:val="00FE50C9"/>
    <w:rsid w:val="00FE530A"/>
    <w:rsid w:val="00FF0553"/>
    <w:rsid w:val="00FF23FA"/>
    <w:rsid w:val="00FF3AA7"/>
    <w:rsid w:val="00FF42C3"/>
    <w:rsid w:val="00FF43E3"/>
    <w:rsid w:val="00FF43FE"/>
    <w:rsid w:val="00FF4910"/>
    <w:rsid w:val="00FF5293"/>
    <w:rsid w:val="00FF52EB"/>
    <w:rsid w:val="00FF5436"/>
    <w:rsid w:val="00FF584D"/>
    <w:rsid w:val="00FF5C42"/>
    <w:rsid w:val="00FF5CBD"/>
    <w:rsid w:val="00FF5F23"/>
    <w:rsid w:val="00FF6091"/>
    <w:rsid w:val="00FF68EC"/>
    <w:rsid w:val="00FF6EF2"/>
    <w:rsid w:val="00FF708D"/>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numPr>
        <w:numId w:val="8"/>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numPr>
        <w:ilvl w:val="2"/>
        <w:numId w:val="8"/>
      </w:numPr>
      <w:spacing w:before="40" w:after="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numPr>
        <w:ilvl w:val="3"/>
        <w:numId w:val="8"/>
      </w:numPr>
      <w:spacing w:before="40" w:after="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numPr>
        <w:ilvl w:val="4"/>
        <w:numId w:val="8"/>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9755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755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755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59"/>
    <w:rsid w:val="00133BC9"/>
    <w:pPr>
      <w:spacing w:before="40" w:after="40" w:line="240" w:lineRule="auto"/>
      <w:ind w:firstLine="0"/>
      <w:jc w:val="left"/>
    </w:pPr>
    <w:rPr>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7C0491"/>
    <w:pPr>
      <w:numPr>
        <w:ilvl w:val="1"/>
        <w:numId w:val="10"/>
      </w:numPr>
      <w:tabs>
        <w:tab w:val="right" w:leader="dot" w:pos="9111"/>
      </w:tabs>
      <w:spacing w:after="100"/>
    </w:pPr>
  </w:style>
  <w:style w:type="paragraph" w:styleId="TOC2">
    <w:name w:val="toc 2"/>
    <w:basedOn w:val="Normal"/>
    <w:next w:val="Normal"/>
    <w:autoRedefine/>
    <w:uiPriority w:val="39"/>
    <w:unhideWhenUsed/>
    <w:rsid w:val="00E15BA6"/>
    <w:pPr>
      <w:tabs>
        <w:tab w:val="right" w:leader="dot" w:pos="9111"/>
      </w:tabs>
      <w:spacing w:after="10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3E4607"/>
    <w:pPr>
      <w:spacing w:after="0"/>
      <w:ind w:firstLine="0"/>
      <w:jc w:val="left"/>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 w:type="table" w:customStyle="1" w:styleId="Style1">
    <w:name w:val="Style1"/>
    <w:basedOn w:val="TableNormal"/>
    <w:uiPriority w:val="99"/>
    <w:rsid w:val="00712409"/>
    <w:pPr>
      <w:spacing w:before="80" w:after="8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C97552"/>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semiHidden/>
    <w:rsid w:val="00C97552"/>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C97552"/>
    <w:rPr>
      <w:rFonts w:asciiTheme="majorHAnsi" w:eastAsiaTheme="majorEastAsia" w:hAnsiTheme="majorHAnsi" w:cstheme="majorBidi"/>
      <w:i/>
      <w:iCs/>
      <w:noProof/>
      <w:color w:val="272727" w:themeColor="text1" w:themeTint="D8"/>
      <w:sz w:val="21"/>
      <w:szCs w:val="21"/>
    </w:rPr>
  </w:style>
  <w:style w:type="paragraph" w:customStyle="1" w:styleId="TOC">
    <w:name w:val="TOC"/>
    <w:basedOn w:val="Heading1"/>
    <w:link w:val="TOCChar"/>
    <w:qFormat/>
    <w:rsid w:val="00835C44"/>
    <w:pPr>
      <w:numPr>
        <w:numId w:val="0"/>
      </w:numPr>
    </w:pPr>
  </w:style>
  <w:style w:type="character" w:customStyle="1" w:styleId="TOCChar">
    <w:name w:val="TOC Char"/>
    <w:basedOn w:val="Heading1Char"/>
    <w:link w:val="TOC"/>
    <w:rsid w:val="00835C44"/>
    <w:rPr>
      <w:rFonts w:ascii="Times New Roman" w:eastAsiaTheme="majorEastAsia" w:hAnsi="Times New Roman" w:cstheme="majorBidi"/>
      <w:b/>
      <w:noProof/>
      <w:color w:val="00000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69076045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Props1.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4038</TotalTime>
  <Pages>61</Pages>
  <Words>23428</Words>
  <Characters>133542</Characters>
  <Application>Microsoft Office Word</Application>
  <DocSecurity>0</DocSecurity>
  <Lines>1112</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3576</cp:revision>
  <dcterms:created xsi:type="dcterms:W3CDTF">2022-11-14T16:14:00Z</dcterms:created>
  <dcterms:modified xsi:type="dcterms:W3CDTF">2023-04-28T10:09:00Z</dcterms:modified>
</cp:coreProperties>
</file>