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31BFDD44" w14:textId="25E55DC7" w:rsidR="00154EE7"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48894" w:history="1">
            <w:r w:rsidR="00154EE7" w:rsidRPr="00DF34BA">
              <w:rPr>
                <w:rStyle w:val="Hyperlink"/>
              </w:rPr>
              <w:t>ĐẶT VẤN ĐỀ</w:t>
            </w:r>
            <w:r w:rsidR="00154EE7">
              <w:rPr>
                <w:webHidden/>
              </w:rPr>
              <w:tab/>
            </w:r>
            <w:r w:rsidR="00154EE7">
              <w:rPr>
                <w:webHidden/>
              </w:rPr>
              <w:fldChar w:fldCharType="begin"/>
            </w:r>
            <w:r w:rsidR="00154EE7">
              <w:rPr>
                <w:webHidden/>
              </w:rPr>
              <w:instrText xml:space="preserve"> PAGEREF _Toc134948894 \h </w:instrText>
            </w:r>
            <w:r w:rsidR="00154EE7">
              <w:rPr>
                <w:webHidden/>
              </w:rPr>
            </w:r>
            <w:r w:rsidR="00154EE7">
              <w:rPr>
                <w:webHidden/>
              </w:rPr>
              <w:fldChar w:fldCharType="separate"/>
            </w:r>
            <w:r w:rsidR="00154EE7">
              <w:rPr>
                <w:webHidden/>
              </w:rPr>
              <w:t>1</w:t>
            </w:r>
            <w:r w:rsidR="00154EE7">
              <w:rPr>
                <w:webHidden/>
              </w:rPr>
              <w:fldChar w:fldCharType="end"/>
            </w:r>
          </w:hyperlink>
        </w:p>
        <w:p w14:paraId="28984455" w14:textId="465125B7"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895" w:history="1">
            <w:r w:rsidRPr="00DF34BA">
              <w:rPr>
                <w:rStyle w:val="Hyperlink"/>
              </w:rPr>
              <w:t>Chương 1 – TỔNG QUAN</w:t>
            </w:r>
            <w:r>
              <w:rPr>
                <w:webHidden/>
              </w:rPr>
              <w:tab/>
            </w:r>
            <w:r>
              <w:rPr>
                <w:webHidden/>
              </w:rPr>
              <w:fldChar w:fldCharType="begin"/>
            </w:r>
            <w:r>
              <w:rPr>
                <w:webHidden/>
              </w:rPr>
              <w:instrText xml:space="preserve"> PAGEREF _Toc134948895 \h </w:instrText>
            </w:r>
            <w:r>
              <w:rPr>
                <w:webHidden/>
              </w:rPr>
            </w:r>
            <w:r>
              <w:rPr>
                <w:webHidden/>
              </w:rPr>
              <w:fldChar w:fldCharType="separate"/>
            </w:r>
            <w:r>
              <w:rPr>
                <w:webHidden/>
              </w:rPr>
              <w:t>3</w:t>
            </w:r>
            <w:r>
              <w:rPr>
                <w:webHidden/>
              </w:rPr>
              <w:fldChar w:fldCharType="end"/>
            </w:r>
          </w:hyperlink>
        </w:p>
        <w:p w14:paraId="7482476B" w14:textId="486043E0"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6" w:history="1">
            <w:r w:rsidRPr="00DF34BA">
              <w:rPr>
                <w:rStyle w:val="Hyperlink"/>
              </w:rPr>
              <w:t>1.1. Tình hình mắc lao hiện nay</w:t>
            </w:r>
            <w:r>
              <w:rPr>
                <w:webHidden/>
              </w:rPr>
              <w:tab/>
            </w:r>
            <w:r>
              <w:rPr>
                <w:webHidden/>
              </w:rPr>
              <w:fldChar w:fldCharType="begin"/>
            </w:r>
            <w:r>
              <w:rPr>
                <w:webHidden/>
              </w:rPr>
              <w:instrText xml:space="preserve"> PAGEREF _Toc134948896 \h </w:instrText>
            </w:r>
            <w:r>
              <w:rPr>
                <w:webHidden/>
              </w:rPr>
            </w:r>
            <w:r>
              <w:rPr>
                <w:webHidden/>
              </w:rPr>
              <w:fldChar w:fldCharType="separate"/>
            </w:r>
            <w:r>
              <w:rPr>
                <w:webHidden/>
              </w:rPr>
              <w:t>3</w:t>
            </w:r>
            <w:r>
              <w:rPr>
                <w:webHidden/>
              </w:rPr>
              <w:fldChar w:fldCharType="end"/>
            </w:r>
          </w:hyperlink>
        </w:p>
        <w:p w14:paraId="44FACC35" w14:textId="49162C0E"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7" w:history="1">
            <w:r w:rsidRPr="00DF34BA">
              <w:rPr>
                <w:rStyle w:val="Hyperlink"/>
              </w:rPr>
              <w:t>1.2. Một số hiểu biết về bệnh lao phổi</w:t>
            </w:r>
            <w:r>
              <w:rPr>
                <w:webHidden/>
              </w:rPr>
              <w:tab/>
            </w:r>
            <w:r>
              <w:rPr>
                <w:webHidden/>
              </w:rPr>
              <w:fldChar w:fldCharType="begin"/>
            </w:r>
            <w:r>
              <w:rPr>
                <w:webHidden/>
              </w:rPr>
              <w:instrText xml:space="preserve"> PAGEREF _Toc134948897 \h </w:instrText>
            </w:r>
            <w:r>
              <w:rPr>
                <w:webHidden/>
              </w:rPr>
            </w:r>
            <w:r>
              <w:rPr>
                <w:webHidden/>
              </w:rPr>
              <w:fldChar w:fldCharType="separate"/>
            </w:r>
            <w:r>
              <w:rPr>
                <w:webHidden/>
              </w:rPr>
              <w:t>5</w:t>
            </w:r>
            <w:r>
              <w:rPr>
                <w:webHidden/>
              </w:rPr>
              <w:fldChar w:fldCharType="end"/>
            </w:r>
          </w:hyperlink>
        </w:p>
        <w:p w14:paraId="6478DC4D" w14:textId="71B96BFC"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8" w:history="1">
            <w:r w:rsidRPr="00DF34BA">
              <w:rPr>
                <w:rStyle w:val="Hyperlink"/>
              </w:rPr>
              <w:t>1.3. Dinh dưỡng bệnh nhân lao phổi</w:t>
            </w:r>
            <w:r>
              <w:rPr>
                <w:webHidden/>
              </w:rPr>
              <w:tab/>
            </w:r>
            <w:r>
              <w:rPr>
                <w:webHidden/>
              </w:rPr>
              <w:fldChar w:fldCharType="begin"/>
            </w:r>
            <w:r>
              <w:rPr>
                <w:webHidden/>
              </w:rPr>
              <w:instrText xml:space="preserve"> PAGEREF _Toc134948898 \h </w:instrText>
            </w:r>
            <w:r>
              <w:rPr>
                <w:webHidden/>
              </w:rPr>
            </w:r>
            <w:r>
              <w:rPr>
                <w:webHidden/>
              </w:rPr>
              <w:fldChar w:fldCharType="separate"/>
            </w:r>
            <w:r>
              <w:rPr>
                <w:webHidden/>
              </w:rPr>
              <w:t>14</w:t>
            </w:r>
            <w:r>
              <w:rPr>
                <w:webHidden/>
              </w:rPr>
              <w:fldChar w:fldCharType="end"/>
            </w:r>
          </w:hyperlink>
        </w:p>
        <w:p w14:paraId="0BA86804" w14:textId="2BB2EDF9"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9" w:history="1">
            <w:r w:rsidRPr="00DF34BA">
              <w:rPr>
                <w:rStyle w:val="Hyperlink"/>
              </w:rPr>
              <w:t>1.4. Phương pháp đánh giá tình trạng dinh dưỡng của bệnh nhân</w:t>
            </w:r>
            <w:r>
              <w:rPr>
                <w:webHidden/>
              </w:rPr>
              <w:tab/>
            </w:r>
            <w:r>
              <w:rPr>
                <w:webHidden/>
              </w:rPr>
              <w:fldChar w:fldCharType="begin"/>
            </w:r>
            <w:r>
              <w:rPr>
                <w:webHidden/>
              </w:rPr>
              <w:instrText xml:space="preserve"> PAGEREF _Toc134948899 \h </w:instrText>
            </w:r>
            <w:r>
              <w:rPr>
                <w:webHidden/>
              </w:rPr>
            </w:r>
            <w:r>
              <w:rPr>
                <w:webHidden/>
              </w:rPr>
              <w:fldChar w:fldCharType="separate"/>
            </w:r>
            <w:r>
              <w:rPr>
                <w:webHidden/>
              </w:rPr>
              <w:t>15</w:t>
            </w:r>
            <w:r>
              <w:rPr>
                <w:webHidden/>
              </w:rPr>
              <w:fldChar w:fldCharType="end"/>
            </w:r>
          </w:hyperlink>
        </w:p>
        <w:p w14:paraId="56AB2676" w14:textId="05D1F518"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0" w:history="1">
            <w:r w:rsidRPr="00DF34BA">
              <w:rPr>
                <w:rStyle w:val="Hyperlink"/>
              </w:rPr>
              <w:t>Chương 2 - ĐỐI TƯỢNG VÀ PHƯƠNG PHÁP NGHIÊN CỨU</w:t>
            </w:r>
            <w:r>
              <w:rPr>
                <w:webHidden/>
              </w:rPr>
              <w:tab/>
            </w:r>
            <w:r>
              <w:rPr>
                <w:webHidden/>
              </w:rPr>
              <w:fldChar w:fldCharType="begin"/>
            </w:r>
            <w:r>
              <w:rPr>
                <w:webHidden/>
              </w:rPr>
              <w:instrText xml:space="preserve"> PAGEREF _Toc134948900 \h </w:instrText>
            </w:r>
            <w:r>
              <w:rPr>
                <w:webHidden/>
              </w:rPr>
            </w:r>
            <w:r>
              <w:rPr>
                <w:webHidden/>
              </w:rPr>
              <w:fldChar w:fldCharType="separate"/>
            </w:r>
            <w:r>
              <w:rPr>
                <w:webHidden/>
              </w:rPr>
              <w:t>20</w:t>
            </w:r>
            <w:r>
              <w:rPr>
                <w:webHidden/>
              </w:rPr>
              <w:fldChar w:fldCharType="end"/>
            </w:r>
          </w:hyperlink>
        </w:p>
        <w:p w14:paraId="7EEF61DE" w14:textId="2FFE09D2"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1" w:history="1">
            <w:r w:rsidRPr="00DF34BA">
              <w:rPr>
                <w:rStyle w:val="Hyperlink"/>
              </w:rPr>
              <w:t>2.1. Đối tượng, thời gian và địa điểm nghiên cứu</w:t>
            </w:r>
            <w:r>
              <w:rPr>
                <w:webHidden/>
              </w:rPr>
              <w:tab/>
            </w:r>
            <w:r>
              <w:rPr>
                <w:webHidden/>
              </w:rPr>
              <w:fldChar w:fldCharType="begin"/>
            </w:r>
            <w:r>
              <w:rPr>
                <w:webHidden/>
              </w:rPr>
              <w:instrText xml:space="preserve"> PAGEREF _Toc134948901 \h </w:instrText>
            </w:r>
            <w:r>
              <w:rPr>
                <w:webHidden/>
              </w:rPr>
            </w:r>
            <w:r>
              <w:rPr>
                <w:webHidden/>
              </w:rPr>
              <w:fldChar w:fldCharType="separate"/>
            </w:r>
            <w:r>
              <w:rPr>
                <w:webHidden/>
              </w:rPr>
              <w:t>20</w:t>
            </w:r>
            <w:r>
              <w:rPr>
                <w:webHidden/>
              </w:rPr>
              <w:fldChar w:fldCharType="end"/>
            </w:r>
          </w:hyperlink>
        </w:p>
        <w:p w14:paraId="408A7C28" w14:textId="35BF472C"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2" w:history="1">
            <w:r w:rsidRPr="00DF34BA">
              <w:rPr>
                <w:rStyle w:val="Hyperlink"/>
              </w:rPr>
              <w:t>2.2. Phương pháp nghiên cứu</w:t>
            </w:r>
            <w:r>
              <w:rPr>
                <w:webHidden/>
              </w:rPr>
              <w:tab/>
            </w:r>
            <w:r>
              <w:rPr>
                <w:webHidden/>
              </w:rPr>
              <w:fldChar w:fldCharType="begin"/>
            </w:r>
            <w:r>
              <w:rPr>
                <w:webHidden/>
              </w:rPr>
              <w:instrText xml:space="preserve"> PAGEREF _Toc134948902 \h </w:instrText>
            </w:r>
            <w:r>
              <w:rPr>
                <w:webHidden/>
              </w:rPr>
            </w:r>
            <w:r>
              <w:rPr>
                <w:webHidden/>
              </w:rPr>
              <w:fldChar w:fldCharType="separate"/>
            </w:r>
            <w:r>
              <w:rPr>
                <w:webHidden/>
              </w:rPr>
              <w:t>22</w:t>
            </w:r>
            <w:r>
              <w:rPr>
                <w:webHidden/>
              </w:rPr>
              <w:fldChar w:fldCharType="end"/>
            </w:r>
          </w:hyperlink>
        </w:p>
        <w:p w14:paraId="1BC9E3C6" w14:textId="07DB1A3B"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3" w:history="1">
            <w:r w:rsidRPr="00DF34BA">
              <w:rPr>
                <w:rStyle w:val="Hyperlink"/>
              </w:rPr>
              <w:t>Chương 3 – KẾT QUẢ</w:t>
            </w:r>
            <w:r>
              <w:rPr>
                <w:webHidden/>
              </w:rPr>
              <w:tab/>
            </w:r>
            <w:r>
              <w:rPr>
                <w:webHidden/>
              </w:rPr>
              <w:fldChar w:fldCharType="begin"/>
            </w:r>
            <w:r>
              <w:rPr>
                <w:webHidden/>
              </w:rPr>
              <w:instrText xml:space="preserve"> PAGEREF _Toc134948903 \h </w:instrText>
            </w:r>
            <w:r>
              <w:rPr>
                <w:webHidden/>
              </w:rPr>
            </w:r>
            <w:r>
              <w:rPr>
                <w:webHidden/>
              </w:rPr>
              <w:fldChar w:fldCharType="separate"/>
            </w:r>
            <w:r>
              <w:rPr>
                <w:webHidden/>
              </w:rPr>
              <w:t>28</w:t>
            </w:r>
            <w:r>
              <w:rPr>
                <w:webHidden/>
              </w:rPr>
              <w:fldChar w:fldCharType="end"/>
            </w:r>
          </w:hyperlink>
        </w:p>
        <w:p w14:paraId="2B33E338" w14:textId="6464E745"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4" w:history="1">
            <w:r w:rsidRPr="00DF34BA">
              <w:rPr>
                <w:rStyle w:val="Hyperlink"/>
              </w:rPr>
              <w:t>3.1. Đặc điểm tình trạng dinh dưỡng của đối tượng nghiên cứu</w:t>
            </w:r>
            <w:r>
              <w:rPr>
                <w:webHidden/>
              </w:rPr>
              <w:tab/>
            </w:r>
            <w:r>
              <w:rPr>
                <w:webHidden/>
              </w:rPr>
              <w:fldChar w:fldCharType="begin"/>
            </w:r>
            <w:r>
              <w:rPr>
                <w:webHidden/>
              </w:rPr>
              <w:instrText xml:space="preserve"> PAGEREF _Toc134948904 \h </w:instrText>
            </w:r>
            <w:r>
              <w:rPr>
                <w:webHidden/>
              </w:rPr>
            </w:r>
            <w:r>
              <w:rPr>
                <w:webHidden/>
              </w:rPr>
              <w:fldChar w:fldCharType="separate"/>
            </w:r>
            <w:r>
              <w:rPr>
                <w:webHidden/>
              </w:rPr>
              <w:t>28</w:t>
            </w:r>
            <w:r>
              <w:rPr>
                <w:webHidden/>
              </w:rPr>
              <w:fldChar w:fldCharType="end"/>
            </w:r>
          </w:hyperlink>
        </w:p>
        <w:p w14:paraId="00A0AF58" w14:textId="01B2A6AC"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5" w:history="1">
            <w:r w:rsidRPr="00DF34BA">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_Toc134948905 \h </w:instrText>
            </w:r>
            <w:r>
              <w:rPr>
                <w:webHidden/>
              </w:rPr>
            </w:r>
            <w:r>
              <w:rPr>
                <w:webHidden/>
              </w:rPr>
              <w:fldChar w:fldCharType="separate"/>
            </w:r>
            <w:r>
              <w:rPr>
                <w:webHidden/>
              </w:rPr>
              <w:t>36</w:t>
            </w:r>
            <w:r>
              <w:rPr>
                <w:webHidden/>
              </w:rPr>
              <w:fldChar w:fldCharType="end"/>
            </w:r>
          </w:hyperlink>
        </w:p>
        <w:p w14:paraId="2F7367D6" w14:textId="3BC7581C"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6" w:history="1">
            <w:r w:rsidRPr="00DF34BA">
              <w:rPr>
                <w:rStyle w:val="Hyperlink"/>
              </w:rPr>
              <w:t>Chương 4 – BÀN LUẬN</w:t>
            </w:r>
            <w:r>
              <w:rPr>
                <w:webHidden/>
              </w:rPr>
              <w:tab/>
            </w:r>
            <w:r>
              <w:rPr>
                <w:webHidden/>
              </w:rPr>
              <w:fldChar w:fldCharType="begin"/>
            </w:r>
            <w:r>
              <w:rPr>
                <w:webHidden/>
              </w:rPr>
              <w:instrText xml:space="preserve"> PAGEREF _Toc134948906 \h </w:instrText>
            </w:r>
            <w:r>
              <w:rPr>
                <w:webHidden/>
              </w:rPr>
            </w:r>
            <w:r>
              <w:rPr>
                <w:webHidden/>
              </w:rPr>
              <w:fldChar w:fldCharType="separate"/>
            </w:r>
            <w:r>
              <w:rPr>
                <w:webHidden/>
              </w:rPr>
              <w:t>47</w:t>
            </w:r>
            <w:r>
              <w:rPr>
                <w:webHidden/>
              </w:rPr>
              <w:fldChar w:fldCharType="end"/>
            </w:r>
          </w:hyperlink>
        </w:p>
        <w:p w14:paraId="79633E4D" w14:textId="742066CC"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7" w:history="1">
            <w:r w:rsidRPr="00DF34BA">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_Toc134948907 \h </w:instrText>
            </w:r>
            <w:r>
              <w:rPr>
                <w:webHidden/>
              </w:rPr>
            </w:r>
            <w:r>
              <w:rPr>
                <w:webHidden/>
              </w:rPr>
              <w:fldChar w:fldCharType="separate"/>
            </w:r>
            <w:r>
              <w:rPr>
                <w:webHidden/>
              </w:rPr>
              <w:t>47</w:t>
            </w:r>
            <w:r>
              <w:rPr>
                <w:webHidden/>
              </w:rPr>
              <w:fldChar w:fldCharType="end"/>
            </w:r>
          </w:hyperlink>
        </w:p>
        <w:p w14:paraId="6F5A1934" w14:textId="2AE93D64" w:rsidR="00154EE7" w:rsidRDefault="00154EE7">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8" w:history="1">
            <w:r w:rsidRPr="00DF34BA">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_Toc134948908 \h </w:instrText>
            </w:r>
            <w:r>
              <w:rPr>
                <w:webHidden/>
              </w:rPr>
            </w:r>
            <w:r>
              <w:rPr>
                <w:webHidden/>
              </w:rPr>
              <w:fldChar w:fldCharType="separate"/>
            </w:r>
            <w:r>
              <w:rPr>
                <w:webHidden/>
              </w:rPr>
              <w:t>53</w:t>
            </w:r>
            <w:r>
              <w:rPr>
                <w:webHidden/>
              </w:rPr>
              <w:fldChar w:fldCharType="end"/>
            </w:r>
          </w:hyperlink>
        </w:p>
        <w:p w14:paraId="6E85C078" w14:textId="1AF988CF"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9" w:history="1">
            <w:r w:rsidRPr="00DF34BA">
              <w:rPr>
                <w:rStyle w:val="Hyperlink"/>
              </w:rPr>
              <w:t>KẾT LUẬN</w:t>
            </w:r>
            <w:r>
              <w:rPr>
                <w:webHidden/>
              </w:rPr>
              <w:tab/>
            </w:r>
            <w:r>
              <w:rPr>
                <w:webHidden/>
              </w:rPr>
              <w:fldChar w:fldCharType="begin"/>
            </w:r>
            <w:r>
              <w:rPr>
                <w:webHidden/>
              </w:rPr>
              <w:instrText xml:space="preserve"> PAGEREF _Toc134948909 \h </w:instrText>
            </w:r>
            <w:r>
              <w:rPr>
                <w:webHidden/>
              </w:rPr>
            </w:r>
            <w:r>
              <w:rPr>
                <w:webHidden/>
              </w:rPr>
              <w:fldChar w:fldCharType="separate"/>
            </w:r>
            <w:r>
              <w:rPr>
                <w:webHidden/>
              </w:rPr>
              <w:t>62</w:t>
            </w:r>
            <w:r>
              <w:rPr>
                <w:webHidden/>
              </w:rPr>
              <w:fldChar w:fldCharType="end"/>
            </w:r>
          </w:hyperlink>
        </w:p>
        <w:p w14:paraId="1C35C10B" w14:textId="73DE9780"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0" w:history="1">
            <w:r w:rsidRPr="00DF34BA">
              <w:rPr>
                <w:rStyle w:val="Hyperlink"/>
              </w:rPr>
              <w:t>KIẾN NGHỊ</w:t>
            </w:r>
            <w:r>
              <w:rPr>
                <w:webHidden/>
              </w:rPr>
              <w:tab/>
            </w:r>
            <w:r>
              <w:rPr>
                <w:webHidden/>
              </w:rPr>
              <w:fldChar w:fldCharType="begin"/>
            </w:r>
            <w:r>
              <w:rPr>
                <w:webHidden/>
              </w:rPr>
              <w:instrText xml:space="preserve"> PAGEREF _Toc134948910 \h </w:instrText>
            </w:r>
            <w:r>
              <w:rPr>
                <w:webHidden/>
              </w:rPr>
            </w:r>
            <w:r>
              <w:rPr>
                <w:webHidden/>
              </w:rPr>
              <w:fldChar w:fldCharType="separate"/>
            </w:r>
            <w:r>
              <w:rPr>
                <w:webHidden/>
              </w:rPr>
              <w:t>64</w:t>
            </w:r>
            <w:r>
              <w:rPr>
                <w:webHidden/>
              </w:rPr>
              <w:fldChar w:fldCharType="end"/>
            </w:r>
          </w:hyperlink>
        </w:p>
        <w:p w14:paraId="553B89CD" w14:textId="461FE2CB"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1" w:history="1">
            <w:r w:rsidRPr="00DF34BA">
              <w:rPr>
                <w:rStyle w:val="Hyperlink"/>
              </w:rPr>
              <w:t>TÀI LIỆU THAM KHẢO</w:t>
            </w:r>
            <w:r>
              <w:rPr>
                <w:webHidden/>
              </w:rPr>
              <w:tab/>
            </w:r>
            <w:r>
              <w:rPr>
                <w:webHidden/>
              </w:rPr>
              <w:fldChar w:fldCharType="begin"/>
            </w:r>
            <w:r>
              <w:rPr>
                <w:webHidden/>
              </w:rPr>
              <w:instrText xml:space="preserve"> PAGEREF _Toc134948911 \h </w:instrText>
            </w:r>
            <w:r>
              <w:rPr>
                <w:webHidden/>
              </w:rPr>
            </w:r>
            <w:r>
              <w:rPr>
                <w:webHidden/>
              </w:rPr>
              <w:fldChar w:fldCharType="separate"/>
            </w:r>
            <w:r>
              <w:rPr>
                <w:webHidden/>
              </w:rPr>
              <w:t>65</w:t>
            </w:r>
            <w:r>
              <w:rPr>
                <w:webHidden/>
              </w:rPr>
              <w:fldChar w:fldCharType="end"/>
            </w:r>
          </w:hyperlink>
        </w:p>
        <w:p w14:paraId="68227043" w14:textId="056C75EE" w:rsidR="00154EE7" w:rsidRDefault="00154EE7">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2" w:history="1">
            <w:r w:rsidRPr="00DF34BA">
              <w:rPr>
                <w:rStyle w:val="Hyperlink"/>
              </w:rPr>
              <w:t>PHỤ LỤC</w:t>
            </w:r>
            <w:r>
              <w:rPr>
                <w:webHidden/>
              </w:rPr>
              <w:tab/>
            </w:r>
            <w:r>
              <w:rPr>
                <w:webHidden/>
              </w:rPr>
              <w:fldChar w:fldCharType="begin"/>
            </w:r>
            <w:r>
              <w:rPr>
                <w:webHidden/>
              </w:rPr>
              <w:instrText xml:space="preserve"> PAGEREF _Toc134948912 \h </w:instrText>
            </w:r>
            <w:r>
              <w:rPr>
                <w:webHidden/>
              </w:rPr>
            </w:r>
            <w:r>
              <w:rPr>
                <w:webHidden/>
              </w:rPr>
              <w:fldChar w:fldCharType="separate"/>
            </w:r>
            <w:r>
              <w:rPr>
                <w:webHidden/>
              </w:rPr>
              <w:t>70</w:t>
            </w:r>
            <w:r>
              <w:rPr>
                <w:webHidden/>
              </w:rPr>
              <w:fldChar w:fldCharType="end"/>
            </w:r>
          </w:hyperlink>
        </w:p>
        <w:p w14:paraId="18D2E423" w14:textId="0C399EAC" w:rsidR="001E5937" w:rsidRDefault="00B23EA6" w:rsidP="00C9375E">
          <w:pPr>
            <w:ind w:firstLine="0"/>
          </w:pPr>
          <w:r>
            <w:lastRenderedPageBreak/>
            <w:fldChar w:fldCharType="end"/>
          </w:r>
        </w:p>
      </w:sdtContent>
    </w:sdt>
    <w:p w14:paraId="743680A8" w14:textId="4C50FAC3" w:rsidR="00A46960" w:rsidRPr="00D470E8" w:rsidRDefault="00A46960" w:rsidP="00A46960">
      <w:pPr>
        <w:jc w:val="center"/>
        <w:rPr>
          <w:b/>
          <w:bCs/>
        </w:rPr>
      </w:pPr>
      <w:bookmarkStart w:id="10" w:name="_Toc126527698"/>
      <w:r w:rsidRPr="00D470E8">
        <w:rPr>
          <w:b/>
          <w:bCs/>
        </w:rPr>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3EA14E7F" w:rsidR="00A46960" w:rsidRPr="00B65C82" w:rsidRDefault="00A46960" w:rsidP="00D8519D">
            <w:r w:rsidRPr="00B65C82">
              <w:t>Subjective Global Assessment (</w:t>
            </w:r>
            <w:r w:rsidR="004F5D66">
              <w:t>Đ</w:t>
            </w:r>
            <w:r w:rsidRPr="00B65C82">
              <w:t>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33D5B8B0" w14:textId="77777777" w:rsidR="002B2789"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291AFEAC" w14:textId="2D461A87"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1" w:history="1">
        <w:r w:rsidR="002B2789" w:rsidRPr="00DE061E">
          <w:rPr>
            <w:rStyle w:val="Hyperlink"/>
          </w:rPr>
          <w:t xml:space="preserve">Bảng 1.1. </w:t>
        </w:r>
        <w:r w:rsidR="002B2789" w:rsidRPr="00DE061E">
          <w:rPr>
            <w:rStyle w:val="Hyperlink"/>
            <w:bCs/>
          </w:rPr>
          <w:t>Ước tính gánh nặng bệnh lao tại Việt Nam năm 2021</w:t>
        </w:r>
      </w:hyperlink>
    </w:p>
    <w:p w14:paraId="0BA8D1F2" w14:textId="0D85018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2" w:history="1">
        <w:r w:rsidR="002B2789" w:rsidRPr="00DE061E">
          <w:rPr>
            <w:rStyle w:val="Hyperlink"/>
          </w:rPr>
          <w:t xml:space="preserve">Bảng 1.2. </w:t>
        </w:r>
        <w:r w:rsidR="002B2789" w:rsidRPr="00DE061E">
          <w:rPr>
            <w:rStyle w:val="Hyperlink"/>
            <w:bCs/>
          </w:rPr>
          <w:t>Ước tính tỷ lệ mắc lao có MDR/RR-TB tại Việt Nam năm 2021</w:t>
        </w:r>
      </w:hyperlink>
    </w:p>
    <w:p w14:paraId="668AF300" w14:textId="73AAF3D5"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3" w:history="1">
        <w:r w:rsidR="002B2789" w:rsidRPr="00DE061E">
          <w:rPr>
            <w:rStyle w:val="Hyperlink"/>
          </w:rPr>
          <w:t>Bảng 1.3. Thông báo số ca bệnh lao tại Việt Nam năm 2021</w:t>
        </w:r>
      </w:hyperlink>
    </w:p>
    <w:p w14:paraId="7B9928C7" w14:textId="7586B772"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4" w:history="1">
        <w:r w:rsidR="002B2789" w:rsidRPr="00DE061E">
          <w:rPr>
            <w:rStyle w:val="Hyperlink"/>
          </w:rPr>
          <w:t>Bảng 1.4. Chăm sóc bệnh lao mới và tái phát/HIV tại Việt Nam năm 2021</w:t>
        </w:r>
      </w:hyperlink>
    </w:p>
    <w:p w14:paraId="3DBE5C12" w14:textId="314D3ABE"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5" w:history="1">
        <w:r w:rsidR="002B2789" w:rsidRPr="00DE061E">
          <w:rPr>
            <w:rStyle w:val="Hyperlink"/>
          </w:rPr>
          <w:t>Bảng 3.1</w:t>
        </w:r>
        <w:r w:rsidR="002B2789" w:rsidRPr="00DE061E">
          <w:rPr>
            <w:rStyle w:val="Hyperlink"/>
            <w:bCs/>
          </w:rPr>
          <w:t>. Tình trạng suy dinh dưỡng theo BMI</w:t>
        </w:r>
      </w:hyperlink>
    </w:p>
    <w:p w14:paraId="4ADEE918" w14:textId="188F7DF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6" w:history="1">
        <w:r w:rsidR="002B2789" w:rsidRPr="00DE061E">
          <w:rPr>
            <w:rStyle w:val="Hyperlink"/>
          </w:rPr>
          <w:t>Bảng 3.2</w:t>
        </w:r>
        <w:r w:rsidR="002B2789" w:rsidRPr="00DE061E">
          <w:rPr>
            <w:rStyle w:val="Hyperlink"/>
            <w:bCs/>
          </w:rPr>
          <w:t>. Tình trạng suy dinh dưỡng theo SGA</w:t>
        </w:r>
      </w:hyperlink>
    </w:p>
    <w:p w14:paraId="64A10D4A" w14:textId="4A59C30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7" w:history="1">
        <w:r w:rsidR="002B2789" w:rsidRPr="00DE061E">
          <w:rPr>
            <w:rStyle w:val="Hyperlink"/>
          </w:rPr>
          <w:t>Bảng 3.3</w:t>
        </w:r>
        <w:r w:rsidR="002B2789" w:rsidRPr="00DE061E">
          <w:rPr>
            <w:rStyle w:val="Hyperlink"/>
            <w:bCs/>
          </w:rPr>
          <w:t>. Đặc điểm suy dinh dưỡng theo nhóm tuổi</w:t>
        </w:r>
      </w:hyperlink>
    </w:p>
    <w:p w14:paraId="1187CC58" w14:textId="275A699D"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8" w:history="1">
        <w:r w:rsidR="002B2789" w:rsidRPr="00DE061E">
          <w:rPr>
            <w:rStyle w:val="Hyperlink"/>
          </w:rPr>
          <w:t>Bảng 3.4</w:t>
        </w:r>
        <w:r w:rsidR="002B2789" w:rsidRPr="00DE061E">
          <w:rPr>
            <w:rStyle w:val="Hyperlink"/>
            <w:bCs/>
          </w:rPr>
          <w:t>. Đặc điểm suy dinh dưỡng theo giới</w:t>
        </w:r>
      </w:hyperlink>
    </w:p>
    <w:p w14:paraId="21B6F422" w14:textId="5604E3A3"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9" w:history="1">
        <w:r w:rsidR="002B2789" w:rsidRPr="00DE061E">
          <w:rPr>
            <w:rStyle w:val="Hyperlink"/>
          </w:rPr>
          <w:t>Bảng 3.5</w:t>
        </w:r>
        <w:r w:rsidR="002B2789" w:rsidRPr="00DE061E">
          <w:rPr>
            <w:rStyle w:val="Hyperlink"/>
            <w:bCs/>
          </w:rPr>
          <w:t>. Đặc điểm suy dinh dưỡng theo nghề nghiệp</w:t>
        </w:r>
      </w:hyperlink>
    </w:p>
    <w:p w14:paraId="02C07D9E" w14:textId="058D8E5C"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0" w:history="1">
        <w:r w:rsidR="002B2789" w:rsidRPr="00DE061E">
          <w:rPr>
            <w:rStyle w:val="Hyperlink"/>
          </w:rPr>
          <w:t>Bảng 3.6</w:t>
        </w:r>
        <w:r w:rsidR="002B2789" w:rsidRPr="00DE061E">
          <w:rPr>
            <w:rStyle w:val="Hyperlink"/>
            <w:bCs/>
          </w:rPr>
          <w:t>. Đặc điểm suy dinh dưỡng theo khu vực địa lý</w:t>
        </w:r>
      </w:hyperlink>
    </w:p>
    <w:p w14:paraId="2D9FD1E5" w14:textId="349237CF"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1" w:history="1">
        <w:r w:rsidR="002B2789" w:rsidRPr="00DE061E">
          <w:rPr>
            <w:rStyle w:val="Hyperlink"/>
          </w:rPr>
          <w:t>Bảng 3.7</w:t>
        </w:r>
        <w:r w:rsidR="002B2789" w:rsidRPr="00DE061E">
          <w:rPr>
            <w:rStyle w:val="Hyperlink"/>
            <w:bCs/>
          </w:rPr>
          <w:t>. Đặc điểm suy dinh dưỡng theo tiền sử bệnh mạn tính</w:t>
        </w:r>
      </w:hyperlink>
    </w:p>
    <w:p w14:paraId="6743FA36" w14:textId="40BCB51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2" w:history="1">
        <w:r w:rsidR="002B2789" w:rsidRPr="00DE061E">
          <w:rPr>
            <w:rStyle w:val="Hyperlink"/>
          </w:rPr>
          <w:t>Bảng 3.8</w:t>
        </w:r>
        <w:r w:rsidR="002B2789" w:rsidRPr="00DE061E">
          <w:rPr>
            <w:rStyle w:val="Hyperlink"/>
            <w:bCs/>
          </w:rPr>
          <w:t>. Đặc điểm suy dinh dưỡng theo thời gian chẩn đoán bệnh</w:t>
        </w:r>
      </w:hyperlink>
    </w:p>
    <w:p w14:paraId="35E2C70E" w14:textId="7BD0C41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3" w:history="1">
        <w:r w:rsidR="002B2789" w:rsidRPr="00DE061E">
          <w:rPr>
            <w:rStyle w:val="Hyperlink"/>
          </w:rPr>
          <w:t>Bảng 3.9</w:t>
        </w:r>
        <w:r w:rsidR="002B2789" w:rsidRPr="00DE061E">
          <w:rPr>
            <w:rStyle w:val="Hyperlink"/>
            <w:bCs/>
          </w:rPr>
          <w:t>. Mối liên quan giữa nhóm tuổi và tình trạng dinh dưỡng</w:t>
        </w:r>
      </w:hyperlink>
    </w:p>
    <w:p w14:paraId="57FB2AF8" w14:textId="7D78E80B"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4" w:history="1">
        <w:r w:rsidR="002B2789" w:rsidRPr="00DE061E">
          <w:rPr>
            <w:rStyle w:val="Hyperlink"/>
          </w:rPr>
          <w:t>Bảng 3.10. Mối liên quan giữa giới và tình trạng dinh dưỡng</w:t>
        </w:r>
      </w:hyperlink>
    </w:p>
    <w:p w14:paraId="59AC3F7D" w14:textId="79BCDDA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5" w:history="1">
        <w:r w:rsidR="002B2789" w:rsidRPr="00DE061E">
          <w:rPr>
            <w:rStyle w:val="Hyperlink"/>
          </w:rPr>
          <w:t xml:space="preserve">Bảng 3.11. </w:t>
        </w:r>
        <w:r w:rsidR="002B2789" w:rsidRPr="00DE061E">
          <w:rPr>
            <w:rStyle w:val="Hyperlink"/>
            <w:bCs/>
          </w:rPr>
          <w:t>Mối liên quan giữa nghề nghiệp và tình trạng dinh dưỡng</w:t>
        </w:r>
      </w:hyperlink>
    </w:p>
    <w:p w14:paraId="400C7E9E" w14:textId="07266F60"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6" w:history="1">
        <w:r w:rsidR="002B2789" w:rsidRPr="00DE061E">
          <w:rPr>
            <w:rStyle w:val="Hyperlink"/>
          </w:rPr>
          <w:t xml:space="preserve">Bảng 3.12. </w:t>
        </w:r>
        <w:r w:rsidR="002B2789" w:rsidRPr="00DE061E">
          <w:rPr>
            <w:rStyle w:val="Hyperlink"/>
            <w:bCs/>
          </w:rPr>
          <w:t>Mối liên quan giữa khu vực địa lý và tình trạng dinh dưỡng</w:t>
        </w:r>
      </w:hyperlink>
    </w:p>
    <w:p w14:paraId="3A6255EE" w14:textId="499179A2"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7" w:history="1">
        <w:r w:rsidR="002B2789" w:rsidRPr="00DE061E">
          <w:rPr>
            <w:rStyle w:val="Hyperlink"/>
          </w:rPr>
          <w:t>Bảng 3.13</w:t>
        </w:r>
        <w:r w:rsidR="002B2789" w:rsidRPr="00DE061E">
          <w:rPr>
            <w:rStyle w:val="Hyperlink"/>
            <w:bCs/>
          </w:rPr>
          <w:t>. Mối liên quan giữa thời gian chẩn đoán và tình trạng dinh dưỡng</w:t>
        </w:r>
      </w:hyperlink>
    </w:p>
    <w:p w14:paraId="69875FD4" w14:textId="68B4F2B5"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8" w:history="1">
        <w:r w:rsidR="002B2789" w:rsidRPr="00DE061E">
          <w:rPr>
            <w:rStyle w:val="Hyperlink"/>
          </w:rPr>
          <w:t>Bảng 3.14. Mối liên quan giữa tiền sử bệnh mạn tính và tình trạng dinh dưỡng</w:t>
        </w:r>
      </w:hyperlink>
    </w:p>
    <w:p w14:paraId="09743617" w14:textId="4477779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9" w:history="1">
        <w:r w:rsidR="002B2789" w:rsidRPr="00DE061E">
          <w:rPr>
            <w:rStyle w:val="Hyperlink"/>
          </w:rPr>
          <w:t xml:space="preserve">Bảng 3.15. </w:t>
        </w:r>
        <w:r w:rsidR="002B2789" w:rsidRPr="00DE061E">
          <w:rPr>
            <w:rStyle w:val="Hyperlink"/>
            <w:bCs/>
          </w:rPr>
          <w:t>Mối liên quan giữa triệu chứng sốt và tình trạng dinh dưỡng</w:t>
        </w:r>
      </w:hyperlink>
    </w:p>
    <w:p w14:paraId="4A4BBD50" w14:textId="665E5F27"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0" w:history="1">
        <w:r w:rsidR="002B2789" w:rsidRPr="00DE061E">
          <w:rPr>
            <w:rStyle w:val="Hyperlink"/>
          </w:rPr>
          <w:t xml:space="preserve">Bảng 3.16. </w:t>
        </w:r>
        <w:r w:rsidR="002B2789" w:rsidRPr="00DE061E">
          <w:rPr>
            <w:rStyle w:val="Hyperlink"/>
            <w:bCs/>
          </w:rPr>
          <w:t>Mối liên quan giữa mức độ tổn thương trên phim X-quang phổi và tình trạng dinh dưỡng</w:t>
        </w:r>
      </w:hyperlink>
    </w:p>
    <w:p w14:paraId="56AA7F4D" w14:textId="2573B46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1" w:history="1">
        <w:r w:rsidR="002B2789" w:rsidRPr="00DE061E">
          <w:rPr>
            <w:rStyle w:val="Hyperlink"/>
          </w:rPr>
          <w:t xml:space="preserve">Bảng 3.17. </w:t>
        </w:r>
        <w:r w:rsidR="002B2789" w:rsidRPr="00DE061E">
          <w:rPr>
            <w:rStyle w:val="Hyperlink"/>
            <w:bCs/>
          </w:rPr>
          <w:t>Mối liên quan giữa tổn thương trên phim X-quang phổi có hang và tình trạng dinh dưỡng</w:t>
        </w:r>
      </w:hyperlink>
    </w:p>
    <w:p w14:paraId="65E2939F" w14:textId="4BDD75E0"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2" w:history="1">
        <w:r w:rsidR="002B2789" w:rsidRPr="00DE061E">
          <w:rPr>
            <w:rStyle w:val="Hyperlink"/>
          </w:rPr>
          <w:t xml:space="preserve">Bảng 3.18. </w:t>
        </w:r>
        <w:r w:rsidR="002B2789" w:rsidRPr="00DE061E">
          <w:rPr>
            <w:rStyle w:val="Hyperlink"/>
            <w:bCs/>
          </w:rPr>
          <w:t>Mối liên quan giữa tình trạng thiếu máu và tình trạng dinh dưỡng</w:t>
        </w:r>
      </w:hyperlink>
    </w:p>
    <w:p w14:paraId="4046351F" w14:textId="391BB6E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3" w:history="1">
        <w:r w:rsidR="002B2789" w:rsidRPr="00DE061E">
          <w:rPr>
            <w:rStyle w:val="Hyperlink"/>
          </w:rPr>
          <w:t xml:space="preserve">Bảng 3.19. </w:t>
        </w:r>
        <w:r w:rsidR="002B2789" w:rsidRPr="00DE061E">
          <w:rPr>
            <w:rStyle w:val="Hyperlink"/>
            <w:bCs/>
          </w:rPr>
          <w:t>Mối liên quan giữa số lượng bạch cầu và tình trạng dinh dưỡng</w:t>
        </w:r>
      </w:hyperlink>
    </w:p>
    <w:p w14:paraId="6070B17D" w14:textId="1F1D8F0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4" w:history="1">
        <w:r w:rsidR="002B2789" w:rsidRPr="00DE061E">
          <w:rPr>
            <w:rStyle w:val="Hyperlink"/>
          </w:rPr>
          <w:t xml:space="preserve">Bảng 3.20. </w:t>
        </w:r>
        <w:r w:rsidR="002B2789" w:rsidRPr="00DE061E">
          <w:rPr>
            <w:rStyle w:val="Hyperlink"/>
            <w:bCs/>
          </w:rPr>
          <w:t>Mối liên quan giữa kháng thuốc lao và tình trạng dinh dưỡng</w:t>
        </w:r>
      </w:hyperlink>
    </w:p>
    <w:p w14:paraId="0EF03653" w14:textId="0086D1AC" w:rsidR="001C331C" w:rsidRDefault="003E4607" w:rsidP="00E0527C">
      <w:pPr>
        <w:ind w:firstLine="0"/>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65C0BF33" w14:textId="568B48F9" w:rsidR="00154EE7"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48923" w:history="1">
        <w:r w:rsidR="00154EE7" w:rsidRPr="007C5524">
          <w:rPr>
            <w:rStyle w:val="Hyperlink"/>
          </w:rPr>
          <w:t>Hình 3.1. Tỷ lệ tình trạng dinh dưỡng theo BMI</w:t>
        </w:r>
      </w:hyperlink>
    </w:p>
    <w:p w14:paraId="2E73EEC8" w14:textId="6DC642A4" w:rsidR="00154EE7" w:rsidRDefault="00154EE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48924" w:history="1">
        <w:r w:rsidRPr="007C5524">
          <w:rPr>
            <w:rStyle w:val="Hyperlink"/>
          </w:rPr>
          <w:t>Hình 3.2. Tỷ lệ tình trạng dinh dưỡng theo SGA</w:t>
        </w:r>
      </w:hyperlink>
    </w:p>
    <w:p w14:paraId="3FB14F02" w14:textId="309C2DAC"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910589"/>
      <w:bookmarkStart w:id="12" w:name="_Toc134948894"/>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48895"/>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48896"/>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765D05F7" w:rsidR="00FA688E" w:rsidRPr="00ED40D6" w:rsidRDefault="00715990" w:rsidP="00B20CC3">
      <w:pPr>
        <w:pStyle w:val="Caption"/>
        <w:spacing w:before="160"/>
        <w:rPr>
          <w:bCs/>
        </w:rPr>
      </w:pPr>
      <w:bookmarkStart w:id="21" w:name="_Toc123983011"/>
      <w:bookmarkStart w:id="22" w:name="_Toc134945631"/>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20403B3" w:rsidR="00FA688E" w:rsidRPr="00534DF3" w:rsidRDefault="00AF5F47" w:rsidP="00416898">
      <w:pPr>
        <w:pStyle w:val="Caption"/>
        <w:spacing w:before="160"/>
        <w:ind w:firstLine="270"/>
        <w:rPr>
          <w:b w:val="0"/>
          <w:bCs/>
        </w:rPr>
      </w:pPr>
      <w:bookmarkStart w:id="23" w:name="_Toc134945632"/>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3898AF2F" w:rsidR="00FA688E" w:rsidRDefault="00AF5F47" w:rsidP="00B20CC3">
      <w:pPr>
        <w:pStyle w:val="Caption"/>
        <w:spacing w:before="160"/>
      </w:pPr>
      <w:bookmarkStart w:id="24" w:name="_Toc134945633"/>
      <w:r>
        <w:lastRenderedPageBreak/>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7DAE7192" w:rsidR="00FA688E" w:rsidRDefault="00AF5F47" w:rsidP="00CD7247">
      <w:pPr>
        <w:pStyle w:val="Caption"/>
        <w:ind w:firstLine="0"/>
      </w:pPr>
      <w:bookmarkStart w:id="25" w:name="_Toc134945634"/>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48897"/>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w:t>
      </w:r>
      <w:r w:rsidR="006139B3">
        <w:t xml:space="preserve"> </w:t>
      </w:r>
      <w:r w:rsidR="00045927" w:rsidRPr="00045927">
        <w:t>57-84</w:t>
      </w:r>
      <w:r w:rsidR="005B2F6D">
        <w:t>%</w:t>
      </w:r>
      <w:r w:rsidR="00045927" w:rsidRPr="00045927">
        <w:t>), 92% (</w:t>
      </w:r>
      <w:r w:rsidR="006139B3" w:rsidRPr="00045927">
        <w:t>95% CI</w:t>
      </w:r>
      <w:r w:rsidR="006139B3">
        <w:t>:</w:t>
      </w:r>
      <w:r w:rsidR="006139B3">
        <w:t xml:space="preserve"> </w:t>
      </w:r>
      <w:r w:rsidR="00045927" w:rsidRPr="00045927">
        <w:t>87-96</w:t>
      </w:r>
      <w:r w:rsidR="005B2F6D">
        <w:t>%</w:t>
      </w:r>
      <w:r w:rsidR="00045927" w:rsidRPr="00045927">
        <w:t>), 71% (</w:t>
      </w:r>
      <w:r w:rsidR="008D0034" w:rsidRPr="00045927">
        <w:t>95% CI</w:t>
      </w:r>
      <w:r w:rsidR="008D0034">
        <w:t>:</w:t>
      </w:r>
      <w:r w:rsidR="008D0034">
        <w:t xml:space="preserve"> </w:t>
      </w:r>
      <w:r w:rsidR="00045927" w:rsidRPr="00045927">
        <w:t>59-81</w:t>
      </w:r>
      <w:r w:rsidR="005B2F6D">
        <w:t>%</w:t>
      </w:r>
      <w:r w:rsidR="00045927" w:rsidRPr="00045927">
        <w:t>) và 93% (</w:t>
      </w:r>
      <w:r w:rsidR="008D0034" w:rsidRPr="00045927">
        <w:t>95% CI</w:t>
      </w:r>
      <w:r w:rsidR="008D0034">
        <w:t>:</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546E293E"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82 - 90,5%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48898"/>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48899"/>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7C4AFD37"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2155782" w:rsidR="00402859" w:rsidRDefault="00773844" w:rsidP="00935674">
      <w:r>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48900"/>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48901"/>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6867CB01" w:rsidR="00CA2AC9" w:rsidRDefault="001D19EB" w:rsidP="00CA2AC9">
      <w:r>
        <w:t xml:space="preserve">+ </w:t>
      </w:r>
      <w:r w:rsidR="00CA2AC9">
        <w:t xml:space="preserve">SGA A: không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48902"/>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FB756B1" w:rsidR="00115428" w:rsidRDefault="00DD4BC8" w:rsidP="00115428">
      <w:r>
        <w:lastRenderedPageBreak/>
        <w:t xml:space="preserve">- </w:t>
      </w:r>
      <w:r w:rsidR="00115428">
        <w:t xml:space="preserve">SGA A: không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5828E9F2"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 xml:space="preserve">hình </w:t>
      </w:r>
      <w:r w:rsidR="00692004">
        <w:rPr>
          <w:rFonts w:ascii="TimesNewRomanPSMT" w:hAnsi="TimesNewRomanPSMT"/>
        </w:rPr>
        <w:t>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173F8830"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w:t>
      </w:r>
      <w:r w:rsidR="00692004">
        <w:rPr>
          <w:rFonts w:ascii="TimesNewRomanPSMT" w:hAnsi="TimesNewRomanPSMT"/>
        </w:rPr>
        <w:t>rỗ tổ ong</w:t>
      </w:r>
      <w:r w:rsidRPr="00212A56">
        <w:rPr>
          <w:rFonts w:ascii="TimesNewRomanPSMT" w:hAnsi="TimesNewRomanPSMT"/>
        </w:rPr>
        <w:t xml:space="preserve"> hoặc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5CA31C7F"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 xml:space="preserve">thường tạo giống </w:t>
      </w:r>
      <w:r w:rsidR="00692004">
        <w:rPr>
          <w:rFonts w:ascii="TimesNewRomanPSMT" w:hAnsi="TimesNewRomanPSMT"/>
        </w:rPr>
        <w:t>hình lưới</w:t>
      </w:r>
      <w:r w:rsidRPr="00AD0FD8">
        <w:rPr>
          <w:rFonts w:ascii="TimesNewRomanPSMT" w:hAnsi="TimesNewRomanPSMT"/>
        </w:rPr>
        <w:t xml:space="preserve"> hoặc hình </w:t>
      </w:r>
      <w:r w:rsidR="00692004">
        <w:rPr>
          <w:rFonts w:ascii="TimesNewRomanPSMT" w:hAnsi="TimesNewRomanPSMT"/>
        </w:rPr>
        <w:t>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4F558E2F"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48903"/>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48904"/>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528CF945">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4A8F3C70" w:rsidR="00E61F7A" w:rsidRDefault="004F5684" w:rsidP="004F5684">
      <w:pPr>
        <w:pStyle w:val="Caption"/>
      </w:pPr>
      <w:bookmarkStart w:id="85" w:name="_Toc134948923"/>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rsidR="00E61F7A">
        <w:t>. Tỷ lệ tình trạng dinh dưỡng theo</w:t>
      </w:r>
      <w:r w:rsidR="00000CDA">
        <w:t xml:space="preserve"> </w:t>
      </w:r>
      <w:r w:rsidR="00E61F7A">
        <w:t>BMI</w:t>
      </w:r>
      <w:bookmarkEnd w:id="85"/>
    </w:p>
    <w:p w14:paraId="7F6D9F25" w14:textId="133C5F30" w:rsidR="008B2F15" w:rsidRPr="0029228C" w:rsidRDefault="008B2F15" w:rsidP="0019179D">
      <w:pPr>
        <w:spacing w:after="0"/>
      </w:pPr>
      <w:r>
        <w:t xml:space="preserve">Nhận xét: </w:t>
      </w:r>
      <w:r w:rsidR="0037693D">
        <w:t xml:space="preserve">theo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7D553289" w:rsidR="00A80220" w:rsidRPr="00707BC9" w:rsidRDefault="004F5684" w:rsidP="004F5684">
      <w:pPr>
        <w:pStyle w:val="Caption"/>
        <w:rPr>
          <w:b w:val="0"/>
          <w:bCs/>
        </w:rPr>
      </w:pPr>
      <w:bookmarkStart w:id="86" w:name="_Toc134945635"/>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A8A600F"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5B0611A9" w:rsidR="005E2897" w:rsidRDefault="007A373D" w:rsidP="00CA5FFA">
      <w:r>
        <w:drawing>
          <wp:inline distT="0" distB="0" distL="0" distR="0" wp14:anchorId="680B5444" wp14:editId="652BC3DE">
            <wp:extent cx="4762500" cy="2705100"/>
            <wp:effectExtent l="0" t="0" r="0" b="0"/>
            <wp:docPr id="1471792657" name="Chart 14717926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1F0351CB" w:rsidR="00453CFB" w:rsidRDefault="00453CFB" w:rsidP="00517B8F">
      <w:pPr>
        <w:pStyle w:val="Caption"/>
      </w:pPr>
      <w:bookmarkStart w:id="87" w:name="_Toc134948924"/>
      <w:r>
        <w:t xml:space="preserve">Hình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Hình \* ARABIC \s 1 </w:instrText>
      </w:r>
      <w:r w:rsidR="004F5684">
        <w:fldChar w:fldCharType="separate"/>
      </w:r>
      <w:r w:rsidR="004F5684">
        <w:t>2</w:t>
      </w:r>
      <w:r w:rsidR="004F5684">
        <w:fldChar w:fldCharType="end"/>
      </w:r>
      <w:r>
        <w:t>. Tỷ lệ tình trạng dinh dưỡng theo</w:t>
      </w:r>
      <w:r w:rsidR="006B4B05">
        <w:t xml:space="preserve"> </w:t>
      </w:r>
      <w:r>
        <w:t>SGA</w:t>
      </w:r>
      <w:bookmarkEnd w:id="87"/>
    </w:p>
    <w:p w14:paraId="03B80A4D" w14:textId="748319E4" w:rsidR="005E2897" w:rsidRPr="00183A75" w:rsidRDefault="005E2897" w:rsidP="005E2897">
      <w:r>
        <w:t xml:space="preserve">Nhận xét: </w:t>
      </w:r>
      <w:r w:rsidR="000758A8">
        <w:t xml:space="preserve">theo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3137C422" w:rsidR="00F724BC" w:rsidRPr="00707BC9" w:rsidRDefault="00F724BC" w:rsidP="00517B8F">
      <w:pPr>
        <w:pStyle w:val="Caption"/>
        <w:rPr>
          <w:b w:val="0"/>
          <w:bCs/>
        </w:rPr>
      </w:pPr>
      <w:bookmarkStart w:id="88" w:name="_Toc134945636"/>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4640257" w:rsidR="00A80220" w:rsidRDefault="00A80220" w:rsidP="00B402E1">
      <w:pPr>
        <w:spacing w:before="160"/>
      </w:pPr>
      <w:r>
        <w:t>Nhận xét:</w:t>
      </w:r>
      <w:r w:rsidR="00635C3B">
        <w:t xml:space="preserve"> </w:t>
      </w:r>
      <w:r w:rsidR="006B48D9">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4DAA16E1" w:rsidR="005F1977" w:rsidRPr="00175D73" w:rsidRDefault="00175D73" w:rsidP="00517B8F">
      <w:pPr>
        <w:pStyle w:val="Caption"/>
        <w:rPr>
          <w:b w:val="0"/>
          <w:bCs/>
        </w:rPr>
      </w:pPr>
      <w:bookmarkStart w:id="89" w:name="_Toc134945637"/>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643208C3" w:rsidR="006C0FB3" w:rsidRDefault="00912B6E" w:rsidP="009C7B88">
      <w:pPr>
        <w:spacing w:before="160"/>
      </w:pPr>
      <w:r>
        <w:lastRenderedPageBreak/>
        <w:t xml:space="preserve">Nhận xét: </w:t>
      </w:r>
      <w:r w:rsidR="005A6DBC">
        <w:t>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11C47483" w:rsidR="00C86AF9" w:rsidRPr="00C86AF9" w:rsidRDefault="00F75EAE" w:rsidP="00C86AF9">
      <w:pPr>
        <w:pStyle w:val="Caption"/>
        <w:rPr>
          <w:bCs/>
        </w:rPr>
      </w:pPr>
      <w:r>
        <w:tab/>
      </w:r>
      <w:bookmarkStart w:id="90" w:name="_Toc134945638"/>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4B858E6F" w:rsidR="00F75EAE" w:rsidRDefault="00F75EAE" w:rsidP="002E610F">
      <w:pPr>
        <w:spacing w:before="160"/>
      </w:pPr>
      <w:r>
        <w:t xml:space="preserve">Nhận xét: </w:t>
      </w:r>
      <w:r w:rsidR="008F0367">
        <w:t>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6D7059D3" w:rsidR="00B35AD6" w:rsidRPr="00175D73" w:rsidRDefault="00B35AD6" w:rsidP="00F30C5B">
      <w:pPr>
        <w:pStyle w:val="Caption"/>
        <w:spacing w:before="0" w:after="160"/>
        <w:rPr>
          <w:b w:val="0"/>
          <w:bCs/>
        </w:rPr>
      </w:pPr>
      <w:bookmarkStart w:id="91" w:name="_Toc134945639"/>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29166F76" w:rsidR="009079D8" w:rsidRPr="00C22401" w:rsidRDefault="00A25E85" w:rsidP="009079D8">
      <w:pPr>
        <w:spacing w:before="160"/>
      </w:pPr>
      <w:r>
        <w:lastRenderedPageBreak/>
        <w:t xml:space="preserve">Nhận xét: </w:t>
      </w:r>
      <w:r w:rsidR="009079D8">
        <w:t xml:space="preserve">theo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574BDA61" w:rsidR="00B35AD6" w:rsidRPr="00175D73" w:rsidRDefault="00B35AD6" w:rsidP="00AA5F43">
      <w:pPr>
        <w:pStyle w:val="Caption"/>
        <w:rPr>
          <w:b w:val="0"/>
          <w:bCs/>
        </w:rPr>
      </w:pPr>
      <w:bookmarkStart w:id="92" w:name="_Toc134945640"/>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4A607FC" w:rsidR="00F91D2D" w:rsidRDefault="00075D1A" w:rsidP="00A86062">
      <w:pPr>
        <w:spacing w:before="160" w:after="0"/>
      </w:pPr>
      <w:r>
        <w:t xml:space="preserve">Nhận xét: </w:t>
      </w:r>
      <w:r w:rsidR="00DD5D3E">
        <w:t xml:space="preserve">đánh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7F517C8B" w:rsidR="00E30892" w:rsidRDefault="00E30892" w:rsidP="00A86062">
      <w:pPr>
        <w:pStyle w:val="Caption"/>
        <w:spacing w:before="0" w:after="160"/>
        <w:rPr>
          <w:bCs/>
        </w:rPr>
      </w:pPr>
      <w:bookmarkStart w:id="93" w:name="_Toc134945641"/>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393"/>
        <w:gridCol w:w="1678"/>
        <w:gridCol w:w="561"/>
        <w:gridCol w:w="1119"/>
        <w:gridCol w:w="1121"/>
        <w:gridCol w:w="561"/>
        <w:gridCol w:w="167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107231">
        <w:trPr>
          <w:trHeight w:val="759"/>
        </w:trPr>
        <w:tc>
          <w:tcPr>
            <w:tcW w:w="1313"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921"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922"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923"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922"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107231">
        <w:trPr>
          <w:trHeight w:val="354"/>
        </w:trPr>
        <w:tc>
          <w:tcPr>
            <w:tcW w:w="1313" w:type="pct"/>
          </w:tcPr>
          <w:p w14:paraId="38495B2F" w14:textId="5D12AC3C" w:rsidR="00BC057B" w:rsidRPr="003A6779" w:rsidRDefault="00BC057B" w:rsidP="009169DE">
            <w:pPr>
              <w:rPr>
                <w:sz w:val="27"/>
                <w:szCs w:val="27"/>
              </w:rPr>
            </w:pPr>
            <w:r w:rsidRPr="003A6779">
              <w:rPr>
                <w:sz w:val="27"/>
                <w:szCs w:val="27"/>
              </w:rPr>
              <w:t>Đái tháo đường</w:t>
            </w:r>
          </w:p>
        </w:tc>
        <w:tc>
          <w:tcPr>
            <w:tcW w:w="921"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922"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923"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922"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107231">
        <w:trPr>
          <w:trHeight w:val="70"/>
        </w:trPr>
        <w:tc>
          <w:tcPr>
            <w:tcW w:w="1313" w:type="pct"/>
          </w:tcPr>
          <w:p w14:paraId="187B5B02" w14:textId="4438F2C1" w:rsidR="00BC057B" w:rsidRPr="003A6779" w:rsidRDefault="00BC057B" w:rsidP="009169DE">
            <w:pPr>
              <w:rPr>
                <w:sz w:val="27"/>
                <w:szCs w:val="27"/>
              </w:rPr>
            </w:pPr>
            <w:r w:rsidRPr="003A6779">
              <w:rPr>
                <w:sz w:val="27"/>
                <w:szCs w:val="27"/>
              </w:rPr>
              <w:t>Tăng huyết áp</w:t>
            </w:r>
          </w:p>
        </w:tc>
        <w:tc>
          <w:tcPr>
            <w:tcW w:w="921"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922"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923"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922"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107231">
        <w:trPr>
          <w:trHeight w:val="70"/>
        </w:trPr>
        <w:tc>
          <w:tcPr>
            <w:tcW w:w="1313" w:type="pct"/>
          </w:tcPr>
          <w:p w14:paraId="7EF63B37" w14:textId="7A8AAD87" w:rsidR="00BC057B" w:rsidRPr="003A6779" w:rsidRDefault="00BC057B" w:rsidP="009169DE">
            <w:pPr>
              <w:rPr>
                <w:sz w:val="27"/>
                <w:szCs w:val="27"/>
              </w:rPr>
            </w:pPr>
            <w:r w:rsidRPr="003A6779">
              <w:rPr>
                <w:sz w:val="27"/>
                <w:szCs w:val="27"/>
              </w:rPr>
              <w:t>Viêm dạ dày</w:t>
            </w:r>
          </w:p>
        </w:tc>
        <w:tc>
          <w:tcPr>
            <w:tcW w:w="921"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922"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923"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922"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107231">
        <w:trPr>
          <w:trHeight w:val="70"/>
        </w:trPr>
        <w:tc>
          <w:tcPr>
            <w:tcW w:w="1313" w:type="pct"/>
          </w:tcPr>
          <w:p w14:paraId="7163CF6A" w14:textId="29A85729" w:rsidR="00BC057B" w:rsidRPr="003A6779" w:rsidRDefault="00BC057B" w:rsidP="009169DE">
            <w:pPr>
              <w:rPr>
                <w:sz w:val="27"/>
                <w:szCs w:val="27"/>
              </w:rPr>
            </w:pPr>
            <w:r w:rsidRPr="003A6779">
              <w:rPr>
                <w:sz w:val="27"/>
                <w:szCs w:val="27"/>
              </w:rPr>
              <w:t>Gút</w:t>
            </w:r>
          </w:p>
        </w:tc>
        <w:tc>
          <w:tcPr>
            <w:tcW w:w="921"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922"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923"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922"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107231">
        <w:trPr>
          <w:trHeight w:val="70"/>
        </w:trPr>
        <w:tc>
          <w:tcPr>
            <w:tcW w:w="1313"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921"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922"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923"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922"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107231">
        <w:trPr>
          <w:trHeight w:val="759"/>
        </w:trPr>
        <w:tc>
          <w:tcPr>
            <w:tcW w:w="1313"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229"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229"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229"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107231">
        <w:trPr>
          <w:trHeight w:val="354"/>
        </w:trPr>
        <w:tc>
          <w:tcPr>
            <w:tcW w:w="1313" w:type="pct"/>
          </w:tcPr>
          <w:p w14:paraId="2333CA8B" w14:textId="375A68F8" w:rsidR="00BC057B" w:rsidRPr="003A6779" w:rsidRDefault="00BC057B" w:rsidP="003A17D8">
            <w:pPr>
              <w:rPr>
                <w:sz w:val="27"/>
                <w:szCs w:val="27"/>
              </w:rPr>
            </w:pPr>
            <w:r w:rsidRPr="003A6779">
              <w:rPr>
                <w:sz w:val="27"/>
                <w:szCs w:val="27"/>
              </w:rPr>
              <w:t>Đái tháo đường</w:t>
            </w:r>
          </w:p>
        </w:tc>
        <w:tc>
          <w:tcPr>
            <w:tcW w:w="1229"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229"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229"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107231">
        <w:trPr>
          <w:trHeight w:val="354"/>
        </w:trPr>
        <w:tc>
          <w:tcPr>
            <w:tcW w:w="1313" w:type="pct"/>
          </w:tcPr>
          <w:p w14:paraId="08DAE17B" w14:textId="2279BB60" w:rsidR="00BC057B" w:rsidRPr="003A6779" w:rsidRDefault="00BC057B" w:rsidP="003A17D8">
            <w:pPr>
              <w:rPr>
                <w:sz w:val="27"/>
                <w:szCs w:val="27"/>
              </w:rPr>
            </w:pPr>
            <w:r w:rsidRPr="003A6779">
              <w:rPr>
                <w:sz w:val="27"/>
                <w:szCs w:val="27"/>
              </w:rPr>
              <w:t>Tăng huyết áp</w:t>
            </w:r>
          </w:p>
        </w:tc>
        <w:tc>
          <w:tcPr>
            <w:tcW w:w="1229"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229"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229"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107231">
        <w:trPr>
          <w:trHeight w:val="354"/>
        </w:trPr>
        <w:tc>
          <w:tcPr>
            <w:tcW w:w="1313" w:type="pct"/>
          </w:tcPr>
          <w:p w14:paraId="154DC2EC" w14:textId="33161E14" w:rsidR="00BC057B" w:rsidRPr="003A6779" w:rsidRDefault="00BC057B" w:rsidP="00A8081B">
            <w:pPr>
              <w:rPr>
                <w:sz w:val="27"/>
                <w:szCs w:val="27"/>
              </w:rPr>
            </w:pPr>
            <w:r w:rsidRPr="003A6779">
              <w:rPr>
                <w:sz w:val="27"/>
                <w:szCs w:val="27"/>
              </w:rPr>
              <w:t>Viêm dạ dày</w:t>
            </w:r>
          </w:p>
        </w:tc>
        <w:tc>
          <w:tcPr>
            <w:tcW w:w="1229"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229"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229"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107231">
        <w:trPr>
          <w:trHeight w:val="70"/>
        </w:trPr>
        <w:tc>
          <w:tcPr>
            <w:tcW w:w="1313" w:type="pct"/>
          </w:tcPr>
          <w:p w14:paraId="74C129C6" w14:textId="6B570958" w:rsidR="00BC057B" w:rsidRPr="003A6779" w:rsidRDefault="00BC057B" w:rsidP="00A8081B">
            <w:pPr>
              <w:rPr>
                <w:sz w:val="27"/>
                <w:szCs w:val="27"/>
              </w:rPr>
            </w:pPr>
            <w:r w:rsidRPr="003A6779">
              <w:rPr>
                <w:sz w:val="27"/>
                <w:szCs w:val="27"/>
              </w:rPr>
              <w:t>Gút</w:t>
            </w:r>
          </w:p>
        </w:tc>
        <w:tc>
          <w:tcPr>
            <w:tcW w:w="1229"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229"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229"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107231">
        <w:trPr>
          <w:trHeight w:val="70"/>
        </w:trPr>
        <w:tc>
          <w:tcPr>
            <w:tcW w:w="1313"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229"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229"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229"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7E13E63D" w:rsidR="00B30A29" w:rsidRDefault="002E357B" w:rsidP="009F49DA">
      <w:pPr>
        <w:spacing w:before="160"/>
      </w:pPr>
      <w:r>
        <w:lastRenderedPageBreak/>
        <w:t>Nhận xét:</w:t>
      </w:r>
      <w:r w:rsidR="008105B0">
        <w:t xml:space="preserve"> </w:t>
      </w:r>
      <w:r w:rsidR="00046966">
        <w:t>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70A8E469" w:rsidR="00253BB4" w:rsidRPr="00175D73" w:rsidRDefault="00253BB4" w:rsidP="00463027">
      <w:pPr>
        <w:pStyle w:val="Caption"/>
        <w:ind w:firstLine="630"/>
        <w:rPr>
          <w:b w:val="0"/>
          <w:bCs/>
        </w:rPr>
      </w:pPr>
      <w:r>
        <w:tab/>
      </w:r>
      <w:bookmarkStart w:id="94" w:name="_Toc134945642"/>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2B4EF6A2" w:rsidR="00AB4DFA" w:rsidRDefault="00AB4DFA" w:rsidP="00871614">
      <w:pPr>
        <w:spacing w:before="160"/>
      </w:pPr>
      <w:bookmarkStart w:id="95"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4948905"/>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3C84EBDE" w:rsidR="00243553" w:rsidRPr="00707BC9" w:rsidRDefault="00243553" w:rsidP="00243553">
      <w:pPr>
        <w:pStyle w:val="Caption"/>
        <w:rPr>
          <w:b w:val="0"/>
          <w:bCs/>
        </w:rPr>
      </w:pPr>
      <w:bookmarkStart w:id="98" w:name="_Toc134945643"/>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6800ABBC"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34AE8DA7" w:rsidR="00334897" w:rsidRDefault="00334897" w:rsidP="007448F9">
      <w:pPr>
        <w:pStyle w:val="Caption"/>
      </w:pPr>
      <w:bookmarkStart w:id="99" w:name="_Toc134945644"/>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250DDD7F"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53A5A" w:rsidRPr="00E06DEC">
              <w:rPr>
                <w:b/>
                <w:bCs/>
                <w:sz w:val="27"/>
                <w:szCs w:val="27"/>
              </w:rPr>
              <w:t>264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84DE3FB"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68940D3D" w:rsidR="00334897" w:rsidRDefault="00334897" w:rsidP="00334897">
      <w:pPr>
        <w:pStyle w:val="Caption"/>
        <w:rPr>
          <w:bCs/>
        </w:rPr>
      </w:pPr>
      <w:bookmarkStart w:id="101" w:name="_Toc134945645"/>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43C973FA"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42A6242" w:rsidR="00334897" w:rsidRDefault="00334897" w:rsidP="00EE6DD4">
      <w:pPr>
        <w:pStyle w:val="Caption"/>
        <w:jc w:val="both"/>
        <w:rPr>
          <w:bCs/>
        </w:rPr>
      </w:pPr>
      <w:bookmarkStart w:id="103" w:name="_Toc134945646"/>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4E02D6A4" w:rsidR="00E64758" w:rsidRDefault="00B0209D" w:rsidP="00853289">
      <w:pPr>
        <w:tabs>
          <w:tab w:val="left" w:pos="2400"/>
        </w:tabs>
        <w:spacing w:before="160"/>
      </w:pPr>
      <w:r>
        <w:lastRenderedPageBreak/>
        <w:t xml:space="preserve">Nhận xét: </w:t>
      </w:r>
      <w:r w:rsidR="005B5559">
        <w:t xml:space="preserve">đánh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314567FE" w:rsidR="00334897" w:rsidRDefault="00334897" w:rsidP="00CA1402">
      <w:pPr>
        <w:pStyle w:val="Caption"/>
        <w:ind w:firstLine="0"/>
        <w:rPr>
          <w:bCs/>
        </w:rPr>
      </w:pPr>
      <w:bookmarkStart w:id="105" w:name="_Toc134945647"/>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13B369F" w:rsidR="00E40206" w:rsidRDefault="00B33E2D" w:rsidP="005B5806">
      <w:pPr>
        <w:tabs>
          <w:tab w:val="left" w:pos="2400"/>
        </w:tabs>
        <w:spacing w:before="160"/>
      </w:pPr>
      <w:r>
        <w:t>Nhận xét:</w:t>
      </w:r>
      <w:r w:rsidR="009F556D">
        <w:t xml:space="preserve"> 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4139653A" w:rsidR="007D6B49" w:rsidRPr="00B751F1" w:rsidRDefault="0046390A" w:rsidP="00E05D64">
      <w:pPr>
        <w:pStyle w:val="Caption"/>
        <w:ind w:firstLine="0"/>
        <w:jc w:val="both"/>
      </w:pPr>
      <w:bookmarkStart w:id="106" w:name="_Toc134945648"/>
      <w:r w:rsidRPr="00B751F1">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5724E99C"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202A5643" w:rsidR="00F656F9" w:rsidRDefault="00F656F9" w:rsidP="007E1C98">
      <w:pPr>
        <w:pStyle w:val="Caption"/>
        <w:ind w:firstLine="450"/>
        <w:rPr>
          <w:bCs/>
        </w:rPr>
      </w:pPr>
      <w:bookmarkStart w:id="107" w:name="_Toc134945649"/>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5DB8098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CC12CC6" w:rsidR="003234FE" w:rsidRDefault="003234FE" w:rsidP="00DB5E7D">
      <w:pPr>
        <w:pStyle w:val="Caption"/>
        <w:ind w:firstLine="180"/>
        <w:rPr>
          <w:bCs/>
        </w:rPr>
      </w:pPr>
      <w:bookmarkStart w:id="108" w:name="_Toc134945650"/>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1863BF43" w:rsidR="00957A58" w:rsidRDefault="0063060A" w:rsidP="00D12FD8">
      <w:pPr>
        <w:spacing w:before="160"/>
      </w:pPr>
      <w:r>
        <w:t xml:space="preserve">Nhận xét: </w:t>
      </w:r>
      <w:r w:rsidR="00995427">
        <w:t>đánh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72D7D208" w:rsidR="0086510D" w:rsidRDefault="0086510D" w:rsidP="00984003">
      <w:pPr>
        <w:pStyle w:val="Caption"/>
        <w:ind w:firstLine="0"/>
        <w:rPr>
          <w:bCs/>
        </w:rPr>
      </w:pPr>
      <w:bookmarkStart w:id="109" w:name="_Toc134945651"/>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57BF20F4" w:rsidR="00106E7B" w:rsidRPr="00BB0F55" w:rsidRDefault="001D4020" w:rsidP="00615299">
      <w:pPr>
        <w:spacing w:before="160"/>
      </w:pPr>
      <w:r>
        <w:t xml:space="preserve">Nhận xét: </w:t>
      </w:r>
      <w:bookmarkStart w:id="110" w:name="_Hlk134600649"/>
      <w:r w:rsidR="00B356A3">
        <w:t>đánh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246E385F" w:rsidR="00240D39" w:rsidRDefault="00240D39" w:rsidP="00027AEB">
      <w:pPr>
        <w:pStyle w:val="Caption"/>
        <w:ind w:firstLine="0"/>
        <w:jc w:val="both"/>
        <w:rPr>
          <w:bCs/>
        </w:rPr>
      </w:pPr>
      <w:bookmarkStart w:id="111" w:name="_Toc134945652"/>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6D2E8DDA"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4B48B576" w:rsidR="00B0065A" w:rsidRDefault="00B0065A" w:rsidP="00550AF8">
      <w:pPr>
        <w:pStyle w:val="Caption"/>
        <w:ind w:firstLine="0"/>
        <w:rPr>
          <w:bCs/>
        </w:rPr>
      </w:pPr>
      <w:bookmarkStart w:id="112" w:name="_Toc134945653"/>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4D4EEBB5"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1D206BA2" w:rsidR="00334897" w:rsidRDefault="00334897" w:rsidP="00B36309">
      <w:pPr>
        <w:pStyle w:val="Caption"/>
        <w:ind w:firstLine="0"/>
        <w:rPr>
          <w:bCs/>
        </w:rPr>
      </w:pPr>
      <w:bookmarkStart w:id="113" w:name="_Toc134945654"/>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2CB8F28B"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4948906"/>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4948907"/>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4948908"/>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4948909"/>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4948910"/>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72613CDD" w:rsidR="00751236" w:rsidRPr="00751236" w:rsidRDefault="004F6A8F" w:rsidP="00FB7630">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31" w:name="_Toc126527776"/>
      <w:bookmarkStart w:id="132" w:name="_Toc134910609"/>
      <w:bookmarkStart w:id="133" w:name="_Toc134948911"/>
      <w:r w:rsidRPr="004741C0">
        <w:lastRenderedPageBreak/>
        <w:t>TÀI LIỆU THAM KHẢO</w:t>
      </w:r>
      <w:bookmarkEnd w:id="131"/>
      <w:bookmarkEnd w:id="132"/>
      <w:bookmarkEnd w:id="133"/>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lastRenderedPageBreak/>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lastRenderedPageBreak/>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lastRenderedPageBreak/>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lastRenderedPageBreak/>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34" w:name="_Toc134910610"/>
      <w:bookmarkStart w:id="135" w:name="_Toc134948912"/>
      <w:r>
        <w:lastRenderedPageBreak/>
        <w:t>PHỤ LỤC</w:t>
      </w:r>
      <w:bookmarkEnd w:id="134"/>
      <w:bookmarkEnd w:id="135"/>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6"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6"/>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8E74" w14:textId="77777777" w:rsidR="00C36C1E" w:rsidRDefault="00C36C1E" w:rsidP="00C23165">
      <w:r>
        <w:separator/>
      </w:r>
    </w:p>
  </w:endnote>
  <w:endnote w:type="continuationSeparator" w:id="0">
    <w:p w14:paraId="4770AEED" w14:textId="77777777" w:rsidR="00C36C1E" w:rsidRDefault="00C36C1E"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38F7" w14:textId="77777777" w:rsidR="00C36C1E" w:rsidRDefault="00C36C1E" w:rsidP="00C23165">
      <w:r>
        <w:separator/>
      </w:r>
    </w:p>
  </w:footnote>
  <w:footnote w:type="continuationSeparator" w:id="0">
    <w:p w14:paraId="09C72246" w14:textId="77777777" w:rsidR="00C36C1E" w:rsidRDefault="00C36C1E"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834"/>
    <w:rsid w:val="000C590D"/>
    <w:rsid w:val="000C64B5"/>
    <w:rsid w:val="000C69B6"/>
    <w:rsid w:val="000C6D6C"/>
    <w:rsid w:val="000C6F08"/>
    <w:rsid w:val="000D02CB"/>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F24"/>
    <w:rsid w:val="0020306C"/>
    <w:rsid w:val="002030A0"/>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925"/>
    <w:rsid w:val="0029395D"/>
    <w:rsid w:val="00293AAF"/>
    <w:rsid w:val="002940FA"/>
    <w:rsid w:val="002943C3"/>
    <w:rsid w:val="00294743"/>
    <w:rsid w:val="00294AF6"/>
    <w:rsid w:val="00294B5F"/>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50CC"/>
    <w:rsid w:val="00365440"/>
    <w:rsid w:val="003657C0"/>
    <w:rsid w:val="00365A7E"/>
    <w:rsid w:val="00365AFF"/>
    <w:rsid w:val="00365B9D"/>
    <w:rsid w:val="00365C42"/>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86C"/>
    <w:rsid w:val="00416898"/>
    <w:rsid w:val="00416B94"/>
    <w:rsid w:val="00416FF0"/>
    <w:rsid w:val="00417779"/>
    <w:rsid w:val="00417804"/>
    <w:rsid w:val="004179A1"/>
    <w:rsid w:val="00417B75"/>
    <w:rsid w:val="00417DA0"/>
    <w:rsid w:val="00417E1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B5"/>
    <w:rsid w:val="006D3460"/>
    <w:rsid w:val="006D3811"/>
    <w:rsid w:val="006D395E"/>
    <w:rsid w:val="006D3C85"/>
    <w:rsid w:val="006D3CD7"/>
    <w:rsid w:val="006D3E7D"/>
    <w:rsid w:val="006D3E98"/>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91F"/>
    <w:rsid w:val="00725A64"/>
    <w:rsid w:val="00725A69"/>
    <w:rsid w:val="00726817"/>
    <w:rsid w:val="0072698F"/>
    <w:rsid w:val="00726CB4"/>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7E8"/>
    <w:rsid w:val="00886C11"/>
    <w:rsid w:val="00886FD4"/>
    <w:rsid w:val="00887412"/>
    <w:rsid w:val="008876BD"/>
    <w:rsid w:val="00887BB2"/>
    <w:rsid w:val="00887C44"/>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655"/>
    <w:rsid w:val="008C2816"/>
    <w:rsid w:val="008C2A32"/>
    <w:rsid w:val="008C31B6"/>
    <w:rsid w:val="008C447A"/>
    <w:rsid w:val="008C4A2E"/>
    <w:rsid w:val="008C4CDF"/>
    <w:rsid w:val="008C4E97"/>
    <w:rsid w:val="008C59F8"/>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34E"/>
    <w:rsid w:val="00941982"/>
    <w:rsid w:val="009419F8"/>
    <w:rsid w:val="00941D28"/>
    <w:rsid w:val="00941E67"/>
    <w:rsid w:val="00941E9F"/>
    <w:rsid w:val="0094205F"/>
    <w:rsid w:val="0094211A"/>
    <w:rsid w:val="009423B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D39"/>
    <w:rsid w:val="00AD2258"/>
    <w:rsid w:val="00AD298C"/>
    <w:rsid w:val="00AD3397"/>
    <w:rsid w:val="00AD3C2A"/>
    <w:rsid w:val="00AD44F2"/>
    <w:rsid w:val="00AD45E0"/>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B29"/>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A75"/>
    <w:rsid w:val="00E76D47"/>
    <w:rsid w:val="00E770DF"/>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786B-4816-A4CB-5E7E65A550E7}"/>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BB8-4FCC-AA4C-1E9EF571981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BB8-4FCC-AA4C-1E9EF5719811}"/>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5BB8-4FCC-AA4C-1E9EF5719811}"/>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B8-4FCC-AA4C-1E9EF57198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5BB8-4FCC-AA4C-1E9EF57198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7043</TotalTime>
  <Pages>82</Pages>
  <Words>28601</Words>
  <Characters>163028</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7821</cp:revision>
  <cp:lastPrinted>2023-05-09T02:40:00Z</cp:lastPrinted>
  <dcterms:created xsi:type="dcterms:W3CDTF">2022-11-14T16:14:00Z</dcterms:created>
  <dcterms:modified xsi:type="dcterms:W3CDTF">2023-05-14T02:42:00Z</dcterms:modified>
</cp:coreProperties>
</file>