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77777777" w:rsidR="003C31D4" w:rsidRPr="00B65C82" w:rsidRDefault="003C31D4" w:rsidP="00D77D8B">
            <w:r w:rsidRPr="00B65C82">
              <w:t>Tình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41B9F866" w14:textId="259987E2" w:rsidR="00F93624"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315127" w:history="1">
            <w:r w:rsidR="00F93624" w:rsidRPr="00A975D7">
              <w:rPr>
                <w:rStyle w:val="Hyperlink"/>
              </w:rPr>
              <w:t>ĐẶT VẤN ĐỀ</w:t>
            </w:r>
            <w:r w:rsidR="00F93624">
              <w:rPr>
                <w:webHidden/>
              </w:rPr>
              <w:tab/>
            </w:r>
            <w:r w:rsidR="00F93624">
              <w:rPr>
                <w:webHidden/>
              </w:rPr>
              <w:fldChar w:fldCharType="begin"/>
            </w:r>
            <w:r w:rsidR="00F93624">
              <w:rPr>
                <w:webHidden/>
              </w:rPr>
              <w:instrText xml:space="preserve"> PAGEREF _Toc135315127 \h </w:instrText>
            </w:r>
            <w:r w:rsidR="00F93624">
              <w:rPr>
                <w:webHidden/>
              </w:rPr>
            </w:r>
            <w:r w:rsidR="00F93624">
              <w:rPr>
                <w:webHidden/>
              </w:rPr>
              <w:fldChar w:fldCharType="separate"/>
            </w:r>
            <w:r w:rsidR="00F93624">
              <w:rPr>
                <w:webHidden/>
              </w:rPr>
              <w:t>1</w:t>
            </w:r>
            <w:r w:rsidR="00F93624">
              <w:rPr>
                <w:webHidden/>
              </w:rPr>
              <w:fldChar w:fldCharType="end"/>
            </w:r>
          </w:hyperlink>
        </w:p>
        <w:p w14:paraId="167B3414" w14:textId="66ACEAE6"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28" w:history="1">
            <w:r w:rsidR="00F93624" w:rsidRPr="00A975D7">
              <w:rPr>
                <w:rStyle w:val="Hyperlink"/>
              </w:rPr>
              <w:t>Chương 1 – TỔNG QUAN</w:t>
            </w:r>
            <w:r w:rsidR="00F93624">
              <w:rPr>
                <w:webHidden/>
              </w:rPr>
              <w:tab/>
            </w:r>
            <w:r w:rsidR="00F93624">
              <w:rPr>
                <w:webHidden/>
              </w:rPr>
              <w:fldChar w:fldCharType="begin"/>
            </w:r>
            <w:r w:rsidR="00F93624">
              <w:rPr>
                <w:webHidden/>
              </w:rPr>
              <w:instrText xml:space="preserve"> PAGEREF _Toc135315128 \h </w:instrText>
            </w:r>
            <w:r w:rsidR="00F93624">
              <w:rPr>
                <w:webHidden/>
              </w:rPr>
            </w:r>
            <w:r w:rsidR="00F93624">
              <w:rPr>
                <w:webHidden/>
              </w:rPr>
              <w:fldChar w:fldCharType="separate"/>
            </w:r>
            <w:r w:rsidR="00F93624">
              <w:rPr>
                <w:webHidden/>
              </w:rPr>
              <w:t>3</w:t>
            </w:r>
            <w:r w:rsidR="00F93624">
              <w:rPr>
                <w:webHidden/>
              </w:rPr>
              <w:fldChar w:fldCharType="end"/>
            </w:r>
          </w:hyperlink>
        </w:p>
        <w:p w14:paraId="0F89A0A3" w14:textId="4A2E2617"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29" w:history="1">
            <w:r w:rsidR="00F93624" w:rsidRPr="00A975D7">
              <w:rPr>
                <w:rStyle w:val="Hyperlink"/>
              </w:rPr>
              <w:t>1.1. Tình hình mắc lao hiện nay</w:t>
            </w:r>
            <w:r w:rsidR="00F93624">
              <w:rPr>
                <w:webHidden/>
              </w:rPr>
              <w:tab/>
            </w:r>
            <w:r w:rsidR="00F93624">
              <w:rPr>
                <w:webHidden/>
              </w:rPr>
              <w:fldChar w:fldCharType="begin"/>
            </w:r>
            <w:r w:rsidR="00F93624">
              <w:rPr>
                <w:webHidden/>
              </w:rPr>
              <w:instrText xml:space="preserve"> PAGEREF _Toc135315129 \h </w:instrText>
            </w:r>
            <w:r w:rsidR="00F93624">
              <w:rPr>
                <w:webHidden/>
              </w:rPr>
            </w:r>
            <w:r w:rsidR="00F93624">
              <w:rPr>
                <w:webHidden/>
              </w:rPr>
              <w:fldChar w:fldCharType="separate"/>
            </w:r>
            <w:r w:rsidR="00F93624">
              <w:rPr>
                <w:webHidden/>
              </w:rPr>
              <w:t>3</w:t>
            </w:r>
            <w:r w:rsidR="00F93624">
              <w:rPr>
                <w:webHidden/>
              </w:rPr>
              <w:fldChar w:fldCharType="end"/>
            </w:r>
          </w:hyperlink>
        </w:p>
        <w:p w14:paraId="2DE437A0" w14:textId="774A209B"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0" w:history="1">
            <w:r w:rsidR="00F93624" w:rsidRPr="00A975D7">
              <w:rPr>
                <w:rStyle w:val="Hyperlink"/>
              </w:rPr>
              <w:t>1.2. Một số hiểu biết về bệnh lao phổi</w:t>
            </w:r>
            <w:r w:rsidR="00F93624">
              <w:rPr>
                <w:webHidden/>
              </w:rPr>
              <w:tab/>
            </w:r>
            <w:r w:rsidR="00F93624">
              <w:rPr>
                <w:webHidden/>
              </w:rPr>
              <w:fldChar w:fldCharType="begin"/>
            </w:r>
            <w:r w:rsidR="00F93624">
              <w:rPr>
                <w:webHidden/>
              </w:rPr>
              <w:instrText xml:space="preserve"> PAGEREF _Toc135315130 \h </w:instrText>
            </w:r>
            <w:r w:rsidR="00F93624">
              <w:rPr>
                <w:webHidden/>
              </w:rPr>
            </w:r>
            <w:r w:rsidR="00F93624">
              <w:rPr>
                <w:webHidden/>
              </w:rPr>
              <w:fldChar w:fldCharType="separate"/>
            </w:r>
            <w:r w:rsidR="00F93624">
              <w:rPr>
                <w:webHidden/>
              </w:rPr>
              <w:t>5</w:t>
            </w:r>
            <w:r w:rsidR="00F93624">
              <w:rPr>
                <w:webHidden/>
              </w:rPr>
              <w:fldChar w:fldCharType="end"/>
            </w:r>
          </w:hyperlink>
        </w:p>
        <w:p w14:paraId="2736C79F" w14:textId="0F45A20E"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1" w:history="1">
            <w:r w:rsidR="00F93624" w:rsidRPr="00A975D7">
              <w:rPr>
                <w:rStyle w:val="Hyperlink"/>
              </w:rPr>
              <w:t>1.3. Dinh dưỡng bệnh nhân lao phổi</w:t>
            </w:r>
            <w:r w:rsidR="00F93624">
              <w:rPr>
                <w:webHidden/>
              </w:rPr>
              <w:tab/>
            </w:r>
            <w:r w:rsidR="00F93624">
              <w:rPr>
                <w:webHidden/>
              </w:rPr>
              <w:fldChar w:fldCharType="begin"/>
            </w:r>
            <w:r w:rsidR="00F93624">
              <w:rPr>
                <w:webHidden/>
              </w:rPr>
              <w:instrText xml:space="preserve"> PAGEREF _Toc135315131 \h </w:instrText>
            </w:r>
            <w:r w:rsidR="00F93624">
              <w:rPr>
                <w:webHidden/>
              </w:rPr>
            </w:r>
            <w:r w:rsidR="00F93624">
              <w:rPr>
                <w:webHidden/>
              </w:rPr>
              <w:fldChar w:fldCharType="separate"/>
            </w:r>
            <w:r w:rsidR="00F93624">
              <w:rPr>
                <w:webHidden/>
              </w:rPr>
              <w:t>14</w:t>
            </w:r>
            <w:r w:rsidR="00F93624">
              <w:rPr>
                <w:webHidden/>
              </w:rPr>
              <w:fldChar w:fldCharType="end"/>
            </w:r>
          </w:hyperlink>
        </w:p>
        <w:p w14:paraId="7B94F813" w14:textId="74A8E1AE"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2" w:history="1">
            <w:r w:rsidR="00F93624" w:rsidRPr="00A975D7">
              <w:rPr>
                <w:rStyle w:val="Hyperlink"/>
              </w:rPr>
              <w:t>1.4. Phương pháp đánh giá tình trạng dinh dưỡng của bệnh nhân</w:t>
            </w:r>
            <w:r w:rsidR="00F93624">
              <w:rPr>
                <w:webHidden/>
              </w:rPr>
              <w:tab/>
            </w:r>
            <w:r w:rsidR="00F93624">
              <w:rPr>
                <w:webHidden/>
              </w:rPr>
              <w:fldChar w:fldCharType="begin"/>
            </w:r>
            <w:r w:rsidR="00F93624">
              <w:rPr>
                <w:webHidden/>
              </w:rPr>
              <w:instrText xml:space="preserve"> PAGEREF _Toc135315132 \h </w:instrText>
            </w:r>
            <w:r w:rsidR="00F93624">
              <w:rPr>
                <w:webHidden/>
              </w:rPr>
            </w:r>
            <w:r w:rsidR="00F93624">
              <w:rPr>
                <w:webHidden/>
              </w:rPr>
              <w:fldChar w:fldCharType="separate"/>
            </w:r>
            <w:r w:rsidR="00F93624">
              <w:rPr>
                <w:webHidden/>
              </w:rPr>
              <w:t>15</w:t>
            </w:r>
            <w:r w:rsidR="00F93624">
              <w:rPr>
                <w:webHidden/>
              </w:rPr>
              <w:fldChar w:fldCharType="end"/>
            </w:r>
          </w:hyperlink>
        </w:p>
        <w:p w14:paraId="1CFDDE86" w14:textId="7A15013C"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3" w:history="1">
            <w:r w:rsidR="00F93624" w:rsidRPr="00A975D7">
              <w:rPr>
                <w:rStyle w:val="Hyperlink"/>
              </w:rPr>
              <w:t>Chương 2 - ĐỐI TƯỢNG VÀ PHƯƠNG PHÁP NGHIÊN CỨU</w:t>
            </w:r>
            <w:r w:rsidR="00F93624">
              <w:rPr>
                <w:webHidden/>
              </w:rPr>
              <w:tab/>
            </w:r>
            <w:r w:rsidR="00F93624">
              <w:rPr>
                <w:webHidden/>
              </w:rPr>
              <w:fldChar w:fldCharType="begin"/>
            </w:r>
            <w:r w:rsidR="00F93624">
              <w:rPr>
                <w:webHidden/>
              </w:rPr>
              <w:instrText xml:space="preserve"> PAGEREF _Toc135315133 \h </w:instrText>
            </w:r>
            <w:r w:rsidR="00F93624">
              <w:rPr>
                <w:webHidden/>
              </w:rPr>
            </w:r>
            <w:r w:rsidR="00F93624">
              <w:rPr>
                <w:webHidden/>
              </w:rPr>
              <w:fldChar w:fldCharType="separate"/>
            </w:r>
            <w:r w:rsidR="00F93624">
              <w:rPr>
                <w:webHidden/>
              </w:rPr>
              <w:t>20</w:t>
            </w:r>
            <w:r w:rsidR="00F93624">
              <w:rPr>
                <w:webHidden/>
              </w:rPr>
              <w:fldChar w:fldCharType="end"/>
            </w:r>
          </w:hyperlink>
        </w:p>
        <w:p w14:paraId="524E8AA1" w14:textId="04615669"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4" w:history="1">
            <w:r w:rsidR="00F93624" w:rsidRPr="00A975D7">
              <w:rPr>
                <w:rStyle w:val="Hyperlink"/>
              </w:rPr>
              <w:t>2.1. Đối tượng, thời gian và địa điểm nghiên cứu</w:t>
            </w:r>
            <w:r w:rsidR="00F93624">
              <w:rPr>
                <w:webHidden/>
              </w:rPr>
              <w:tab/>
            </w:r>
            <w:r w:rsidR="00F93624">
              <w:rPr>
                <w:webHidden/>
              </w:rPr>
              <w:fldChar w:fldCharType="begin"/>
            </w:r>
            <w:r w:rsidR="00F93624">
              <w:rPr>
                <w:webHidden/>
              </w:rPr>
              <w:instrText xml:space="preserve"> PAGEREF _Toc135315134 \h </w:instrText>
            </w:r>
            <w:r w:rsidR="00F93624">
              <w:rPr>
                <w:webHidden/>
              </w:rPr>
            </w:r>
            <w:r w:rsidR="00F93624">
              <w:rPr>
                <w:webHidden/>
              </w:rPr>
              <w:fldChar w:fldCharType="separate"/>
            </w:r>
            <w:r w:rsidR="00F93624">
              <w:rPr>
                <w:webHidden/>
              </w:rPr>
              <w:t>20</w:t>
            </w:r>
            <w:r w:rsidR="00F93624">
              <w:rPr>
                <w:webHidden/>
              </w:rPr>
              <w:fldChar w:fldCharType="end"/>
            </w:r>
          </w:hyperlink>
        </w:p>
        <w:p w14:paraId="2A291510" w14:textId="4479EDF6"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5" w:history="1">
            <w:r w:rsidR="00F93624" w:rsidRPr="00A975D7">
              <w:rPr>
                <w:rStyle w:val="Hyperlink"/>
              </w:rPr>
              <w:t>2.2. Phương pháp nghiên cứu</w:t>
            </w:r>
            <w:r w:rsidR="00F93624">
              <w:rPr>
                <w:webHidden/>
              </w:rPr>
              <w:tab/>
            </w:r>
            <w:r w:rsidR="00F93624">
              <w:rPr>
                <w:webHidden/>
              </w:rPr>
              <w:fldChar w:fldCharType="begin"/>
            </w:r>
            <w:r w:rsidR="00F93624">
              <w:rPr>
                <w:webHidden/>
              </w:rPr>
              <w:instrText xml:space="preserve"> PAGEREF _Toc135315135 \h </w:instrText>
            </w:r>
            <w:r w:rsidR="00F93624">
              <w:rPr>
                <w:webHidden/>
              </w:rPr>
            </w:r>
            <w:r w:rsidR="00F93624">
              <w:rPr>
                <w:webHidden/>
              </w:rPr>
              <w:fldChar w:fldCharType="separate"/>
            </w:r>
            <w:r w:rsidR="00F93624">
              <w:rPr>
                <w:webHidden/>
              </w:rPr>
              <w:t>22</w:t>
            </w:r>
            <w:r w:rsidR="00F93624">
              <w:rPr>
                <w:webHidden/>
              </w:rPr>
              <w:fldChar w:fldCharType="end"/>
            </w:r>
          </w:hyperlink>
        </w:p>
        <w:p w14:paraId="0519C0BC" w14:textId="1A5E2FAF"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6" w:history="1">
            <w:r w:rsidR="00F93624" w:rsidRPr="00A975D7">
              <w:rPr>
                <w:rStyle w:val="Hyperlink"/>
              </w:rPr>
              <w:t>Chương 3 – KẾT QUẢ</w:t>
            </w:r>
            <w:r w:rsidR="00F93624">
              <w:rPr>
                <w:webHidden/>
              </w:rPr>
              <w:tab/>
            </w:r>
            <w:r w:rsidR="00F93624">
              <w:rPr>
                <w:webHidden/>
              </w:rPr>
              <w:fldChar w:fldCharType="begin"/>
            </w:r>
            <w:r w:rsidR="00F93624">
              <w:rPr>
                <w:webHidden/>
              </w:rPr>
              <w:instrText xml:space="preserve"> PAGEREF _Toc135315136 \h </w:instrText>
            </w:r>
            <w:r w:rsidR="00F93624">
              <w:rPr>
                <w:webHidden/>
              </w:rPr>
            </w:r>
            <w:r w:rsidR="00F93624">
              <w:rPr>
                <w:webHidden/>
              </w:rPr>
              <w:fldChar w:fldCharType="separate"/>
            </w:r>
            <w:r w:rsidR="00F93624">
              <w:rPr>
                <w:webHidden/>
              </w:rPr>
              <w:t>28</w:t>
            </w:r>
            <w:r w:rsidR="00F93624">
              <w:rPr>
                <w:webHidden/>
              </w:rPr>
              <w:fldChar w:fldCharType="end"/>
            </w:r>
          </w:hyperlink>
        </w:p>
        <w:p w14:paraId="4803AF6F" w14:textId="5CE167D8"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7" w:history="1">
            <w:r w:rsidR="00F93624" w:rsidRPr="00A975D7">
              <w:rPr>
                <w:rStyle w:val="Hyperlink"/>
              </w:rPr>
              <w:t>3.1. Đặc điểm tình trạng dinh dưỡng của đối tượng nghiên cứu</w:t>
            </w:r>
            <w:r w:rsidR="00F93624">
              <w:rPr>
                <w:webHidden/>
              </w:rPr>
              <w:tab/>
            </w:r>
            <w:r w:rsidR="00F93624">
              <w:rPr>
                <w:webHidden/>
              </w:rPr>
              <w:fldChar w:fldCharType="begin"/>
            </w:r>
            <w:r w:rsidR="00F93624">
              <w:rPr>
                <w:webHidden/>
              </w:rPr>
              <w:instrText xml:space="preserve"> PAGEREF _Toc135315137 \h </w:instrText>
            </w:r>
            <w:r w:rsidR="00F93624">
              <w:rPr>
                <w:webHidden/>
              </w:rPr>
            </w:r>
            <w:r w:rsidR="00F93624">
              <w:rPr>
                <w:webHidden/>
              </w:rPr>
              <w:fldChar w:fldCharType="separate"/>
            </w:r>
            <w:r w:rsidR="00F93624">
              <w:rPr>
                <w:webHidden/>
              </w:rPr>
              <w:t>28</w:t>
            </w:r>
            <w:r w:rsidR="00F93624">
              <w:rPr>
                <w:webHidden/>
              </w:rPr>
              <w:fldChar w:fldCharType="end"/>
            </w:r>
          </w:hyperlink>
        </w:p>
        <w:p w14:paraId="506E0592" w14:textId="19B3BA9D"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38" w:history="1">
            <w:r w:rsidR="00F93624" w:rsidRPr="00A975D7">
              <w:rPr>
                <w:rStyle w:val="Hyperlink"/>
              </w:rPr>
              <w:t>3.2. Tình trạng dinh dưỡng và các yếu tố liên quan của đối tượng nghiên cứu</w:t>
            </w:r>
            <w:r w:rsidR="00F93624">
              <w:rPr>
                <w:webHidden/>
              </w:rPr>
              <w:tab/>
            </w:r>
            <w:r w:rsidR="00F93624">
              <w:rPr>
                <w:webHidden/>
              </w:rPr>
              <w:fldChar w:fldCharType="begin"/>
            </w:r>
            <w:r w:rsidR="00F93624">
              <w:rPr>
                <w:webHidden/>
              </w:rPr>
              <w:instrText xml:space="preserve"> PAGEREF _Toc135315138 \h </w:instrText>
            </w:r>
            <w:r w:rsidR="00F93624">
              <w:rPr>
                <w:webHidden/>
              </w:rPr>
            </w:r>
            <w:r w:rsidR="00F93624">
              <w:rPr>
                <w:webHidden/>
              </w:rPr>
              <w:fldChar w:fldCharType="separate"/>
            </w:r>
            <w:r w:rsidR="00F93624">
              <w:rPr>
                <w:webHidden/>
              </w:rPr>
              <w:t>36</w:t>
            </w:r>
            <w:r w:rsidR="00F93624">
              <w:rPr>
                <w:webHidden/>
              </w:rPr>
              <w:fldChar w:fldCharType="end"/>
            </w:r>
          </w:hyperlink>
        </w:p>
        <w:p w14:paraId="27D8A07C" w14:textId="6C7D1A33"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39" w:history="1">
            <w:r w:rsidR="00F93624" w:rsidRPr="00A975D7">
              <w:rPr>
                <w:rStyle w:val="Hyperlink"/>
              </w:rPr>
              <w:t>Chương 4 – BÀN LUẬN</w:t>
            </w:r>
            <w:r w:rsidR="00F93624">
              <w:rPr>
                <w:webHidden/>
              </w:rPr>
              <w:tab/>
            </w:r>
            <w:r w:rsidR="00F93624">
              <w:rPr>
                <w:webHidden/>
              </w:rPr>
              <w:fldChar w:fldCharType="begin"/>
            </w:r>
            <w:r w:rsidR="00F93624">
              <w:rPr>
                <w:webHidden/>
              </w:rPr>
              <w:instrText xml:space="preserve"> PAGEREF _Toc135315139 \h </w:instrText>
            </w:r>
            <w:r w:rsidR="00F93624">
              <w:rPr>
                <w:webHidden/>
              </w:rPr>
            </w:r>
            <w:r w:rsidR="00F93624">
              <w:rPr>
                <w:webHidden/>
              </w:rPr>
              <w:fldChar w:fldCharType="separate"/>
            </w:r>
            <w:r w:rsidR="00F93624">
              <w:rPr>
                <w:webHidden/>
              </w:rPr>
              <w:t>47</w:t>
            </w:r>
            <w:r w:rsidR="00F93624">
              <w:rPr>
                <w:webHidden/>
              </w:rPr>
              <w:fldChar w:fldCharType="end"/>
            </w:r>
          </w:hyperlink>
        </w:p>
        <w:p w14:paraId="3C9184D9" w14:textId="4A072ABF"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0" w:history="1">
            <w:r w:rsidR="00F93624" w:rsidRPr="00A975D7">
              <w:rPr>
                <w:rStyle w:val="Hyperlink"/>
              </w:rPr>
              <w:t>4.1. Đặc điểm về tình trạng dinh dưỡng của đối tượng nghiên cứu</w:t>
            </w:r>
            <w:r w:rsidR="00F93624">
              <w:rPr>
                <w:webHidden/>
              </w:rPr>
              <w:tab/>
            </w:r>
            <w:r w:rsidR="00F93624">
              <w:rPr>
                <w:webHidden/>
              </w:rPr>
              <w:fldChar w:fldCharType="begin"/>
            </w:r>
            <w:r w:rsidR="00F93624">
              <w:rPr>
                <w:webHidden/>
              </w:rPr>
              <w:instrText xml:space="preserve"> PAGEREF _Toc135315140 \h </w:instrText>
            </w:r>
            <w:r w:rsidR="00F93624">
              <w:rPr>
                <w:webHidden/>
              </w:rPr>
            </w:r>
            <w:r w:rsidR="00F93624">
              <w:rPr>
                <w:webHidden/>
              </w:rPr>
              <w:fldChar w:fldCharType="separate"/>
            </w:r>
            <w:r w:rsidR="00F93624">
              <w:rPr>
                <w:webHidden/>
              </w:rPr>
              <w:t>47</w:t>
            </w:r>
            <w:r w:rsidR="00F93624">
              <w:rPr>
                <w:webHidden/>
              </w:rPr>
              <w:fldChar w:fldCharType="end"/>
            </w:r>
          </w:hyperlink>
        </w:p>
        <w:p w14:paraId="35A23D78" w14:textId="1ED0DD1A" w:rsidR="00F93624"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315141" w:history="1">
            <w:r w:rsidR="00F93624" w:rsidRPr="00A975D7">
              <w:rPr>
                <w:rStyle w:val="Hyperlink"/>
              </w:rPr>
              <w:t>4.2. Tình trạng dinh dưỡng và các yếu tố liên quan của đối tượng nghiên cứu</w:t>
            </w:r>
            <w:r w:rsidR="00F93624">
              <w:rPr>
                <w:webHidden/>
              </w:rPr>
              <w:tab/>
            </w:r>
            <w:r w:rsidR="00F93624">
              <w:rPr>
                <w:webHidden/>
              </w:rPr>
              <w:fldChar w:fldCharType="begin"/>
            </w:r>
            <w:r w:rsidR="00F93624">
              <w:rPr>
                <w:webHidden/>
              </w:rPr>
              <w:instrText xml:space="preserve"> PAGEREF _Toc135315141 \h </w:instrText>
            </w:r>
            <w:r w:rsidR="00F93624">
              <w:rPr>
                <w:webHidden/>
              </w:rPr>
            </w:r>
            <w:r w:rsidR="00F93624">
              <w:rPr>
                <w:webHidden/>
              </w:rPr>
              <w:fldChar w:fldCharType="separate"/>
            </w:r>
            <w:r w:rsidR="00F93624">
              <w:rPr>
                <w:webHidden/>
              </w:rPr>
              <w:t>53</w:t>
            </w:r>
            <w:r w:rsidR="00F93624">
              <w:rPr>
                <w:webHidden/>
              </w:rPr>
              <w:fldChar w:fldCharType="end"/>
            </w:r>
          </w:hyperlink>
        </w:p>
        <w:p w14:paraId="2C1CE6C2" w14:textId="41414A91"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2" w:history="1">
            <w:r w:rsidR="00F93624" w:rsidRPr="00A975D7">
              <w:rPr>
                <w:rStyle w:val="Hyperlink"/>
              </w:rPr>
              <w:t>KẾT LUẬN</w:t>
            </w:r>
            <w:r w:rsidR="00F93624">
              <w:rPr>
                <w:webHidden/>
              </w:rPr>
              <w:tab/>
            </w:r>
            <w:r w:rsidR="00F93624">
              <w:rPr>
                <w:webHidden/>
              </w:rPr>
              <w:fldChar w:fldCharType="begin"/>
            </w:r>
            <w:r w:rsidR="00F93624">
              <w:rPr>
                <w:webHidden/>
              </w:rPr>
              <w:instrText xml:space="preserve"> PAGEREF _Toc135315142 \h </w:instrText>
            </w:r>
            <w:r w:rsidR="00F93624">
              <w:rPr>
                <w:webHidden/>
              </w:rPr>
            </w:r>
            <w:r w:rsidR="00F93624">
              <w:rPr>
                <w:webHidden/>
              </w:rPr>
              <w:fldChar w:fldCharType="separate"/>
            </w:r>
            <w:r w:rsidR="00F93624">
              <w:rPr>
                <w:webHidden/>
              </w:rPr>
              <w:t>62</w:t>
            </w:r>
            <w:r w:rsidR="00F93624">
              <w:rPr>
                <w:webHidden/>
              </w:rPr>
              <w:fldChar w:fldCharType="end"/>
            </w:r>
          </w:hyperlink>
        </w:p>
        <w:p w14:paraId="6BCD62DC" w14:textId="6E23C66A" w:rsidR="00F93624"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315143" w:history="1">
            <w:r w:rsidR="00F93624" w:rsidRPr="00A975D7">
              <w:rPr>
                <w:rStyle w:val="Hyperlink"/>
              </w:rPr>
              <w:t>KIẾN NGHỊ</w:t>
            </w:r>
            <w:r w:rsidR="00F93624">
              <w:rPr>
                <w:webHidden/>
              </w:rPr>
              <w:tab/>
            </w:r>
            <w:r w:rsidR="00F93624">
              <w:rPr>
                <w:webHidden/>
              </w:rPr>
              <w:fldChar w:fldCharType="begin"/>
            </w:r>
            <w:r w:rsidR="00F93624">
              <w:rPr>
                <w:webHidden/>
              </w:rPr>
              <w:instrText xml:space="preserve"> PAGEREF _Toc135315143 \h </w:instrText>
            </w:r>
            <w:r w:rsidR="00F93624">
              <w:rPr>
                <w:webHidden/>
              </w:rPr>
            </w:r>
            <w:r w:rsidR="00F93624">
              <w:rPr>
                <w:webHidden/>
              </w:rPr>
              <w:fldChar w:fldCharType="separate"/>
            </w:r>
            <w:r w:rsidR="00F93624">
              <w:rPr>
                <w:webHidden/>
              </w:rPr>
              <w:t>64</w:t>
            </w:r>
            <w:r w:rsidR="00F93624">
              <w:rPr>
                <w:webHidden/>
              </w:rPr>
              <w:fldChar w:fldCharType="end"/>
            </w:r>
          </w:hyperlink>
        </w:p>
        <w:p w14:paraId="18D2E423" w14:textId="41568F94"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49AE58C7" w14:textId="04621AD1" w:rsidR="00515109" w:rsidRDefault="006C7598" w:rsidP="00DF5E5C">
      <w:pPr>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315127"/>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315128"/>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315129"/>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315130"/>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315131"/>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5315132"/>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315133"/>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315134"/>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315135"/>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237F74D4"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315136"/>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5315137"/>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2CCBC2C"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93D2EC5"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1C09BF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969F7ED"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5315138"/>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806F486"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4EAF1CF4"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2FEF875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94B9630"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7B383801"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51CA5DE7"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08A177D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76BBFFED"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1B3BC065"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0075C8F2"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6983B79E"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61433985"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315139"/>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5315140"/>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5315141"/>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6E79267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315142"/>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315143"/>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1E7B80CF"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xml:space="preserve">... </w:t>
      </w:r>
      <w:r w:rsidR="007B7A45">
        <w:rPr>
          <w:lang w:val="vi-VN"/>
        </w:rPr>
        <w:t>Đ</w:t>
      </w:r>
      <w:r w:rsidR="00FB7630" w:rsidRPr="00751236">
        <w:t>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5473" w14:textId="77777777" w:rsidR="00BF7B4F" w:rsidRDefault="00BF7B4F" w:rsidP="00C23165">
      <w:r>
        <w:separator/>
      </w:r>
    </w:p>
  </w:endnote>
  <w:endnote w:type="continuationSeparator" w:id="0">
    <w:p w14:paraId="513C10E9" w14:textId="77777777" w:rsidR="00BF7B4F" w:rsidRDefault="00BF7B4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2B38" w14:textId="77777777" w:rsidR="00BF7B4F" w:rsidRDefault="00BF7B4F" w:rsidP="00C23165">
      <w:r>
        <w:separator/>
      </w:r>
    </w:p>
  </w:footnote>
  <w:footnote w:type="continuationSeparator" w:id="0">
    <w:p w14:paraId="2074567D" w14:textId="77777777" w:rsidR="00BF7B4F" w:rsidRDefault="00BF7B4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7432</TotalTime>
  <Pages>82</Pages>
  <Words>28556</Words>
  <Characters>162772</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7950</cp:revision>
  <cp:lastPrinted>2023-05-15T02:51:00Z</cp:lastPrinted>
  <dcterms:created xsi:type="dcterms:W3CDTF">2022-11-14T16:14:00Z</dcterms:created>
  <dcterms:modified xsi:type="dcterms:W3CDTF">2023-05-22T16:19:00Z</dcterms:modified>
</cp:coreProperties>
</file>