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2"/>
        </w:rPr>
      </w:pPr>
    </w:p>
    <w:p>
      <w:pPr>
        <w:spacing w:after="0"/>
        <w:rPr>
          <w:sz w:val="22"/>
        </w:rPr>
        <w:sectPr>
          <w:footerReference w:type="even" r:id="rId5"/>
          <w:type w:val="continuous"/>
          <w:pgSz w:w="12070" w:h="15650"/>
          <w:pgMar w:footer="0" w:top="0" w:bottom="280" w:left="0" w:right="0"/>
          <w:pgNumType w:start="12"/>
        </w:sectPr>
      </w:pPr>
    </w:p>
    <w:p>
      <w:pPr>
        <w:spacing w:before="91"/>
        <w:ind w:left="905" w:right="0" w:firstLine="0"/>
        <w:jc w:val="left"/>
        <w:rPr>
          <w:rFonts w:ascii="Arial" w:hAnsi="Arial"/>
          <w:b/>
          <w:sz w:val="28"/>
        </w:rPr>
      </w:pPr>
      <w:r>
        <w:rPr/>
        <w:pict>
          <v:group style="position:absolute;margin-left:0pt;margin-top:-220.086166pt;width:603.1pt;height:198pt;mso-position-horizontal-relative:page;mso-position-vertical-relative:paragraph;z-index:15728640" coordorigin="0,-4402" coordsize="12062,3960">
            <v:rect style="position:absolute;left:0;top:-4402;width:12062;height:1706" filled="true" fillcolor="#745ba2" stroked="false">
              <v:fill type="solid"/>
            </v:rect>
            <v:rect style="position:absolute;left:0;top:-2713;width:12062;height:20" filled="true" fillcolor="#ffffff" stroked="false">
              <v:fill type="solid"/>
            </v:rect>
            <v:shapetype id="_x0000_t202" o:spt="202" coordsize="21600,21600" path="m,l,21600r21600,l21600,xe">
              <v:stroke joinstyle="miter"/>
              <v:path gradientshapeok="t" o:connecttype="rect"/>
            </v:shapetype>
            <v:shape style="position:absolute;left:0;top:-2693;width:12062;height:2251" type="#_x0000_t202" filled="true" fillcolor="#afa3cf" stroked="false">
              <v:textbox inset="0,0,0,0">
                <w:txbxContent>
                  <w:p>
                    <w:pPr>
                      <w:spacing w:line="240" w:lineRule="auto" w:before="10"/>
                      <w:rPr>
                        <w:sz w:val="63"/>
                      </w:rPr>
                    </w:pPr>
                  </w:p>
                  <w:p>
                    <w:pPr>
                      <w:spacing w:before="0"/>
                      <w:ind w:left="905" w:right="0" w:firstLine="0"/>
                      <w:jc w:val="left"/>
                      <w:rPr>
                        <w:rFonts w:ascii="Adobe Garamond Pro" w:hAnsi="Adobe Garamond Pro"/>
                        <w:sz w:val="64"/>
                      </w:rPr>
                    </w:pPr>
                    <w:r>
                      <w:rPr>
                        <w:rFonts w:ascii="Adobe Garamond Pro" w:hAnsi="Adobe Garamond Pro"/>
                        <w:color w:val="FFFFFF"/>
                        <w:sz w:val="64"/>
                      </w:rPr>
                      <w:t>S</w:t>
                    </w:r>
                    <w:r>
                      <w:rPr>
                        <w:color w:val="FFFFFF"/>
                        <w:sz w:val="64"/>
                      </w:rPr>
                      <w:t>ố</w:t>
                    </w:r>
                    <w:r>
                      <w:rPr>
                        <w:rFonts w:ascii="Adobe Garamond Pro" w:hAnsi="Adobe Garamond Pro"/>
                        <w:color w:val="FFFFFF"/>
                        <w:sz w:val="64"/>
                      </w:rPr>
                      <w:t>c và truy</w:t>
                    </w:r>
                    <w:r>
                      <w:rPr>
                        <w:color w:val="FFFFFF"/>
                        <w:sz w:val="64"/>
                      </w:rPr>
                      <w:t>ề</w:t>
                    </w:r>
                    <w:r>
                      <w:rPr>
                        <w:rFonts w:ascii="Adobe Garamond Pro" w:hAnsi="Adobe Garamond Pro"/>
                        <w:color w:val="FFFFFF"/>
                        <w:sz w:val="64"/>
                      </w:rPr>
                      <w:t>n máu</w:t>
                    </w:r>
                  </w:p>
                </w:txbxContent>
              </v:textbox>
              <v:fill type="solid"/>
              <w10:wrap type="none"/>
            </v:shape>
            <v:shape style="position:absolute;left:140;top:-4382;width:11787;height:864" type="#_x0000_t202" filled="false" stroked="false">
              <v:textbox inset="0,0,0,0">
                <w:txbxContent>
                  <w:p>
                    <w:pPr>
                      <w:spacing w:line="863" w:lineRule="exact" w:before="0"/>
                      <w:ind w:left="0" w:right="0" w:firstLine="0"/>
                      <w:jc w:val="left"/>
                      <w:rPr>
                        <w:rFonts w:ascii="Adobe Garamond Pro"/>
                        <w:i/>
                        <w:sz w:val="76"/>
                      </w:rPr>
                    </w:pPr>
                    <w:r>
                      <w:rPr>
                        <w:rFonts w:ascii="Adobe Garamond Pro"/>
                        <w:i/>
                        <w:color w:val="FFFFFF"/>
                        <w:spacing w:val="-15"/>
                        <w:w w:val="105"/>
                        <w:sz w:val="76"/>
                      </w:rPr>
                      <w:t>Bailey</w:t>
                    </w:r>
                    <w:r>
                      <w:rPr>
                        <w:rFonts w:ascii="Adobe Garamond Pro"/>
                        <w:i/>
                        <w:color w:val="FFFFFF"/>
                        <w:spacing w:val="-104"/>
                        <w:w w:val="105"/>
                        <w:sz w:val="76"/>
                      </w:rPr>
                      <w:t> </w:t>
                    </w:r>
                    <w:r>
                      <w:rPr>
                        <w:rFonts w:ascii="Adobe Garamond Pro"/>
                        <w:i/>
                        <w:color w:val="FFFFFF"/>
                        <w:w w:val="105"/>
                        <w:sz w:val="76"/>
                      </w:rPr>
                      <w:t>&amp;</w:t>
                    </w:r>
                    <w:r>
                      <w:rPr>
                        <w:rFonts w:ascii="Adobe Garamond Pro"/>
                        <w:i/>
                        <w:color w:val="FFFFFF"/>
                        <w:spacing w:val="-116"/>
                        <w:w w:val="105"/>
                        <w:sz w:val="76"/>
                      </w:rPr>
                      <w:t> </w:t>
                    </w:r>
                    <w:r>
                      <w:rPr>
                        <w:rFonts w:ascii="Adobe Garamond Pro"/>
                        <w:i/>
                        <w:color w:val="FFFFFF"/>
                        <w:spacing w:val="-19"/>
                        <w:w w:val="105"/>
                        <w:sz w:val="76"/>
                      </w:rPr>
                      <w:t>Love </w:t>
                    </w:r>
                    <w:r>
                      <w:rPr>
                        <w:rFonts w:ascii="Adobe Garamond Pro"/>
                        <w:i/>
                        <w:color w:val="FFFFFF"/>
                        <w:spacing w:val="-15"/>
                        <w:w w:val="105"/>
                        <w:sz w:val="76"/>
                      </w:rPr>
                      <w:t>Bailey</w:t>
                    </w:r>
                    <w:r>
                      <w:rPr>
                        <w:rFonts w:ascii="Adobe Garamond Pro"/>
                        <w:i/>
                        <w:color w:val="FFFFFF"/>
                        <w:spacing w:val="-103"/>
                        <w:w w:val="105"/>
                        <w:sz w:val="76"/>
                      </w:rPr>
                      <w:t> </w:t>
                    </w:r>
                    <w:r>
                      <w:rPr>
                        <w:rFonts w:ascii="Adobe Garamond Pro"/>
                        <w:i/>
                        <w:color w:val="FFFFFF"/>
                        <w:w w:val="105"/>
                        <w:sz w:val="76"/>
                      </w:rPr>
                      <w:t>&amp;</w:t>
                    </w:r>
                    <w:r>
                      <w:rPr>
                        <w:rFonts w:ascii="Adobe Garamond Pro"/>
                        <w:i/>
                        <w:color w:val="FFFFFF"/>
                        <w:spacing w:val="-117"/>
                        <w:w w:val="105"/>
                        <w:sz w:val="76"/>
                      </w:rPr>
                      <w:t> </w:t>
                    </w:r>
                    <w:r>
                      <w:rPr>
                        <w:rFonts w:ascii="Adobe Garamond Pro"/>
                        <w:i/>
                        <w:color w:val="FFFFFF"/>
                        <w:spacing w:val="-19"/>
                        <w:w w:val="105"/>
                        <w:sz w:val="76"/>
                      </w:rPr>
                      <w:t>Love </w:t>
                    </w:r>
                    <w:r>
                      <w:rPr>
                        <w:rFonts w:ascii="Adobe Garamond Pro"/>
                        <w:i/>
                        <w:color w:val="FFFFFF"/>
                        <w:spacing w:val="-15"/>
                        <w:w w:val="105"/>
                        <w:sz w:val="76"/>
                      </w:rPr>
                      <w:t>Bailey</w:t>
                    </w:r>
                    <w:r>
                      <w:rPr>
                        <w:rFonts w:ascii="Adobe Garamond Pro"/>
                        <w:i/>
                        <w:color w:val="FFFFFF"/>
                        <w:spacing w:val="-103"/>
                        <w:w w:val="105"/>
                        <w:sz w:val="76"/>
                      </w:rPr>
                      <w:t> </w:t>
                    </w:r>
                    <w:r>
                      <w:rPr>
                        <w:rFonts w:ascii="Adobe Garamond Pro"/>
                        <w:i/>
                        <w:color w:val="FFFFFF"/>
                        <w:w w:val="105"/>
                        <w:sz w:val="76"/>
                      </w:rPr>
                      <w:t>&amp;</w:t>
                    </w:r>
                    <w:r>
                      <w:rPr>
                        <w:rFonts w:ascii="Adobe Garamond Pro"/>
                        <w:i/>
                        <w:color w:val="FFFFFF"/>
                        <w:spacing w:val="-117"/>
                        <w:w w:val="105"/>
                        <w:sz w:val="76"/>
                      </w:rPr>
                      <w:t> </w:t>
                    </w:r>
                    <w:r>
                      <w:rPr>
                        <w:rFonts w:ascii="Adobe Garamond Pro"/>
                        <w:i/>
                        <w:color w:val="FFFFFF"/>
                        <w:spacing w:val="-19"/>
                        <w:w w:val="105"/>
                        <w:sz w:val="76"/>
                      </w:rPr>
                      <w:t>Love</w:t>
                    </w:r>
                  </w:p>
                </w:txbxContent>
              </v:textbox>
              <w10:wrap type="none"/>
            </v:shape>
            <v:shape style="position:absolute;left:140;top:-4052;width:11756;height:1337" type="#_x0000_t202" filled="false" stroked="false">
              <v:textbox inset="0,0,0,0">
                <w:txbxContent>
                  <w:p>
                    <w:pPr>
                      <w:spacing w:before="44"/>
                      <w:ind w:left="0" w:right="0" w:firstLine="0"/>
                      <w:jc w:val="left"/>
                      <w:rPr>
                        <w:rFonts w:ascii="Adobe Garamond Pro" w:hAnsi="Adobe Garamond Pro"/>
                        <w:i/>
                        <w:sz w:val="76"/>
                      </w:rPr>
                    </w:pPr>
                    <w:r>
                      <w:rPr>
                        <w:rFonts w:ascii="Adobe Garamond Pro" w:hAnsi="Adobe Garamond Pro"/>
                        <w:i/>
                        <w:color w:val="FFFFFF"/>
                        <w:spacing w:val="-21"/>
                        <w:w w:val="103"/>
                        <w:sz w:val="76"/>
                      </w:rPr>
                      <w:t>B</w:t>
                    </w:r>
                    <w:r>
                      <w:rPr>
                        <w:rFonts w:ascii="Adobe Garamond Pro" w:hAnsi="Adobe Garamond Pro"/>
                        <w:i/>
                        <w:color w:val="FFFFFF"/>
                        <w:spacing w:val="-16"/>
                        <w:w w:val="103"/>
                        <w:sz w:val="76"/>
                      </w:rPr>
                      <w:t>a</w:t>
                    </w:r>
                    <w:r>
                      <w:rPr>
                        <w:b/>
                        <w:color w:val="FFFFFF"/>
                        <w:spacing w:val="-202"/>
                        <w:position w:val="21"/>
                        <w:sz w:val="28"/>
                      </w:rPr>
                      <w:t>C</w:t>
                    </w:r>
                    <w:r>
                      <w:rPr>
                        <w:rFonts w:ascii="Adobe Garamond Pro" w:hAnsi="Adobe Garamond Pro"/>
                        <w:i/>
                        <w:color w:val="FFFFFF"/>
                        <w:spacing w:val="-16"/>
                        <w:w w:val="103"/>
                        <w:sz w:val="76"/>
                      </w:rPr>
                      <w:t>i</w:t>
                    </w:r>
                    <w:r>
                      <w:rPr>
                        <w:rFonts w:ascii="Adobe Garamond Pro" w:hAnsi="Adobe Garamond Pro"/>
                        <w:i/>
                        <w:color w:val="FFFFFF"/>
                        <w:spacing w:val="-190"/>
                        <w:w w:val="103"/>
                        <w:sz w:val="76"/>
                      </w:rPr>
                      <w:t>l</w:t>
                    </w:r>
                    <w:r>
                      <w:rPr>
                        <w:b/>
                        <w:color w:val="FFFFFF"/>
                        <w:spacing w:val="-1"/>
                        <w:position w:val="21"/>
                        <w:sz w:val="28"/>
                      </w:rPr>
                      <w:t>h</w:t>
                    </w:r>
                    <w:r>
                      <w:rPr>
                        <w:b/>
                        <w:color w:val="FFFFFF"/>
                        <w:spacing w:val="-150"/>
                        <w:position w:val="21"/>
                        <w:sz w:val="28"/>
                      </w:rPr>
                      <w:t>ư</w:t>
                    </w:r>
                    <w:r>
                      <w:rPr>
                        <w:rFonts w:ascii="Adobe Garamond Pro" w:hAnsi="Adobe Garamond Pro"/>
                        <w:i/>
                        <w:color w:val="FFFFFF"/>
                        <w:spacing w:val="-122"/>
                        <w:w w:val="103"/>
                        <w:sz w:val="76"/>
                      </w:rPr>
                      <w:t>e</w:t>
                    </w:r>
                    <w:r>
                      <w:rPr>
                        <w:b/>
                        <w:color w:val="FFFFFF"/>
                        <w:spacing w:val="-50"/>
                        <w:position w:val="21"/>
                        <w:sz w:val="28"/>
                      </w:rPr>
                      <w:t>ơ</w:t>
                    </w:r>
                    <w:r>
                      <w:rPr>
                        <w:rFonts w:ascii="Adobe Garamond Pro" w:hAnsi="Adobe Garamond Pro"/>
                        <w:i/>
                        <w:color w:val="FFFFFF"/>
                        <w:spacing w:val="-238"/>
                        <w:w w:val="103"/>
                        <w:sz w:val="76"/>
                      </w:rPr>
                      <w:t>y</w:t>
                    </w:r>
                    <w:r>
                      <w:rPr>
                        <w:b/>
                        <w:color w:val="FFFFFF"/>
                        <w:spacing w:val="-1"/>
                        <w:position w:val="21"/>
                        <w:sz w:val="28"/>
                      </w:rPr>
                      <w:t>n</w:t>
                    </w:r>
                    <w:r>
                      <w:rPr>
                        <w:b/>
                        <w:color w:val="FFFFFF"/>
                        <w:position w:val="21"/>
                        <w:sz w:val="28"/>
                      </w:rPr>
                      <w:t>g</w:t>
                    </w:r>
                    <w:r>
                      <w:rPr>
                        <w:b/>
                        <w:color w:val="FFFFFF"/>
                        <w:spacing w:val="-12"/>
                        <w:position w:val="21"/>
                        <w:sz w:val="28"/>
                      </w:rPr>
                      <w:t> </w:t>
                    </w:r>
                    <w:r>
                      <w:rPr>
                        <w:rFonts w:ascii="Adobe Garamond Pro" w:hAnsi="Adobe Garamond Pro"/>
                        <w:i/>
                        <w:color w:val="FFFFFF"/>
                        <w:spacing w:val="-363"/>
                        <w:w w:val="103"/>
                        <w:sz w:val="76"/>
                      </w:rPr>
                      <w:t>&amp;</w:t>
                    </w:r>
                    <w:r>
                      <w:rPr>
                        <w:rFonts w:ascii="Arial" w:hAnsi="Arial"/>
                        <w:b/>
                        <w:color w:val="FFFFFF"/>
                        <w:spacing w:val="-159"/>
                        <w:w w:val="99"/>
                        <w:position w:val="-4"/>
                        <w:sz w:val="112"/>
                      </w:rPr>
                      <w:t>2</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w:t>
                    </w:r>
                    <w:r>
                      <w:rPr>
                        <w:rFonts w:ascii="Adobe Garamond Pro" w:hAnsi="Adobe Garamond Pro"/>
                        <w:i/>
                        <w:color w:val="FFFFFF"/>
                        <w:w w:val="103"/>
                        <w:sz w:val="76"/>
                      </w:rPr>
                      <w:t>&amp;</w:t>
                    </w:r>
                    <w:r>
                      <w:rPr>
                        <w:rFonts w:ascii="Adobe Garamond Pro" w:hAnsi="Adobe Garamond Pro"/>
                        <w:i/>
                        <w:color w:val="FFFFFF"/>
                        <w:spacing w:val="-89"/>
                        <w:sz w:val="76"/>
                      </w:rPr>
                      <w:t>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w:t>
                    </w:r>
                    <w:r>
                      <w:rPr>
                        <w:rFonts w:ascii="Adobe Garamond Pro" w:hAnsi="Adobe Garamond Pro"/>
                        <w:i/>
                        <w:color w:val="FFFFFF"/>
                        <w:w w:val="103"/>
                        <w:sz w:val="76"/>
                      </w:rPr>
                      <w:t>&amp;</w:t>
                    </w:r>
                    <w:r>
                      <w:rPr>
                        <w:rFonts w:ascii="Adobe Garamond Pro" w:hAnsi="Adobe Garamond Pro"/>
                        <w:i/>
                        <w:color w:val="FFFFFF"/>
                        <w:spacing w:val="-89"/>
                        <w:sz w:val="76"/>
                      </w:rPr>
                      <w:t>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ve</w:t>
                    </w:r>
                  </w:p>
                </w:txbxContent>
              </v:textbox>
              <w10:wrap type="none"/>
            </v:shape>
            <w10:wrap type="none"/>
          </v:group>
        </w:pict>
      </w:r>
      <w:r>
        <w:rPr>
          <w:rFonts w:ascii="Arial" w:hAnsi="Arial"/>
          <w:b/>
          <w:color w:val="755BA3"/>
          <w:sz w:val="28"/>
        </w:rPr>
        <w:t>Mục tiêu học tập</w:t>
      </w:r>
    </w:p>
    <w:p>
      <w:pPr>
        <w:spacing w:before="130"/>
        <w:ind w:left="905" w:right="0" w:firstLine="0"/>
        <w:jc w:val="left"/>
        <w:rPr>
          <w:rFonts w:ascii="Arial" w:hAnsi="Arial"/>
          <w:sz w:val="18"/>
        </w:rPr>
      </w:pPr>
      <w:r>
        <w:rPr>
          <w:rFonts w:ascii="Arial" w:hAnsi="Arial"/>
          <w:color w:val="575757"/>
          <w:w w:val="105"/>
          <w:sz w:val="18"/>
        </w:rPr>
        <w:t>Hiểu được:</w:t>
      </w:r>
    </w:p>
    <w:p>
      <w:pPr>
        <w:pStyle w:val="ListParagraph"/>
        <w:numPr>
          <w:ilvl w:val="0"/>
          <w:numId w:val="1"/>
        </w:numPr>
        <w:tabs>
          <w:tab w:pos="1159" w:val="left" w:leader="none"/>
        </w:tabs>
        <w:spacing w:line="252" w:lineRule="auto" w:before="19" w:after="0"/>
        <w:ind w:left="1161" w:right="407" w:hanging="257"/>
        <w:jc w:val="left"/>
        <w:rPr>
          <w:rFonts w:ascii="Arial" w:hAnsi="Arial"/>
          <w:sz w:val="18"/>
        </w:rPr>
      </w:pPr>
      <w:r>
        <w:rPr>
          <w:rFonts w:ascii="Arial" w:hAnsi="Arial"/>
          <w:color w:val="575757"/>
          <w:w w:val="105"/>
          <w:position w:val="2"/>
          <w:sz w:val="18"/>
        </w:rPr>
        <w:t>Sinh</w:t>
      </w:r>
      <w:r>
        <w:rPr>
          <w:rFonts w:ascii="Arial" w:hAnsi="Arial"/>
          <w:color w:val="575757"/>
          <w:spacing w:val="-11"/>
          <w:w w:val="105"/>
          <w:position w:val="2"/>
          <w:sz w:val="18"/>
        </w:rPr>
        <w:t> </w:t>
      </w:r>
      <w:r>
        <w:rPr>
          <w:rFonts w:ascii="Arial" w:hAnsi="Arial"/>
          <w:color w:val="575757"/>
          <w:w w:val="105"/>
          <w:position w:val="2"/>
          <w:sz w:val="18"/>
        </w:rPr>
        <w:t>lý</w:t>
      </w:r>
      <w:r>
        <w:rPr>
          <w:rFonts w:ascii="Arial" w:hAnsi="Arial"/>
          <w:color w:val="575757"/>
          <w:spacing w:val="-11"/>
          <w:w w:val="105"/>
          <w:position w:val="2"/>
          <w:sz w:val="18"/>
        </w:rPr>
        <w:t> </w:t>
      </w:r>
      <w:r>
        <w:rPr>
          <w:rFonts w:ascii="Arial" w:hAnsi="Arial"/>
          <w:color w:val="575757"/>
          <w:w w:val="105"/>
          <w:position w:val="2"/>
          <w:sz w:val="18"/>
        </w:rPr>
        <w:t>bệnh</w:t>
      </w:r>
      <w:r>
        <w:rPr>
          <w:rFonts w:ascii="Arial" w:hAnsi="Arial"/>
          <w:color w:val="575757"/>
          <w:spacing w:val="-10"/>
          <w:w w:val="105"/>
          <w:position w:val="2"/>
          <w:sz w:val="18"/>
        </w:rPr>
        <w:t> </w:t>
      </w:r>
      <w:r>
        <w:rPr>
          <w:rFonts w:ascii="Arial" w:hAnsi="Arial"/>
          <w:color w:val="575757"/>
          <w:w w:val="105"/>
          <w:position w:val="2"/>
          <w:sz w:val="18"/>
        </w:rPr>
        <w:t>của</w:t>
      </w:r>
      <w:r>
        <w:rPr>
          <w:rFonts w:ascii="Arial" w:hAnsi="Arial"/>
          <w:color w:val="575757"/>
          <w:spacing w:val="-11"/>
          <w:w w:val="105"/>
          <w:position w:val="2"/>
          <w:sz w:val="18"/>
        </w:rPr>
        <w:t> </w:t>
      </w:r>
      <w:r>
        <w:rPr>
          <w:rFonts w:ascii="Arial" w:hAnsi="Arial"/>
          <w:color w:val="575757"/>
          <w:w w:val="105"/>
          <w:position w:val="2"/>
          <w:sz w:val="18"/>
        </w:rPr>
        <w:t>sốc</w:t>
      </w:r>
      <w:r>
        <w:rPr>
          <w:rFonts w:ascii="Arial" w:hAnsi="Arial"/>
          <w:color w:val="575757"/>
          <w:spacing w:val="-11"/>
          <w:w w:val="105"/>
          <w:position w:val="2"/>
          <w:sz w:val="18"/>
        </w:rPr>
        <w:t> </w:t>
      </w:r>
      <w:r>
        <w:rPr>
          <w:rFonts w:ascii="Arial" w:hAnsi="Arial"/>
          <w:color w:val="575757"/>
          <w:w w:val="105"/>
          <w:position w:val="2"/>
          <w:sz w:val="18"/>
        </w:rPr>
        <w:t>và</w:t>
      </w:r>
      <w:r>
        <w:rPr>
          <w:rFonts w:ascii="Arial" w:hAnsi="Arial"/>
          <w:color w:val="575757"/>
          <w:spacing w:val="-10"/>
          <w:w w:val="105"/>
          <w:position w:val="2"/>
          <w:sz w:val="18"/>
        </w:rPr>
        <w:t> </w:t>
      </w:r>
      <w:r>
        <w:rPr>
          <w:rFonts w:ascii="Arial" w:hAnsi="Arial"/>
          <w:color w:val="575757"/>
          <w:w w:val="105"/>
          <w:position w:val="2"/>
          <w:sz w:val="18"/>
        </w:rPr>
        <w:t>tổn</w:t>
      </w:r>
      <w:r>
        <w:rPr>
          <w:rFonts w:ascii="Arial" w:hAnsi="Arial"/>
          <w:color w:val="575757"/>
          <w:spacing w:val="-11"/>
          <w:w w:val="105"/>
          <w:position w:val="2"/>
          <w:sz w:val="18"/>
        </w:rPr>
        <w:t> </w:t>
      </w:r>
      <w:r>
        <w:rPr>
          <w:rFonts w:ascii="Arial" w:hAnsi="Arial"/>
          <w:color w:val="575757"/>
          <w:w w:val="105"/>
          <w:position w:val="2"/>
          <w:sz w:val="18"/>
        </w:rPr>
        <w:t>thương </w:t>
      </w:r>
      <w:r>
        <w:rPr>
          <w:rFonts w:ascii="Arial" w:hAnsi="Arial"/>
          <w:color w:val="575757"/>
          <w:w w:val="105"/>
          <w:sz w:val="18"/>
        </w:rPr>
        <w:t>thiếu</w:t>
      </w:r>
      <w:r>
        <w:rPr>
          <w:rFonts w:ascii="Arial" w:hAnsi="Arial"/>
          <w:color w:val="575757"/>
          <w:spacing w:val="-6"/>
          <w:w w:val="105"/>
          <w:sz w:val="18"/>
        </w:rPr>
        <w:t> </w:t>
      </w:r>
      <w:r>
        <w:rPr>
          <w:rFonts w:ascii="Arial" w:hAnsi="Arial"/>
          <w:color w:val="575757"/>
          <w:w w:val="105"/>
          <w:sz w:val="18"/>
        </w:rPr>
        <w:t>máu</w:t>
      </w:r>
      <w:r>
        <w:rPr>
          <w:rFonts w:ascii="Arial" w:hAnsi="Arial"/>
          <w:color w:val="575757"/>
          <w:spacing w:val="-6"/>
          <w:w w:val="105"/>
          <w:sz w:val="18"/>
        </w:rPr>
        <w:t> </w:t>
      </w:r>
      <w:r>
        <w:rPr>
          <w:rFonts w:ascii="Arial" w:hAnsi="Arial"/>
          <w:color w:val="575757"/>
          <w:w w:val="105"/>
          <w:sz w:val="18"/>
        </w:rPr>
        <w:t>cục</w:t>
      </w:r>
      <w:r>
        <w:rPr>
          <w:rFonts w:ascii="Arial" w:hAnsi="Arial"/>
          <w:color w:val="575757"/>
          <w:spacing w:val="-5"/>
          <w:w w:val="105"/>
          <w:sz w:val="18"/>
        </w:rPr>
        <w:t> </w:t>
      </w:r>
      <w:r>
        <w:rPr>
          <w:rFonts w:ascii="Arial" w:hAnsi="Arial"/>
          <w:color w:val="575757"/>
          <w:w w:val="105"/>
          <w:sz w:val="18"/>
        </w:rPr>
        <w:t>bộ</w:t>
      </w:r>
      <w:r>
        <w:rPr>
          <w:rFonts w:ascii="Arial" w:hAnsi="Arial"/>
          <w:color w:val="575757"/>
          <w:spacing w:val="-6"/>
          <w:w w:val="105"/>
          <w:sz w:val="18"/>
        </w:rPr>
        <w:t> </w:t>
      </w:r>
      <w:r>
        <w:rPr>
          <w:rFonts w:ascii="Arial" w:hAnsi="Arial"/>
          <w:color w:val="575757"/>
          <w:w w:val="105"/>
          <w:sz w:val="18"/>
        </w:rPr>
        <w:t>-</w:t>
      </w:r>
      <w:r>
        <w:rPr>
          <w:rFonts w:ascii="Arial" w:hAnsi="Arial"/>
          <w:color w:val="575757"/>
          <w:spacing w:val="-5"/>
          <w:w w:val="105"/>
          <w:sz w:val="18"/>
        </w:rPr>
        <w:t> </w:t>
      </w:r>
      <w:r>
        <w:rPr>
          <w:rFonts w:ascii="Arial" w:hAnsi="Arial"/>
          <w:color w:val="575757"/>
          <w:w w:val="105"/>
          <w:sz w:val="18"/>
        </w:rPr>
        <w:t>tái</w:t>
      </w:r>
      <w:r>
        <w:rPr>
          <w:rFonts w:ascii="Arial" w:hAnsi="Arial"/>
          <w:color w:val="575757"/>
          <w:spacing w:val="-6"/>
          <w:w w:val="105"/>
          <w:sz w:val="18"/>
        </w:rPr>
        <w:t> </w:t>
      </w:r>
      <w:r>
        <w:rPr>
          <w:rFonts w:ascii="Arial" w:hAnsi="Arial"/>
          <w:color w:val="575757"/>
          <w:w w:val="105"/>
          <w:sz w:val="18"/>
        </w:rPr>
        <w:t>tưới</w:t>
      </w:r>
      <w:r>
        <w:rPr>
          <w:rFonts w:ascii="Arial" w:hAnsi="Arial"/>
          <w:color w:val="575757"/>
          <w:spacing w:val="-5"/>
          <w:w w:val="105"/>
          <w:sz w:val="18"/>
        </w:rPr>
        <w:t> </w:t>
      </w:r>
      <w:r>
        <w:rPr>
          <w:rFonts w:ascii="Arial" w:hAnsi="Arial"/>
          <w:color w:val="575757"/>
          <w:w w:val="105"/>
          <w:sz w:val="18"/>
        </w:rPr>
        <w:t>máu</w:t>
      </w:r>
    </w:p>
    <w:p>
      <w:pPr>
        <w:pStyle w:val="ListParagraph"/>
        <w:numPr>
          <w:ilvl w:val="0"/>
          <w:numId w:val="1"/>
        </w:numPr>
        <w:tabs>
          <w:tab w:pos="1159" w:val="left" w:leader="none"/>
        </w:tabs>
        <w:spacing w:line="252" w:lineRule="auto" w:before="9" w:after="0"/>
        <w:ind w:left="1189" w:right="38" w:hanging="284"/>
        <w:jc w:val="left"/>
        <w:rPr>
          <w:rFonts w:ascii="Arial" w:hAnsi="Arial"/>
          <w:sz w:val="18"/>
        </w:rPr>
      </w:pPr>
      <w:r>
        <w:rPr/>
        <w:pict>
          <v:rect style="position:absolute;margin-left:.0pt;margin-top:33.49189pt;width:603.052006pt;height:1pt;mso-position-horizontal-relative:page;mso-position-vertical-relative:paragraph;z-index:15729152" filled="true" fillcolor="#745ba2" stroked="false">
            <v:fill type="solid"/>
            <w10:wrap type="none"/>
          </v:rect>
        </w:pict>
      </w:r>
      <w:r>
        <w:rPr>
          <w:rFonts w:ascii="Arial" w:hAnsi="Arial"/>
          <w:color w:val="575757"/>
          <w:w w:val="105"/>
          <w:position w:val="2"/>
          <w:sz w:val="18"/>
        </w:rPr>
        <w:t>Các</w:t>
      </w:r>
      <w:r>
        <w:rPr>
          <w:rFonts w:ascii="Arial" w:hAnsi="Arial"/>
          <w:color w:val="575757"/>
          <w:spacing w:val="-12"/>
          <w:w w:val="105"/>
          <w:position w:val="2"/>
          <w:sz w:val="18"/>
        </w:rPr>
        <w:t> </w:t>
      </w:r>
      <w:r>
        <w:rPr>
          <w:rFonts w:ascii="Arial" w:hAnsi="Arial"/>
          <w:color w:val="575757"/>
          <w:w w:val="105"/>
          <w:position w:val="2"/>
          <w:sz w:val="18"/>
        </w:rPr>
        <w:t>dạng</w:t>
      </w:r>
      <w:r>
        <w:rPr>
          <w:rFonts w:ascii="Arial" w:hAnsi="Arial"/>
          <w:color w:val="575757"/>
          <w:spacing w:val="-12"/>
          <w:w w:val="105"/>
          <w:position w:val="2"/>
          <w:sz w:val="18"/>
        </w:rPr>
        <w:t> </w:t>
      </w:r>
      <w:r>
        <w:rPr>
          <w:rFonts w:ascii="Arial" w:hAnsi="Arial"/>
          <w:color w:val="575757"/>
          <w:w w:val="105"/>
          <w:position w:val="2"/>
          <w:sz w:val="18"/>
        </w:rPr>
        <w:t>sốc</w:t>
      </w:r>
      <w:r>
        <w:rPr>
          <w:rFonts w:ascii="Arial" w:hAnsi="Arial"/>
          <w:color w:val="575757"/>
          <w:spacing w:val="-12"/>
          <w:w w:val="105"/>
          <w:position w:val="2"/>
          <w:sz w:val="18"/>
        </w:rPr>
        <w:t> </w:t>
      </w:r>
      <w:r>
        <w:rPr>
          <w:rFonts w:ascii="Arial" w:hAnsi="Arial"/>
          <w:color w:val="575757"/>
          <w:w w:val="105"/>
          <w:position w:val="2"/>
          <w:sz w:val="18"/>
        </w:rPr>
        <w:t>khác</w:t>
      </w:r>
      <w:r>
        <w:rPr>
          <w:rFonts w:ascii="Arial" w:hAnsi="Arial"/>
          <w:color w:val="575757"/>
          <w:spacing w:val="-12"/>
          <w:w w:val="105"/>
          <w:position w:val="2"/>
          <w:sz w:val="18"/>
        </w:rPr>
        <w:t> </w:t>
      </w:r>
      <w:r>
        <w:rPr>
          <w:rFonts w:ascii="Arial" w:hAnsi="Arial"/>
          <w:color w:val="575757"/>
          <w:w w:val="105"/>
          <w:position w:val="2"/>
          <w:sz w:val="18"/>
        </w:rPr>
        <w:t>nhau,</w:t>
      </w:r>
      <w:r>
        <w:rPr>
          <w:rFonts w:ascii="Arial" w:hAnsi="Arial"/>
          <w:color w:val="575757"/>
          <w:spacing w:val="-12"/>
          <w:w w:val="105"/>
          <w:position w:val="2"/>
          <w:sz w:val="18"/>
        </w:rPr>
        <w:t> </w:t>
      </w:r>
      <w:r>
        <w:rPr>
          <w:rFonts w:ascii="Arial" w:hAnsi="Arial"/>
          <w:color w:val="575757"/>
          <w:w w:val="105"/>
          <w:position w:val="2"/>
          <w:sz w:val="18"/>
        </w:rPr>
        <w:t>nguyên</w:t>
      </w:r>
      <w:r>
        <w:rPr>
          <w:rFonts w:ascii="Arial" w:hAnsi="Arial"/>
          <w:color w:val="575757"/>
          <w:spacing w:val="-11"/>
          <w:w w:val="105"/>
          <w:position w:val="2"/>
          <w:sz w:val="18"/>
        </w:rPr>
        <w:t> </w:t>
      </w:r>
      <w:r>
        <w:rPr>
          <w:rFonts w:ascii="Arial" w:hAnsi="Arial"/>
          <w:color w:val="575757"/>
          <w:w w:val="105"/>
          <w:position w:val="2"/>
          <w:sz w:val="18"/>
        </w:rPr>
        <w:t>tắc</w:t>
      </w:r>
      <w:r>
        <w:rPr>
          <w:rFonts w:ascii="Arial" w:hAnsi="Arial"/>
          <w:color w:val="575757"/>
          <w:spacing w:val="-12"/>
          <w:w w:val="105"/>
          <w:position w:val="2"/>
          <w:sz w:val="18"/>
        </w:rPr>
        <w:t> </w:t>
      </w:r>
      <w:r>
        <w:rPr>
          <w:rFonts w:ascii="Arial" w:hAnsi="Arial"/>
          <w:color w:val="575757"/>
          <w:w w:val="105"/>
          <w:position w:val="2"/>
          <w:sz w:val="18"/>
        </w:rPr>
        <w:t>và </w:t>
      </w:r>
      <w:r>
        <w:rPr>
          <w:rFonts w:ascii="Arial" w:hAnsi="Arial"/>
          <w:color w:val="575757"/>
          <w:w w:val="105"/>
          <w:sz w:val="18"/>
        </w:rPr>
        <w:t>ưu tiên của hồi</w:t>
      </w:r>
      <w:r>
        <w:rPr>
          <w:rFonts w:ascii="Arial" w:hAnsi="Arial"/>
          <w:color w:val="575757"/>
          <w:spacing w:val="-10"/>
          <w:w w:val="105"/>
          <w:sz w:val="18"/>
        </w:rPr>
        <w:t> </w:t>
      </w:r>
      <w:r>
        <w:rPr>
          <w:rFonts w:ascii="Arial" w:hAnsi="Arial"/>
          <w:color w:val="575757"/>
          <w:w w:val="105"/>
          <w:sz w:val="18"/>
        </w:rPr>
        <w:t>sức</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3"/>
        <w:rPr>
          <w:rFonts w:ascii="Arial"/>
          <w:sz w:val="23"/>
        </w:rPr>
      </w:pPr>
    </w:p>
    <w:p>
      <w:pPr>
        <w:pStyle w:val="ListParagraph"/>
        <w:numPr>
          <w:ilvl w:val="0"/>
          <w:numId w:val="1"/>
        </w:numPr>
        <w:tabs>
          <w:tab w:pos="1159" w:val="left" w:leader="none"/>
        </w:tabs>
        <w:spacing w:line="230" w:lineRule="exact" w:before="0" w:after="0"/>
        <w:ind w:left="1158" w:right="0" w:hanging="254"/>
        <w:jc w:val="left"/>
        <w:rPr>
          <w:rFonts w:ascii="Arial" w:hAnsi="Arial"/>
          <w:sz w:val="18"/>
        </w:rPr>
      </w:pPr>
      <w:r>
        <w:rPr>
          <w:rFonts w:ascii="Arial" w:hAnsi="Arial"/>
          <w:color w:val="575757"/>
          <w:w w:val="105"/>
          <w:position w:val="2"/>
          <w:sz w:val="18"/>
        </w:rPr>
        <w:t>Theo dõi sốc và điểm kết thúc của hồi</w:t>
      </w:r>
      <w:r>
        <w:rPr>
          <w:rFonts w:ascii="Arial" w:hAnsi="Arial"/>
          <w:color w:val="575757"/>
          <w:spacing w:val="-28"/>
          <w:w w:val="105"/>
          <w:position w:val="2"/>
          <w:sz w:val="18"/>
        </w:rPr>
        <w:t> </w:t>
      </w:r>
      <w:r>
        <w:rPr>
          <w:rFonts w:ascii="Arial" w:hAnsi="Arial"/>
          <w:color w:val="575757"/>
          <w:w w:val="105"/>
          <w:position w:val="2"/>
          <w:sz w:val="18"/>
        </w:rPr>
        <w:t>sức</w:t>
      </w:r>
    </w:p>
    <w:p>
      <w:pPr>
        <w:pStyle w:val="ListParagraph"/>
        <w:numPr>
          <w:ilvl w:val="0"/>
          <w:numId w:val="1"/>
        </w:numPr>
        <w:tabs>
          <w:tab w:pos="1159" w:val="left" w:leader="none"/>
        </w:tabs>
        <w:spacing w:line="230" w:lineRule="exact" w:before="0" w:after="0"/>
        <w:ind w:left="1158" w:right="0" w:hanging="254"/>
        <w:jc w:val="left"/>
        <w:rPr>
          <w:rFonts w:ascii="Arial" w:hAnsi="Arial"/>
          <w:sz w:val="18"/>
        </w:rPr>
      </w:pPr>
      <w:r>
        <w:rPr>
          <w:rFonts w:ascii="Arial" w:hAnsi="Arial"/>
          <w:color w:val="575757"/>
          <w:w w:val="105"/>
          <w:position w:val="2"/>
          <w:sz w:val="18"/>
        </w:rPr>
        <w:t>Sử</w:t>
      </w:r>
      <w:r>
        <w:rPr>
          <w:rFonts w:ascii="Arial" w:hAnsi="Arial"/>
          <w:color w:val="575757"/>
          <w:spacing w:val="-5"/>
          <w:w w:val="105"/>
          <w:position w:val="2"/>
          <w:sz w:val="18"/>
        </w:rPr>
        <w:t> </w:t>
      </w:r>
      <w:r>
        <w:rPr>
          <w:rFonts w:ascii="Arial" w:hAnsi="Arial"/>
          <w:color w:val="575757"/>
          <w:w w:val="105"/>
          <w:position w:val="2"/>
          <w:sz w:val="18"/>
        </w:rPr>
        <w:t>dụng</w:t>
      </w:r>
      <w:r>
        <w:rPr>
          <w:rFonts w:ascii="Arial" w:hAnsi="Arial"/>
          <w:color w:val="575757"/>
          <w:spacing w:val="-4"/>
          <w:w w:val="105"/>
          <w:position w:val="2"/>
          <w:sz w:val="18"/>
        </w:rPr>
        <w:t> </w:t>
      </w:r>
      <w:r>
        <w:rPr>
          <w:rFonts w:ascii="Arial" w:hAnsi="Arial"/>
          <w:color w:val="575757"/>
          <w:w w:val="105"/>
          <w:position w:val="2"/>
          <w:sz w:val="18"/>
        </w:rPr>
        <w:t>máu</w:t>
      </w:r>
      <w:r>
        <w:rPr>
          <w:rFonts w:ascii="Arial" w:hAnsi="Arial"/>
          <w:color w:val="575757"/>
          <w:spacing w:val="-4"/>
          <w:w w:val="105"/>
          <w:position w:val="2"/>
          <w:sz w:val="18"/>
        </w:rPr>
        <w:t> </w:t>
      </w:r>
      <w:r>
        <w:rPr>
          <w:rFonts w:ascii="Arial" w:hAnsi="Arial"/>
          <w:color w:val="575757"/>
          <w:w w:val="105"/>
          <w:position w:val="2"/>
          <w:sz w:val="18"/>
        </w:rPr>
        <w:t>và</w:t>
      </w:r>
      <w:r>
        <w:rPr>
          <w:rFonts w:ascii="Arial" w:hAnsi="Arial"/>
          <w:color w:val="575757"/>
          <w:spacing w:val="-4"/>
          <w:w w:val="105"/>
          <w:position w:val="2"/>
          <w:sz w:val="18"/>
        </w:rPr>
        <w:t> </w:t>
      </w:r>
      <w:r>
        <w:rPr>
          <w:rFonts w:ascii="Arial" w:hAnsi="Arial"/>
          <w:color w:val="575757"/>
          <w:w w:val="105"/>
          <w:position w:val="2"/>
          <w:sz w:val="18"/>
        </w:rPr>
        <w:t>các</w:t>
      </w:r>
      <w:r>
        <w:rPr>
          <w:rFonts w:ascii="Arial" w:hAnsi="Arial"/>
          <w:color w:val="575757"/>
          <w:spacing w:val="-4"/>
          <w:w w:val="105"/>
          <w:position w:val="2"/>
          <w:sz w:val="18"/>
        </w:rPr>
        <w:t> </w:t>
      </w:r>
      <w:r>
        <w:rPr>
          <w:rFonts w:ascii="Arial" w:hAnsi="Arial"/>
          <w:color w:val="575757"/>
          <w:w w:val="105"/>
          <w:position w:val="2"/>
          <w:sz w:val="18"/>
        </w:rPr>
        <w:t>chế</w:t>
      </w:r>
      <w:r>
        <w:rPr>
          <w:rFonts w:ascii="Arial" w:hAnsi="Arial"/>
          <w:color w:val="575757"/>
          <w:spacing w:val="-4"/>
          <w:w w:val="105"/>
          <w:position w:val="2"/>
          <w:sz w:val="18"/>
        </w:rPr>
        <w:t> </w:t>
      </w:r>
      <w:r>
        <w:rPr>
          <w:rFonts w:ascii="Arial" w:hAnsi="Arial"/>
          <w:color w:val="575757"/>
          <w:w w:val="105"/>
          <w:position w:val="2"/>
          <w:sz w:val="18"/>
        </w:rPr>
        <w:t>phẩm</w:t>
      </w:r>
      <w:r>
        <w:rPr>
          <w:rFonts w:ascii="Arial" w:hAnsi="Arial"/>
          <w:color w:val="575757"/>
          <w:spacing w:val="-4"/>
          <w:w w:val="105"/>
          <w:position w:val="2"/>
          <w:sz w:val="18"/>
        </w:rPr>
        <w:t> </w:t>
      </w:r>
      <w:r>
        <w:rPr>
          <w:rFonts w:ascii="Arial" w:hAnsi="Arial"/>
          <w:color w:val="575757"/>
          <w:w w:val="105"/>
          <w:position w:val="2"/>
          <w:sz w:val="18"/>
        </w:rPr>
        <w:t>của</w:t>
      </w:r>
      <w:r>
        <w:rPr>
          <w:rFonts w:ascii="Arial" w:hAnsi="Arial"/>
          <w:color w:val="575757"/>
          <w:spacing w:val="-4"/>
          <w:w w:val="105"/>
          <w:position w:val="2"/>
          <w:sz w:val="18"/>
        </w:rPr>
        <w:t> </w:t>
      </w:r>
      <w:r>
        <w:rPr>
          <w:rFonts w:ascii="Arial" w:hAnsi="Arial"/>
          <w:color w:val="575757"/>
          <w:w w:val="105"/>
          <w:position w:val="2"/>
          <w:sz w:val="18"/>
        </w:rPr>
        <w:t>máu,</w:t>
      </w:r>
      <w:r>
        <w:rPr>
          <w:rFonts w:ascii="Arial" w:hAnsi="Arial"/>
          <w:color w:val="575757"/>
          <w:spacing w:val="-5"/>
          <w:w w:val="105"/>
          <w:position w:val="2"/>
          <w:sz w:val="18"/>
        </w:rPr>
        <w:t> </w:t>
      </w:r>
      <w:r>
        <w:rPr>
          <w:rFonts w:ascii="Arial" w:hAnsi="Arial"/>
          <w:color w:val="575757"/>
          <w:w w:val="105"/>
          <w:position w:val="2"/>
          <w:sz w:val="18"/>
        </w:rPr>
        <w:t>lợi</w:t>
      </w:r>
      <w:r>
        <w:rPr>
          <w:rFonts w:ascii="Arial" w:hAnsi="Arial"/>
          <w:color w:val="575757"/>
          <w:spacing w:val="-4"/>
          <w:w w:val="105"/>
          <w:position w:val="2"/>
          <w:sz w:val="18"/>
        </w:rPr>
        <w:t> </w:t>
      </w:r>
      <w:r>
        <w:rPr>
          <w:rFonts w:ascii="Arial" w:hAnsi="Arial"/>
          <w:color w:val="575757"/>
          <w:w w:val="105"/>
          <w:position w:val="2"/>
          <w:sz w:val="18"/>
        </w:rPr>
        <w:t>ích</w:t>
      </w:r>
      <w:r>
        <w:rPr>
          <w:rFonts w:ascii="Arial" w:hAnsi="Arial"/>
          <w:color w:val="575757"/>
          <w:spacing w:val="-5"/>
          <w:w w:val="105"/>
          <w:position w:val="2"/>
          <w:sz w:val="18"/>
        </w:rPr>
        <w:t> </w:t>
      </w:r>
      <w:r>
        <w:rPr>
          <w:rFonts w:ascii="Arial" w:hAnsi="Arial"/>
          <w:color w:val="575757"/>
          <w:w w:val="105"/>
          <w:position w:val="2"/>
          <w:sz w:val="18"/>
        </w:rPr>
        <w:t>và</w:t>
      </w:r>
      <w:r>
        <w:rPr>
          <w:rFonts w:ascii="Arial" w:hAnsi="Arial"/>
          <w:color w:val="575757"/>
          <w:spacing w:val="-4"/>
          <w:w w:val="105"/>
          <w:position w:val="2"/>
          <w:sz w:val="18"/>
        </w:rPr>
        <w:t> </w:t>
      </w:r>
      <w:r>
        <w:rPr>
          <w:rFonts w:ascii="Arial" w:hAnsi="Arial"/>
          <w:color w:val="575757"/>
          <w:w w:val="105"/>
          <w:position w:val="2"/>
          <w:sz w:val="18"/>
        </w:rPr>
        <w:t>rủi</w:t>
      </w:r>
    </w:p>
    <w:p>
      <w:pPr>
        <w:spacing w:before="12"/>
        <w:ind w:left="1189" w:right="0" w:firstLine="0"/>
        <w:jc w:val="left"/>
        <w:rPr>
          <w:rFonts w:ascii="Arial" w:hAnsi="Arial"/>
          <w:sz w:val="18"/>
        </w:rPr>
      </w:pPr>
      <w:r>
        <w:rPr>
          <w:rFonts w:ascii="Arial" w:hAnsi="Arial"/>
          <w:color w:val="575757"/>
          <w:w w:val="105"/>
          <w:sz w:val="18"/>
        </w:rPr>
        <w:t>ro của việc truyền máu</w:t>
      </w:r>
    </w:p>
    <w:p>
      <w:pPr>
        <w:spacing w:after="0"/>
        <w:jc w:val="left"/>
        <w:rPr>
          <w:rFonts w:ascii="Arial" w:hAnsi="Arial"/>
          <w:sz w:val="18"/>
        </w:rPr>
        <w:sectPr>
          <w:type w:val="continuous"/>
          <w:pgSz w:w="12070" w:h="15650"/>
          <w:pgMar w:top="0" w:bottom="280" w:left="0" w:right="0"/>
          <w:cols w:num="2" w:equalWidth="0">
            <w:col w:w="4488" w:space="728"/>
            <w:col w:w="6854"/>
          </w:cols>
        </w:sectPr>
      </w:pPr>
    </w:p>
    <w:p>
      <w:pPr>
        <w:pStyle w:val="BodyText"/>
        <w:rPr>
          <w:rFonts w:ascii="Arial"/>
        </w:rPr>
      </w:pPr>
    </w:p>
    <w:p>
      <w:pPr>
        <w:pStyle w:val="BodyText"/>
        <w:rPr>
          <w:rFonts w:ascii="Arial"/>
        </w:rPr>
      </w:pPr>
    </w:p>
    <w:p>
      <w:pPr>
        <w:pStyle w:val="BodyText"/>
        <w:spacing w:before="5"/>
        <w:rPr>
          <w:rFonts w:ascii="Arial"/>
          <w:sz w:val="27"/>
        </w:rPr>
      </w:pPr>
    </w:p>
    <w:p>
      <w:pPr>
        <w:spacing w:after="0"/>
        <w:rPr>
          <w:rFonts w:ascii="Arial"/>
          <w:sz w:val="27"/>
        </w:rPr>
        <w:sectPr>
          <w:type w:val="continuous"/>
          <w:pgSz w:w="12070" w:h="15650"/>
          <w:pgMar w:top="0" w:bottom="280" w:left="0" w:right="0"/>
        </w:sectPr>
      </w:pPr>
    </w:p>
    <w:p>
      <w:pPr>
        <w:pStyle w:val="Heading1"/>
        <w:spacing w:before="87"/>
      </w:pPr>
      <w:r>
        <w:rPr>
          <w:color w:val="697487"/>
        </w:rPr>
        <w:t>GIỚI THIỆU</w:t>
      </w:r>
    </w:p>
    <w:p>
      <w:pPr>
        <w:pStyle w:val="BodyText"/>
        <w:spacing w:line="216" w:lineRule="auto" w:before="55"/>
        <w:ind w:left="785" w:right="85"/>
      </w:pPr>
      <w:r>
        <w:rPr>
          <w:color w:val="1C1C1A"/>
        </w:rPr>
        <w:t>Sốc là nguyên nhân quan trọng và  phổ  biến  nhất  gây  tử vong ở bệnh nhân phẫu thuật. Tử vong có thể xảy ra nhanh chóng do tình trạng sốc nặng  hoặc  chậm  hơn  do  hậu  quả của tình trạng thiếu máu cục bộ và tái tưới máu ở tổn thương. Do đó, điều quan trọng nhất là mọi bác sĩ phẫu thuật phải hiểu sinh lý bệnh, chẩn đoán, các ưu tiên trong xử trí sốc và xuất huyết.</w:t>
      </w:r>
    </w:p>
    <w:p>
      <w:pPr>
        <w:pStyle w:val="BodyText"/>
        <w:spacing w:before="4"/>
        <w:rPr>
          <w:sz w:val="22"/>
        </w:rPr>
      </w:pPr>
    </w:p>
    <w:p>
      <w:pPr>
        <w:pStyle w:val="Heading1"/>
      </w:pPr>
      <w:r>
        <w:rPr>
          <w:color w:val="697487"/>
        </w:rPr>
        <w:t>SỐC</w:t>
      </w:r>
    </w:p>
    <w:p>
      <w:pPr>
        <w:pStyle w:val="BodyText"/>
        <w:spacing w:line="216" w:lineRule="auto" w:before="55"/>
        <w:ind w:left="785" w:right="99"/>
      </w:pPr>
      <w:r>
        <w:rPr>
          <w:color w:val="1C1C1A"/>
        </w:rPr>
        <w:t>Sốc là tình trạng giảm tưới máu tới mô do đó không đủ khả năng đáp ứng oxy cho quá trình hô hấp tế bào bình thường. Với việc không được cung cấp oxy và glucose kịp thời, các tế bào chuyển từ chuyển hóa hiếu khí sang kỵ khí. Nếu quá trình tưới máu không được hồi phục ngay lập tức, các tế bào sẽ</w:t>
      </w:r>
      <w:r>
        <w:rPr>
          <w:color w:val="1C1C1A"/>
          <w:spacing w:val="-27"/>
        </w:rPr>
        <w:t> </w:t>
      </w:r>
      <w:r>
        <w:rPr>
          <w:color w:val="1C1C1A"/>
        </w:rPr>
        <w:t>chết.</w:t>
      </w:r>
    </w:p>
    <w:p>
      <w:pPr>
        <w:pStyle w:val="BodyText"/>
        <w:spacing w:before="7"/>
        <w:rPr>
          <w:sz w:val="24"/>
        </w:rPr>
      </w:pPr>
    </w:p>
    <w:p>
      <w:pPr>
        <w:pStyle w:val="Heading2"/>
        <w:ind w:left="785"/>
      </w:pPr>
      <w:r>
        <w:rPr>
          <w:color w:val="7E8597"/>
        </w:rPr>
        <w:t>Sinh lý bệnh</w:t>
      </w:r>
    </w:p>
    <w:p>
      <w:pPr>
        <w:pStyle w:val="Heading3"/>
        <w:spacing w:before="68"/>
        <w:ind w:left="785"/>
        <w:rPr>
          <w:i/>
        </w:rPr>
      </w:pPr>
      <w:r>
        <w:rPr>
          <w:i/>
          <w:color w:val="8C91A1"/>
        </w:rPr>
        <w:t>Tế bào</w:t>
      </w:r>
    </w:p>
    <w:p>
      <w:pPr>
        <w:pStyle w:val="BodyText"/>
        <w:spacing w:line="230" w:lineRule="auto" w:before="22"/>
        <w:ind w:left="785" w:right="-2"/>
      </w:pPr>
      <w:r>
        <w:rPr>
          <w:color w:val="1C1C1A"/>
        </w:rPr>
        <w:t>Khi tưới máu tới các mô bị giảm, các tế bào bị thiếu oxy và</w:t>
      </w:r>
      <w:r>
        <w:rPr>
          <w:color w:val="1C1C1A"/>
          <w:spacing w:val="-22"/>
        </w:rPr>
        <w:t> </w:t>
      </w:r>
      <w:r>
        <w:rPr>
          <w:color w:val="1C1C1A"/>
        </w:rPr>
        <w:t>phải đổi từ chuyển hóa hiếu khí sang kỵ khí. Sản phẩm của chuyển hóa kỵ khí không phải là carbon dioxid mà là axit lactic. Khi lượng mô chuyển hóa này đủ lớn, sự tích tụ acid lactic</w:t>
      </w:r>
      <w:r>
        <w:rPr>
          <w:color w:val="1C1C1A"/>
          <w:spacing w:val="-22"/>
        </w:rPr>
        <w:t> </w:t>
      </w:r>
      <w:r>
        <w:rPr>
          <w:color w:val="1C1C1A"/>
        </w:rPr>
        <w:t>trong</w:t>
      </w:r>
    </w:p>
    <w:p>
      <w:pPr>
        <w:pStyle w:val="Heading3"/>
        <w:spacing w:before="90"/>
        <w:ind w:left="148"/>
        <w:rPr>
          <w:i/>
        </w:rPr>
      </w:pPr>
      <w:r>
        <w:rPr>
          <w:b w:val="0"/>
          <w:i w:val="0"/>
        </w:rPr>
        <w:br w:type="column"/>
      </w:r>
      <w:r>
        <w:rPr>
          <w:i/>
          <w:color w:val="8C91A1"/>
        </w:rPr>
        <w:t>Vi mạch</w:t>
      </w:r>
    </w:p>
    <w:p>
      <w:pPr>
        <w:pStyle w:val="BodyText"/>
        <w:spacing w:line="216" w:lineRule="auto" w:before="33"/>
        <w:ind w:left="148" w:right="1117"/>
      </w:pPr>
      <w:r>
        <w:rPr>
          <w:color w:val="1C1C1A"/>
        </w:rPr>
        <w:t>Khi thiếu máu cục bộ ở mô tiến triển, những thay đổi trong mô diễn ra dẫn đến việc kích hoạt hệ thống miễn dịch và đông máu. Thiếu oxy, nhiễm toan kích hoạt bổ thể và bạch cầu trung tính, kết quả giải phóng các gốc oxy hóa tự do và cytokine. Cơ chế này làm tổn thương các tế bào nội mô mao mạch. Tiếp đến, quá trình trên kích hoạt hệ thống miễn dịch và đông máu. Nội mạch bị tổn thương mất tính toàn vẹn và trở nên bị 'rò rỉ'. Khoảng trống giữa các tế bào nội mô cho phép dịch rò rỉ ra ngoài gây phù nề mô, làm trầm trọng thêm tình trạng thiếu oxy tế</w:t>
      </w:r>
      <w:r>
        <w:rPr>
          <w:color w:val="1C1C1A"/>
          <w:spacing w:val="-5"/>
        </w:rPr>
        <w:t> </w:t>
      </w:r>
      <w:r>
        <w:rPr>
          <w:color w:val="1C1C1A"/>
        </w:rPr>
        <w:t>bào.</w:t>
      </w:r>
    </w:p>
    <w:p>
      <w:pPr>
        <w:pStyle w:val="Heading3"/>
        <w:spacing w:before="155"/>
        <w:ind w:left="148"/>
        <w:rPr>
          <w:i/>
        </w:rPr>
      </w:pPr>
      <w:r>
        <w:rPr>
          <w:i/>
          <w:color w:val="8C91A1"/>
        </w:rPr>
        <w:t>Hệ thống</w:t>
      </w:r>
    </w:p>
    <w:p>
      <w:pPr>
        <w:pStyle w:val="Heading4"/>
        <w:spacing w:before="57"/>
        <w:ind w:left="149"/>
      </w:pPr>
      <w:r>
        <w:rPr>
          <w:color w:val="7E8597"/>
        </w:rPr>
        <w:t>TUẦN HOÀN</w:t>
      </w:r>
    </w:p>
    <w:p>
      <w:pPr>
        <w:pStyle w:val="BodyText"/>
        <w:spacing w:line="230" w:lineRule="auto" w:before="31"/>
        <w:ind w:left="148" w:right="1227"/>
      </w:pPr>
      <w:r>
        <w:rPr>
          <w:color w:val="1C1C1A"/>
        </w:rPr>
        <w:t>Khi tiền gánh và hậu gánh giảm, có một sự đáp ứng lên receptor nhận cảm áp lực làm tăng cường hệ giao cảm và giải phóng catecholamine vào hệ tuần hoàn, dẫn đến nhịp tim tăng và co mạch hệ thống (ngoại trừ trong nhiễm trùng</w:t>
      </w:r>
    </w:p>
    <w:p>
      <w:pPr>
        <w:pStyle w:val="BodyText"/>
        <w:spacing w:line="225" w:lineRule="exact"/>
        <w:ind w:left="148"/>
      </w:pPr>
      <w:r>
        <w:rPr>
          <w:color w:val="1C1C1A"/>
        </w:rPr>
        <w:t>- xem bên dưới).</w:t>
      </w:r>
    </w:p>
    <w:p>
      <w:pPr>
        <w:pStyle w:val="Heading4"/>
        <w:spacing w:before="180"/>
        <w:ind w:left="149"/>
      </w:pPr>
      <w:r>
        <w:rPr>
          <w:color w:val="7E8597"/>
        </w:rPr>
        <w:t>HÔ HẤP</w:t>
      </w:r>
    </w:p>
    <w:p>
      <w:pPr>
        <w:pStyle w:val="BodyText"/>
        <w:spacing w:line="216" w:lineRule="auto" w:before="42"/>
        <w:ind w:left="148" w:right="1152"/>
      </w:pPr>
      <w:r>
        <w:rPr>
          <w:color w:val="1C1C1A"/>
        </w:rPr>
        <w:t>Nhiễm toan chuyển hóa và tăng cường hệ giao cảm làm tăng nhịp hô hấp và thông khí để tăng bài tiết carbon dioxid (và do đó tạo nên tình trạng nhiễm kiềm hô hấp bù trừ).</w:t>
      </w:r>
    </w:p>
    <w:p>
      <w:pPr>
        <w:spacing w:after="0" w:line="216" w:lineRule="auto"/>
        <w:sectPr>
          <w:type w:val="continuous"/>
          <w:pgSz w:w="12070" w:h="15650"/>
          <w:pgMar w:top="0" w:bottom="280" w:left="0" w:right="0"/>
          <w:cols w:num="2" w:equalWidth="0">
            <w:col w:w="5933" w:space="40"/>
            <w:col w:w="6097"/>
          </w:cols>
        </w:sectPr>
      </w:pPr>
    </w:p>
    <w:p>
      <w:pPr>
        <w:pStyle w:val="BodyText"/>
        <w:tabs>
          <w:tab w:pos="6127" w:val="left" w:leader="none"/>
        </w:tabs>
        <w:spacing w:line="45" w:lineRule="auto" w:before="57"/>
        <w:ind w:left="785"/>
        <w:rPr>
          <w:b/>
        </w:rPr>
      </w:pPr>
      <w:r>
        <w:rPr>
          <w:color w:val="1C1C1A"/>
        </w:rPr>
        <w:t>máu gây ra tình trạng nhiễm toan chuyển hóa</w:t>
      </w:r>
      <w:r>
        <w:rPr>
          <w:color w:val="1C1C1A"/>
          <w:spacing w:val="-15"/>
        </w:rPr>
        <w:t> </w:t>
      </w:r>
      <w:r>
        <w:rPr>
          <w:color w:val="1C1C1A"/>
        </w:rPr>
        <w:t>toàn</w:t>
      </w:r>
      <w:r>
        <w:rPr>
          <w:color w:val="1C1C1A"/>
          <w:spacing w:val="-2"/>
        </w:rPr>
        <w:t> </w:t>
      </w:r>
      <w:r>
        <w:rPr>
          <w:color w:val="1C1C1A"/>
        </w:rPr>
        <w:t>thân.</w:t>
        <w:tab/>
      </w:r>
      <w:r>
        <w:rPr>
          <w:b/>
          <w:color w:val="7E8597"/>
          <w:position w:val="-10"/>
        </w:rPr>
        <w:t>TIẾT</w:t>
      </w:r>
      <w:r>
        <w:rPr>
          <w:b/>
          <w:color w:val="7E8597"/>
          <w:spacing w:val="-1"/>
          <w:position w:val="-10"/>
        </w:rPr>
        <w:t> </w:t>
      </w:r>
      <w:r>
        <w:rPr>
          <w:b/>
          <w:color w:val="7E8597"/>
          <w:position w:val="-10"/>
        </w:rPr>
        <w:t>NIỆU</w:t>
      </w:r>
    </w:p>
    <w:p>
      <w:pPr>
        <w:spacing w:after="0" w:line="45" w:lineRule="auto"/>
        <w:sectPr>
          <w:type w:val="continuous"/>
          <w:pgSz w:w="12070" w:h="15650"/>
          <w:pgMar w:top="0" w:bottom="280" w:left="0" w:right="0"/>
        </w:sectPr>
      </w:pPr>
    </w:p>
    <w:p>
      <w:pPr>
        <w:pStyle w:val="BodyText"/>
        <w:spacing w:line="216" w:lineRule="auto" w:before="11"/>
        <w:ind w:left="785" w:firstLine="283"/>
      </w:pPr>
      <w:r>
        <w:rPr>
          <w:color w:val="1C1C1A"/>
        </w:rPr>
        <w:t>Khi glucose trong tế bào cạn kiệt, ngừng hoạt động quá trình hô hấp kỵ khí, ngừng hoạt động bơm natri/kali trong tế bào và các bào quan bên trong. Các lysosome nội bào giải phóng các enzym tự tiêu và quá trình ly giải tế bào diễn ra sau đó. Các thành phần nội bào, bao gồm cả kali được giải phóng vào máu.</w:t>
      </w:r>
    </w:p>
    <w:p>
      <w:pPr>
        <w:pStyle w:val="BodyText"/>
        <w:spacing w:line="230" w:lineRule="auto" w:before="121"/>
        <w:ind w:left="121" w:right="1156"/>
      </w:pPr>
      <w:r>
        <w:rPr/>
        <w:br w:type="column"/>
      </w:r>
      <w:r>
        <w:rPr/>
        <w:t>Giảm áp lực tưới máu tới thận dẫn đến giảm khả năng lọc ở cầu thận và giảm lượng nước tiểu. Hệ</w:t>
      </w:r>
    </w:p>
    <w:p>
      <w:pPr>
        <w:pStyle w:val="BodyText"/>
        <w:spacing w:line="230" w:lineRule="auto" w:before="1"/>
        <w:ind w:left="121" w:right="1103"/>
      </w:pPr>
      <w:r>
        <w:rPr/>
        <w:t>renin-angiotensin-aldosteron được kích hoạt, dẫn đến co mạch mạnh hơn nữa và tăng tái hấp thu natri cũng như nước ở thận.</w:t>
      </w:r>
    </w:p>
    <w:p>
      <w:pPr>
        <w:spacing w:after="0" w:line="230" w:lineRule="auto"/>
        <w:sectPr>
          <w:type w:val="continuous"/>
          <w:pgSz w:w="12070" w:h="15650"/>
          <w:pgMar w:top="0" w:bottom="280" w:left="0" w:right="0"/>
          <w:cols w:num="2" w:equalWidth="0">
            <w:col w:w="5961" w:space="40"/>
            <w:col w:w="6069"/>
          </w:cols>
        </w:sectPr>
      </w:pPr>
    </w:p>
    <w:p>
      <w:pPr>
        <w:pStyle w:val="BodyText"/>
      </w:pPr>
    </w:p>
    <w:p>
      <w:pPr>
        <w:pStyle w:val="BodyText"/>
      </w:pPr>
    </w:p>
    <w:p>
      <w:pPr>
        <w:pStyle w:val="BodyText"/>
      </w:pPr>
    </w:p>
    <w:p>
      <w:pPr>
        <w:pStyle w:val="BodyText"/>
      </w:pPr>
    </w:p>
    <w:p>
      <w:pPr>
        <w:pStyle w:val="BodyText"/>
      </w:pPr>
    </w:p>
    <w:p>
      <w:pPr>
        <w:spacing w:after="0"/>
        <w:sectPr>
          <w:pgSz w:w="12070" w:h="15650"/>
          <w:pgMar w:header="0" w:footer="0" w:top="0" w:bottom="280" w:left="0" w:right="0"/>
        </w:sectPr>
      </w:pPr>
    </w:p>
    <w:p>
      <w:pPr>
        <w:pStyle w:val="BodyText"/>
        <w:spacing w:before="5"/>
        <w:rPr>
          <w:sz w:val="19"/>
        </w:rPr>
      </w:pPr>
    </w:p>
    <w:p>
      <w:pPr>
        <w:pStyle w:val="Heading4"/>
        <w:spacing w:before="1"/>
      </w:pPr>
      <w:r>
        <w:rPr/>
        <w:pict>
          <v:group style="position:absolute;margin-left:0pt;margin-top:-68.948044pt;width:603.1pt;height:48.15pt;mso-position-horizontal-relative:page;mso-position-vertical-relative:paragraph;z-index:15730688" coordorigin="0,-1379" coordsize="12062,963">
            <v:shape style="position:absolute;left:0;top:-729;width:12062;height:312" type="#_x0000_t202" filled="true" fillcolor="#dfdfe4" stroked="false">
              <v:textbox inset="0,0,0,0">
                <w:txbxContent>
                  <w:p>
                    <w:pPr>
                      <w:spacing w:before="35"/>
                      <w:ind w:left="0" w:right="338" w:firstLine="0"/>
                      <w:jc w:val="right"/>
                      <w:rPr>
                        <w:rFonts w:ascii="Arial" w:hAnsi="Arial"/>
                        <w:b/>
                        <w:sz w:val="18"/>
                      </w:rPr>
                    </w:pPr>
                    <w:r>
                      <w:rPr>
                        <w:color w:val="575757"/>
                        <w:position w:val="1"/>
                        <w:sz w:val="18"/>
                      </w:rPr>
                      <w:t>Sốc </w:t>
                    </w:r>
                    <w:r>
                      <w:rPr>
                        <w:rFonts w:ascii="Arial" w:hAnsi="Arial"/>
                        <w:b/>
                        <w:color w:val="1C1C1A"/>
                        <w:sz w:val="18"/>
                      </w:rPr>
                      <w:t>13</w:t>
                    </w:r>
                  </w:p>
                </w:txbxContent>
              </v:textbox>
              <v:fill type="solid"/>
              <w10:wrap type="none"/>
            </v:shape>
            <v:shape style="position:absolute;left:0;top:-1379;width:12062;height:651" type="#_x0000_t202" filled="true" fillcolor="#745ba2" stroked="false">
              <v:textbox inset="0,0,0,0">
                <w:txbxContent>
                  <w:p>
                    <w:pPr>
                      <w:spacing w:line="240" w:lineRule="auto" w:before="7"/>
                      <w:rPr>
                        <w:sz w:val="30"/>
                      </w:rPr>
                    </w:pPr>
                  </w:p>
                  <w:p>
                    <w:pPr>
                      <w:spacing w:before="0"/>
                      <w:ind w:left="0" w:right="447" w:firstLine="0"/>
                      <w:jc w:val="right"/>
                      <w:rPr>
                        <w:rFonts w:ascii="Arial" w:hAnsi="Arial"/>
                        <w:sz w:val="20"/>
                      </w:rPr>
                    </w:pPr>
                    <w:r>
                      <w:rPr>
                        <w:rFonts w:ascii="Arial" w:hAnsi="Arial"/>
                        <w:b/>
                        <w:color w:val="FFFFFF"/>
                        <w:sz w:val="20"/>
                      </w:rPr>
                      <w:t>PHẦN 1 </w:t>
                    </w:r>
                    <w:r>
                      <w:rPr>
                        <w:rFonts w:ascii="Arial" w:hAnsi="Arial"/>
                        <w:color w:val="FFFFFF"/>
                        <w:sz w:val="20"/>
                      </w:rPr>
                      <w:t>| NGUYÊN TẮC CƠ BẢN</w:t>
                    </w:r>
                  </w:p>
                </w:txbxContent>
              </v:textbox>
              <v:fill type="solid"/>
              <w10:wrap type="none"/>
            </v:shape>
            <w10:wrap type="none"/>
          </v:group>
        </w:pict>
      </w:r>
      <w:r>
        <w:rPr>
          <w:color w:val="7E8597"/>
        </w:rPr>
        <w:t>NỘI TIẾT</w:t>
      </w:r>
    </w:p>
    <w:p>
      <w:pPr>
        <w:pStyle w:val="BodyText"/>
        <w:spacing w:line="230" w:lineRule="auto" w:before="31"/>
        <w:ind w:left="1018" w:right="5"/>
      </w:pPr>
      <w:r>
        <w:rPr/>
        <w:t>Cũng như việc kích hoạt hệ thống renin-angiotensin và tuyến thượng thận, vasopressin (hormon chống bài niệu) được giải phóng từ vùng dưới đồi để đáp ứng với sự giảm tiền gánh, kết quả làm co mạch và tăng tái hấp thu nước trong hệ thống lọc của thận. Cortisol cũng được giải phóng từ vỏ thượng thận, góp phần vào quá trình tái hấp thu natri, nước và các tế bào tăng nhạy cảm với catecholamine.</w:t>
      </w:r>
    </w:p>
    <w:p>
      <w:pPr>
        <w:pStyle w:val="Heading3"/>
        <w:spacing w:before="147"/>
        <w:rPr>
          <w:i/>
        </w:rPr>
      </w:pPr>
      <w:r>
        <w:rPr>
          <w:i/>
          <w:color w:val="8C91A1"/>
        </w:rPr>
        <w:t>Hội chứng thiếu máu cục bộ - tái tưới máu</w:t>
      </w:r>
    </w:p>
    <w:p>
      <w:pPr>
        <w:pStyle w:val="BodyText"/>
        <w:spacing w:line="216" w:lineRule="auto" w:before="34"/>
        <w:ind w:left="1018" w:right="92"/>
      </w:pPr>
      <w:r>
        <w:rPr>
          <w:color w:val="1C1C1A"/>
        </w:rPr>
        <w:t>Trong</w:t>
      </w:r>
      <w:r>
        <w:rPr>
          <w:color w:val="1C1C1A"/>
          <w:spacing w:val="-10"/>
        </w:rPr>
        <w:t> </w:t>
      </w:r>
      <w:r>
        <w:rPr>
          <w:color w:val="1C1C1A"/>
        </w:rPr>
        <w:t>giai</w:t>
      </w:r>
      <w:r>
        <w:rPr>
          <w:color w:val="1C1C1A"/>
          <w:spacing w:val="-10"/>
        </w:rPr>
        <w:t> </w:t>
      </w:r>
      <w:r>
        <w:rPr>
          <w:color w:val="1C1C1A"/>
        </w:rPr>
        <w:t>đoạn</w:t>
      </w:r>
      <w:r>
        <w:rPr>
          <w:color w:val="1C1C1A"/>
          <w:spacing w:val="-9"/>
        </w:rPr>
        <w:t> </w:t>
      </w:r>
      <w:r>
        <w:rPr>
          <w:color w:val="1C1C1A"/>
        </w:rPr>
        <w:t>giảm</w:t>
      </w:r>
      <w:r>
        <w:rPr>
          <w:color w:val="1C1C1A"/>
          <w:spacing w:val="-11"/>
        </w:rPr>
        <w:t> </w:t>
      </w:r>
      <w:r>
        <w:rPr>
          <w:color w:val="1C1C1A"/>
        </w:rPr>
        <w:t>tưới</w:t>
      </w:r>
      <w:r>
        <w:rPr>
          <w:color w:val="1C1C1A"/>
          <w:spacing w:val="-10"/>
        </w:rPr>
        <w:t> </w:t>
      </w:r>
      <w:r>
        <w:rPr>
          <w:color w:val="1C1C1A"/>
        </w:rPr>
        <w:t>máu</w:t>
      </w:r>
      <w:r>
        <w:rPr>
          <w:color w:val="1C1C1A"/>
          <w:spacing w:val="-11"/>
        </w:rPr>
        <w:t> </w:t>
      </w:r>
      <w:r>
        <w:rPr>
          <w:color w:val="1C1C1A"/>
        </w:rPr>
        <w:t>hệ</w:t>
      </w:r>
      <w:r>
        <w:rPr>
          <w:color w:val="1C1C1A"/>
          <w:spacing w:val="-9"/>
        </w:rPr>
        <w:t> </w:t>
      </w:r>
      <w:r>
        <w:rPr>
          <w:color w:val="1C1C1A"/>
        </w:rPr>
        <w:t>thống,</w:t>
      </w:r>
      <w:r>
        <w:rPr>
          <w:color w:val="1C1C1A"/>
          <w:spacing w:val="-10"/>
        </w:rPr>
        <w:t> </w:t>
      </w:r>
      <w:r>
        <w:rPr>
          <w:color w:val="1C1C1A"/>
        </w:rPr>
        <w:t>tổn</w:t>
      </w:r>
      <w:r>
        <w:rPr>
          <w:color w:val="1C1C1A"/>
          <w:spacing w:val="-9"/>
        </w:rPr>
        <w:t> </w:t>
      </w:r>
      <w:r>
        <w:rPr>
          <w:color w:val="1C1C1A"/>
        </w:rPr>
        <w:t>thương</w:t>
      </w:r>
      <w:r>
        <w:rPr>
          <w:color w:val="1C1C1A"/>
          <w:spacing w:val="-10"/>
        </w:rPr>
        <w:t> </w:t>
      </w:r>
      <w:r>
        <w:rPr>
          <w:color w:val="1C1C1A"/>
        </w:rPr>
        <w:t>tế</w:t>
      </w:r>
      <w:r>
        <w:rPr>
          <w:color w:val="1C1C1A"/>
          <w:spacing w:val="-10"/>
        </w:rPr>
        <w:t> </w:t>
      </w:r>
      <w:r>
        <w:rPr>
          <w:color w:val="1C1C1A"/>
        </w:rPr>
        <w:t>bào</w:t>
      </w:r>
      <w:r>
        <w:rPr>
          <w:color w:val="1C1C1A"/>
          <w:spacing w:val="-11"/>
        </w:rPr>
        <w:t> </w:t>
      </w:r>
      <w:r>
        <w:rPr>
          <w:color w:val="1C1C1A"/>
        </w:rPr>
        <w:t>và cơ quan tiến triển do tác động trực tiếp của tình trạng thiếu oxy</w:t>
      </w:r>
      <w:r>
        <w:rPr>
          <w:color w:val="1C1C1A"/>
          <w:spacing w:val="-9"/>
        </w:rPr>
        <w:t> </w:t>
      </w:r>
      <w:r>
        <w:rPr>
          <w:color w:val="1C1C1A"/>
        </w:rPr>
        <w:t>mô</w:t>
      </w:r>
      <w:r>
        <w:rPr>
          <w:color w:val="1C1C1A"/>
          <w:spacing w:val="-8"/>
        </w:rPr>
        <w:t> </w:t>
      </w:r>
      <w:r>
        <w:rPr>
          <w:color w:val="1C1C1A"/>
        </w:rPr>
        <w:t>và</w:t>
      </w:r>
      <w:r>
        <w:rPr>
          <w:color w:val="1C1C1A"/>
          <w:spacing w:val="-9"/>
        </w:rPr>
        <w:t> </w:t>
      </w:r>
      <w:r>
        <w:rPr>
          <w:color w:val="1C1C1A"/>
        </w:rPr>
        <w:t>kích</w:t>
      </w:r>
      <w:r>
        <w:rPr>
          <w:color w:val="1C1C1A"/>
          <w:spacing w:val="-8"/>
        </w:rPr>
        <w:t> </w:t>
      </w:r>
      <w:r>
        <w:rPr>
          <w:color w:val="1C1C1A"/>
        </w:rPr>
        <w:t>hoạt</w:t>
      </w:r>
      <w:r>
        <w:rPr>
          <w:color w:val="1C1C1A"/>
          <w:spacing w:val="-8"/>
        </w:rPr>
        <w:t> </w:t>
      </w:r>
      <w:r>
        <w:rPr>
          <w:color w:val="1C1C1A"/>
        </w:rPr>
        <w:t>phản</w:t>
      </w:r>
      <w:r>
        <w:rPr>
          <w:color w:val="1C1C1A"/>
          <w:spacing w:val="-9"/>
        </w:rPr>
        <w:t> </w:t>
      </w:r>
      <w:r>
        <w:rPr>
          <w:color w:val="1C1C1A"/>
        </w:rPr>
        <w:t>ứng</w:t>
      </w:r>
      <w:r>
        <w:rPr>
          <w:color w:val="1C1C1A"/>
          <w:spacing w:val="-8"/>
        </w:rPr>
        <w:t> </w:t>
      </w:r>
      <w:r>
        <w:rPr>
          <w:color w:val="1C1C1A"/>
        </w:rPr>
        <w:t>viêm</w:t>
      </w:r>
      <w:r>
        <w:rPr>
          <w:color w:val="1C1C1A"/>
          <w:spacing w:val="-8"/>
        </w:rPr>
        <w:t> </w:t>
      </w:r>
      <w:r>
        <w:rPr>
          <w:color w:val="1C1C1A"/>
        </w:rPr>
        <w:t>cục</w:t>
      </w:r>
      <w:r>
        <w:rPr>
          <w:color w:val="1C1C1A"/>
          <w:spacing w:val="-9"/>
        </w:rPr>
        <w:t> </w:t>
      </w:r>
      <w:r>
        <w:rPr>
          <w:color w:val="1C1C1A"/>
        </w:rPr>
        <w:t>bộ.</w:t>
      </w:r>
      <w:r>
        <w:rPr>
          <w:color w:val="1C1C1A"/>
          <w:spacing w:val="-9"/>
        </w:rPr>
        <w:t> </w:t>
      </w:r>
      <w:r>
        <w:rPr>
          <w:color w:val="1C1C1A"/>
        </w:rPr>
        <w:t>Tổn</w:t>
      </w:r>
      <w:r>
        <w:rPr>
          <w:color w:val="1C1C1A"/>
          <w:spacing w:val="-9"/>
        </w:rPr>
        <w:t> </w:t>
      </w:r>
      <w:r>
        <w:rPr>
          <w:color w:val="1C1C1A"/>
        </w:rPr>
        <w:t>thương</w:t>
      </w:r>
      <w:r>
        <w:rPr>
          <w:color w:val="1C1C1A"/>
          <w:spacing w:val="-8"/>
        </w:rPr>
        <w:t> </w:t>
      </w:r>
      <w:r>
        <w:rPr>
          <w:color w:val="1C1C1A"/>
        </w:rPr>
        <w:t>tăng</w:t>
      </w:r>
    </w:p>
    <w:p>
      <w:pPr>
        <w:pStyle w:val="BodyText"/>
        <w:spacing w:line="216" w:lineRule="auto" w:before="3"/>
        <w:ind w:left="1018" w:right="-3"/>
      </w:pPr>
      <w:r>
        <w:rPr>
          <w:color w:val="1C1C1A"/>
        </w:rPr>
        <w:t>thêm</w:t>
      </w:r>
      <w:r>
        <w:rPr>
          <w:color w:val="1C1C1A"/>
          <w:spacing w:val="-10"/>
        </w:rPr>
        <w:t> </w:t>
      </w:r>
      <w:r>
        <w:rPr>
          <w:color w:val="1C1C1A"/>
        </w:rPr>
        <w:t>xảy</w:t>
      </w:r>
      <w:r>
        <w:rPr>
          <w:color w:val="1C1C1A"/>
          <w:spacing w:val="-8"/>
        </w:rPr>
        <w:t> </w:t>
      </w:r>
      <w:r>
        <w:rPr>
          <w:color w:val="1C1C1A"/>
        </w:rPr>
        <w:t>ra</w:t>
      </w:r>
      <w:r>
        <w:rPr>
          <w:color w:val="1C1C1A"/>
          <w:spacing w:val="-9"/>
        </w:rPr>
        <w:t> </w:t>
      </w:r>
      <w:r>
        <w:rPr>
          <w:color w:val="1C1C1A"/>
        </w:rPr>
        <w:t>khi</w:t>
      </w:r>
      <w:r>
        <w:rPr>
          <w:color w:val="1C1C1A"/>
          <w:spacing w:val="-8"/>
        </w:rPr>
        <w:t> </w:t>
      </w:r>
      <w:r>
        <w:rPr>
          <w:color w:val="1C1C1A"/>
        </w:rPr>
        <w:t>có</w:t>
      </w:r>
      <w:r>
        <w:rPr>
          <w:color w:val="1C1C1A"/>
          <w:spacing w:val="-9"/>
        </w:rPr>
        <w:t> </w:t>
      </w:r>
      <w:r>
        <w:rPr>
          <w:color w:val="1C1C1A"/>
        </w:rPr>
        <w:t>sự</w:t>
      </w:r>
      <w:r>
        <w:rPr>
          <w:color w:val="1C1C1A"/>
          <w:spacing w:val="-9"/>
        </w:rPr>
        <w:t> </w:t>
      </w:r>
      <w:r>
        <w:rPr>
          <w:color w:val="1C1C1A"/>
        </w:rPr>
        <w:t>lưu</w:t>
      </w:r>
      <w:r>
        <w:rPr>
          <w:color w:val="1C1C1A"/>
          <w:spacing w:val="-9"/>
        </w:rPr>
        <w:t> </w:t>
      </w:r>
      <w:r>
        <w:rPr>
          <w:color w:val="1C1C1A"/>
        </w:rPr>
        <w:t>thông</w:t>
      </w:r>
      <w:r>
        <w:rPr>
          <w:color w:val="1C1C1A"/>
          <w:spacing w:val="-8"/>
        </w:rPr>
        <w:t> </w:t>
      </w:r>
      <w:r>
        <w:rPr>
          <w:color w:val="1C1C1A"/>
        </w:rPr>
        <w:t>tuần</w:t>
      </w:r>
      <w:r>
        <w:rPr>
          <w:color w:val="1C1C1A"/>
          <w:spacing w:val="-10"/>
        </w:rPr>
        <w:t> </w:t>
      </w:r>
      <w:r>
        <w:rPr>
          <w:color w:val="1C1C1A"/>
        </w:rPr>
        <w:t>hoàn</w:t>
      </w:r>
      <w:r>
        <w:rPr>
          <w:color w:val="1C1C1A"/>
          <w:spacing w:val="-9"/>
        </w:rPr>
        <w:t> </w:t>
      </w:r>
      <w:r>
        <w:rPr>
          <w:color w:val="1C1C1A"/>
        </w:rPr>
        <w:t>trở</w:t>
      </w:r>
      <w:r>
        <w:rPr>
          <w:color w:val="1C1C1A"/>
          <w:spacing w:val="-9"/>
        </w:rPr>
        <w:t> </w:t>
      </w:r>
      <w:r>
        <w:rPr>
          <w:color w:val="1C1C1A"/>
        </w:rPr>
        <w:t>lại</w:t>
      </w:r>
      <w:r>
        <w:rPr>
          <w:color w:val="1C1C1A"/>
          <w:spacing w:val="-10"/>
        </w:rPr>
        <w:t> </w:t>
      </w:r>
      <w:r>
        <w:rPr>
          <w:color w:val="1C1C1A"/>
        </w:rPr>
        <w:t>bình</w:t>
      </w:r>
      <w:r>
        <w:rPr>
          <w:color w:val="1C1C1A"/>
          <w:spacing w:val="-8"/>
        </w:rPr>
        <w:t> </w:t>
      </w:r>
      <w:r>
        <w:rPr>
          <w:color w:val="1C1C1A"/>
        </w:rPr>
        <w:t>thường</w:t>
      </w:r>
      <w:r>
        <w:rPr>
          <w:color w:val="1C1C1A"/>
          <w:spacing w:val="-9"/>
        </w:rPr>
        <w:t> </w:t>
      </w:r>
      <w:r>
        <w:rPr>
          <w:color w:val="1C1C1A"/>
        </w:rPr>
        <w:t>ở các mô này. Lượng acid và kali tích tụ được giải phóng có thể trực tiếp dẫn đến suy cơ tim, giãn mạch và hạ huyết áp. Các yếu tố tạo ra từ tế bào và thể dịch bởi tình trạng thiếu oxy (bổ thể, bạch cầu trung tính, huyết khối vi mạch) được đẩy ngược trở lại hệ tuần hoàn, nơi chúng gây thêm tổn thương nội mô cho các cơ quan như phổi và thận. Điều này dẫn đến tổn thương phổi cấp, tổn thương thận cấp, suy đa tạng và tử vong. Tổn thương do tái tưới máu hiện chỉ có thể thuyên giảm bằng cách</w:t>
      </w:r>
      <w:r>
        <w:rPr>
          <w:color w:val="1C1C1A"/>
          <w:spacing w:val="-6"/>
        </w:rPr>
        <w:t> </w:t>
      </w:r>
      <w:r>
        <w:rPr>
          <w:color w:val="1C1C1A"/>
        </w:rPr>
        <w:t>giảm</w:t>
      </w:r>
      <w:r>
        <w:rPr>
          <w:color w:val="1C1C1A"/>
          <w:spacing w:val="-4"/>
        </w:rPr>
        <w:t> </w:t>
      </w:r>
      <w:r>
        <w:rPr>
          <w:color w:val="1C1C1A"/>
        </w:rPr>
        <w:t>mức</w:t>
      </w:r>
      <w:r>
        <w:rPr>
          <w:color w:val="1C1C1A"/>
          <w:spacing w:val="-6"/>
        </w:rPr>
        <w:t> </w:t>
      </w:r>
      <w:r>
        <w:rPr>
          <w:color w:val="1C1C1A"/>
        </w:rPr>
        <w:t>độ</w:t>
      </w:r>
      <w:r>
        <w:rPr>
          <w:color w:val="1C1C1A"/>
          <w:spacing w:val="-4"/>
        </w:rPr>
        <w:t> </w:t>
      </w:r>
      <w:r>
        <w:rPr>
          <w:color w:val="1C1C1A"/>
        </w:rPr>
        <w:t>và</w:t>
      </w:r>
      <w:r>
        <w:rPr>
          <w:color w:val="1C1C1A"/>
          <w:spacing w:val="-6"/>
        </w:rPr>
        <w:t> </w:t>
      </w:r>
      <w:r>
        <w:rPr>
          <w:color w:val="1C1C1A"/>
        </w:rPr>
        <w:t>giảm</w:t>
      </w:r>
      <w:r>
        <w:rPr>
          <w:color w:val="1C1C1A"/>
          <w:spacing w:val="-5"/>
        </w:rPr>
        <w:t> </w:t>
      </w:r>
      <w:r>
        <w:rPr>
          <w:color w:val="1C1C1A"/>
        </w:rPr>
        <w:t>thời</w:t>
      </w:r>
      <w:r>
        <w:rPr>
          <w:color w:val="1C1C1A"/>
          <w:spacing w:val="-6"/>
        </w:rPr>
        <w:t> </w:t>
      </w:r>
      <w:r>
        <w:rPr>
          <w:color w:val="1C1C1A"/>
        </w:rPr>
        <w:t>gian</w:t>
      </w:r>
      <w:r>
        <w:rPr>
          <w:color w:val="1C1C1A"/>
          <w:spacing w:val="-4"/>
        </w:rPr>
        <w:t> </w:t>
      </w:r>
      <w:r>
        <w:rPr>
          <w:color w:val="1C1C1A"/>
        </w:rPr>
        <w:t>mô</w:t>
      </w:r>
      <w:r>
        <w:rPr>
          <w:color w:val="1C1C1A"/>
          <w:spacing w:val="-5"/>
        </w:rPr>
        <w:t> </w:t>
      </w:r>
      <w:r>
        <w:rPr>
          <w:color w:val="1C1C1A"/>
        </w:rPr>
        <w:t>bị</w:t>
      </w:r>
      <w:r>
        <w:rPr>
          <w:color w:val="1C1C1A"/>
          <w:spacing w:val="-5"/>
        </w:rPr>
        <w:t> </w:t>
      </w:r>
      <w:r>
        <w:rPr>
          <w:color w:val="1C1C1A"/>
        </w:rPr>
        <w:t>thiếu</w:t>
      </w:r>
      <w:r>
        <w:rPr>
          <w:color w:val="1C1C1A"/>
          <w:spacing w:val="-5"/>
        </w:rPr>
        <w:t> </w:t>
      </w:r>
      <w:r>
        <w:rPr>
          <w:color w:val="1C1C1A"/>
        </w:rPr>
        <w:t>máu.</w:t>
      </w:r>
    </w:p>
    <w:p>
      <w:pPr>
        <w:pStyle w:val="BodyText"/>
        <w:spacing w:before="1"/>
        <w:rPr>
          <w:sz w:val="25"/>
        </w:rPr>
      </w:pPr>
    </w:p>
    <w:p>
      <w:pPr>
        <w:pStyle w:val="Heading2"/>
        <w:ind w:left="1018"/>
      </w:pPr>
      <w:r>
        <w:rPr>
          <w:color w:val="7E8597"/>
        </w:rPr>
        <w:t>Phân loại sốc</w:t>
      </w:r>
    </w:p>
    <w:p>
      <w:pPr>
        <w:pStyle w:val="BodyText"/>
        <w:spacing w:line="216" w:lineRule="auto" w:before="93"/>
        <w:ind w:left="1018" w:right="57"/>
      </w:pPr>
      <w:r>
        <w:rPr>
          <w:color w:val="1C1C1A"/>
        </w:rPr>
        <w:t>Có nhiều cách để phân loại sốc, nhưng cách phổ biến nhất và được áp dụng trên lâm sàng nhiều nhất là dựa trên cơ chế khởi phát.</w:t>
      </w:r>
    </w:p>
    <w:p>
      <w:pPr>
        <w:pStyle w:val="BodyText"/>
        <w:spacing w:line="216" w:lineRule="auto" w:before="3"/>
        <w:ind w:left="1018" w:right="92" w:firstLine="283"/>
      </w:pPr>
      <w:r>
        <w:rPr>
          <w:color w:val="1C1C1A"/>
        </w:rPr>
        <w:t>Tất cả các trạng thái đều được đặc trưng bởi giảm tưới máu mô hệ thống và các trạng thái khác nhau có thể tồn tại trong cùng một bệnh nhân.</w:t>
      </w:r>
    </w:p>
    <w:p>
      <w:pPr>
        <w:pStyle w:val="BodyText"/>
      </w:pPr>
    </w:p>
    <w:p>
      <w:pPr>
        <w:pStyle w:val="BodyText"/>
      </w:pPr>
    </w:p>
    <w:p>
      <w:pPr>
        <w:pStyle w:val="BodyText"/>
        <w:spacing w:before="10"/>
        <w:rPr>
          <w:sz w:val="23"/>
        </w:rPr>
      </w:pPr>
      <w:r>
        <w:rPr/>
        <w:pict>
          <v:group style="position:absolute;margin-left:50.945004pt;margin-top:15.72181pt;width:246.65pt;height:100pt;mso-position-horizontal-relative:page;mso-position-vertical-relative:paragraph;z-index:-15727616;mso-wrap-distance-left:0;mso-wrap-distance-right:0" coordorigin="1019,314" coordsize="4933,2000">
            <v:shape style="position:absolute;left:1018;top:314;width:4933;height:2000" coordorigin="1019,314" coordsize="4933,2000" path="m5668,314l1019,314,1019,2030,1023,2074,1054,2172,1139,2269,1302,2314,5951,2314,5951,598,5947,554,5916,456,5832,359,5668,314xe" filled="true" fillcolor="#e2ddee" stroked="false">
              <v:path arrowok="t"/>
              <v:fill type="solid"/>
            </v:shape>
            <v:rect style="position:absolute;left:1018;top:723;width:4933;height:30" filled="true" fillcolor="#ffffff" stroked="false">
              <v:fill type="solid"/>
            </v:rect>
            <v:shape style="position:absolute;left:1146;top:415;width:1490;height:1539" type="#_x0000_t202" filled="false" stroked="false">
              <v:textbox inset="0,0,0,0">
                <w:txbxContent>
                  <w:p>
                    <w:pPr>
                      <w:spacing w:line="221" w:lineRule="exact" w:before="0"/>
                      <w:ind w:left="0" w:right="0" w:firstLine="0"/>
                      <w:jc w:val="left"/>
                      <w:rPr>
                        <w:b/>
                        <w:sz w:val="20"/>
                      </w:rPr>
                    </w:pPr>
                    <w:r>
                      <w:rPr>
                        <w:b/>
                        <w:color w:val="755BA3"/>
                        <w:sz w:val="20"/>
                      </w:rPr>
                      <w:t>Bảng tổng kết 2.1</w:t>
                    </w:r>
                  </w:p>
                  <w:p>
                    <w:pPr>
                      <w:spacing w:line="240" w:lineRule="auto" w:before="4"/>
                      <w:rPr>
                        <w:b/>
                        <w:sz w:val="17"/>
                      </w:rPr>
                    </w:pPr>
                  </w:p>
                  <w:p>
                    <w:pPr>
                      <w:spacing w:before="0"/>
                      <w:ind w:left="0" w:right="0" w:firstLine="0"/>
                      <w:jc w:val="left"/>
                      <w:rPr>
                        <w:sz w:val="19"/>
                      </w:rPr>
                    </w:pPr>
                    <w:r>
                      <w:rPr>
                        <w:color w:val="755BA3"/>
                        <w:sz w:val="19"/>
                      </w:rPr>
                      <w:t>Phân loại sốc</w:t>
                    </w:r>
                  </w:p>
                  <w:p>
                    <w:pPr>
                      <w:spacing w:before="49"/>
                      <w:ind w:left="0" w:right="0" w:firstLine="0"/>
                      <w:jc w:val="lef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w:t>
                    </w:r>
                    <w:r>
                      <w:rPr>
                        <w:rFonts w:ascii="Arial" w:hAnsi="Arial"/>
                        <w:color w:val="745BA2"/>
                        <w:spacing w:val="8"/>
                        <w:position w:val="1"/>
                        <w:sz w:val="10"/>
                      </w:rPr>
                      <w:t> </w:t>
                    </w:r>
                    <w:r>
                      <w:rPr>
                        <w:color w:val="1C1C1A"/>
                        <w:spacing w:val="-1"/>
                        <w:sz w:val="16"/>
                      </w:rPr>
                      <w:t>S</w:t>
                    </w:r>
                    <w:r>
                      <w:rPr>
                        <w:color w:val="1C1C1A"/>
                        <w:sz w:val="16"/>
                      </w:rPr>
                      <w:t>ốc g</w:t>
                    </w:r>
                    <w:r>
                      <w:rPr>
                        <w:color w:val="1C1C1A"/>
                        <w:spacing w:val="-1"/>
                        <w:sz w:val="16"/>
                      </w:rPr>
                      <w:t>iả</w:t>
                    </w:r>
                    <w:r>
                      <w:rPr>
                        <w:color w:val="1C1C1A"/>
                        <w:sz w:val="16"/>
                      </w:rPr>
                      <w:t>m</w:t>
                    </w:r>
                    <w:r>
                      <w:rPr>
                        <w:color w:val="1C1C1A"/>
                        <w:spacing w:val="-1"/>
                        <w:sz w:val="16"/>
                      </w:rPr>
                      <w:t> th</w:t>
                    </w:r>
                    <w:r>
                      <w:rPr>
                        <w:color w:val="1C1C1A"/>
                        <w:sz w:val="16"/>
                      </w:rPr>
                      <w:t>ể</w:t>
                    </w:r>
                    <w:r>
                      <w:rPr>
                        <w:color w:val="1C1C1A"/>
                        <w:spacing w:val="-1"/>
                        <w:sz w:val="16"/>
                      </w:rPr>
                      <w:t> </w:t>
                    </w:r>
                    <w:r>
                      <w:rPr>
                        <w:color w:val="1C1C1A"/>
                        <w:sz w:val="16"/>
                      </w:rPr>
                      <w:t>t</w:t>
                    </w:r>
                    <w:r>
                      <w:rPr>
                        <w:color w:val="1C1C1A"/>
                        <w:spacing w:val="-1"/>
                        <w:sz w:val="16"/>
                      </w:rPr>
                      <w:t>ích</w:t>
                    </w:r>
                  </w:p>
                  <w:p>
                    <w:pPr>
                      <w:spacing w:before="38"/>
                      <w:ind w:left="0" w:right="0" w:firstLine="0"/>
                      <w:jc w:val="left"/>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w:t>
                    </w:r>
                    <w:r>
                      <w:rPr>
                        <w:rFonts w:ascii="Arial" w:hAnsi="Arial"/>
                        <w:color w:val="745BA2"/>
                        <w:spacing w:val="8"/>
                        <w:sz w:val="10"/>
                      </w:rPr>
                      <w:t> </w:t>
                    </w:r>
                    <w:r>
                      <w:rPr>
                        <w:color w:val="1C1C1A"/>
                        <w:w w:val="99"/>
                        <w:sz w:val="16"/>
                      </w:rPr>
                      <w:t>S</w:t>
                    </w:r>
                    <w:r>
                      <w:rPr>
                        <w:color w:val="1C1C1A"/>
                        <w:sz w:val="16"/>
                      </w:rPr>
                      <w:t>ố</w:t>
                    </w:r>
                    <w:r>
                      <w:rPr>
                        <w:color w:val="1C1C1A"/>
                        <w:w w:val="99"/>
                        <w:sz w:val="16"/>
                      </w:rPr>
                      <w:t>c</w:t>
                    </w:r>
                    <w:r>
                      <w:rPr>
                        <w:color w:val="1C1C1A"/>
                        <w:sz w:val="16"/>
                      </w:rPr>
                      <w:t> </w:t>
                    </w:r>
                    <w:r>
                      <w:rPr>
                        <w:color w:val="1C1C1A"/>
                        <w:w w:val="99"/>
                        <w:sz w:val="16"/>
                      </w:rPr>
                      <w:t>ti</w:t>
                    </w:r>
                    <w:r>
                      <w:rPr>
                        <w:color w:val="1C1C1A"/>
                        <w:w w:val="99"/>
                        <w:sz w:val="16"/>
                      </w:rPr>
                      <w:t>m</w:t>
                    </w:r>
                  </w:p>
                  <w:p>
                    <w:pPr>
                      <w:spacing w:before="36"/>
                      <w:ind w:left="0" w:right="0" w:firstLine="0"/>
                      <w:jc w:val="left"/>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w:t>
                    </w:r>
                    <w:r>
                      <w:rPr>
                        <w:rFonts w:ascii="Arial" w:hAnsi="Arial"/>
                        <w:color w:val="745BA2"/>
                        <w:spacing w:val="8"/>
                        <w:sz w:val="10"/>
                      </w:rPr>
                      <w:t> </w:t>
                    </w:r>
                    <w:r>
                      <w:rPr>
                        <w:color w:val="1C1C1A"/>
                        <w:w w:val="99"/>
                        <w:position w:val="1"/>
                        <w:sz w:val="16"/>
                      </w:rPr>
                      <w:t>S</w:t>
                    </w:r>
                    <w:r>
                      <w:rPr>
                        <w:color w:val="1C1C1A"/>
                        <w:position w:val="1"/>
                        <w:sz w:val="16"/>
                      </w:rPr>
                      <w:t>ố</w:t>
                    </w:r>
                    <w:r>
                      <w:rPr>
                        <w:color w:val="1C1C1A"/>
                        <w:w w:val="99"/>
                        <w:position w:val="1"/>
                        <w:sz w:val="16"/>
                      </w:rPr>
                      <w:t>c</w:t>
                    </w:r>
                    <w:r>
                      <w:rPr>
                        <w:color w:val="1C1C1A"/>
                        <w:position w:val="1"/>
                        <w:sz w:val="16"/>
                      </w:rPr>
                      <w:t> </w:t>
                    </w:r>
                    <w:r>
                      <w:rPr>
                        <w:color w:val="1C1C1A"/>
                        <w:w w:val="99"/>
                        <w:position w:val="1"/>
                        <w:sz w:val="16"/>
                      </w:rPr>
                      <w:t>t</w:t>
                    </w:r>
                    <w:r>
                      <w:rPr>
                        <w:color w:val="1C1C1A"/>
                        <w:spacing w:val="-1"/>
                        <w:position w:val="1"/>
                        <w:sz w:val="16"/>
                      </w:rPr>
                      <w:t>ắ</w:t>
                    </w:r>
                    <w:r>
                      <w:rPr>
                        <w:color w:val="1C1C1A"/>
                        <w:position w:val="1"/>
                        <w:sz w:val="16"/>
                      </w:rPr>
                      <w:t>c</w:t>
                    </w:r>
                    <w:r>
                      <w:rPr>
                        <w:color w:val="1C1C1A"/>
                        <w:spacing w:val="-1"/>
                        <w:position w:val="1"/>
                        <w:sz w:val="16"/>
                      </w:rPr>
                      <w:t> </w:t>
                    </w:r>
                    <w:r>
                      <w:rPr>
                        <w:color w:val="1C1C1A"/>
                        <w:position w:val="1"/>
                        <w:sz w:val="16"/>
                      </w:rPr>
                      <w:t>nghẽn</w:t>
                    </w:r>
                  </w:p>
                  <w:p>
                    <w:pPr>
                      <w:spacing w:line="188" w:lineRule="exact" w:before="35"/>
                      <w:ind w:left="0" w:right="0" w:firstLine="0"/>
                      <w:jc w:val="lef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w:t>
                    </w:r>
                    <w:r>
                      <w:rPr>
                        <w:rFonts w:ascii="Arial" w:hAnsi="Arial"/>
                        <w:color w:val="745BA2"/>
                        <w:spacing w:val="8"/>
                        <w:position w:val="-1"/>
                        <w:sz w:val="10"/>
                      </w:rPr>
                      <w:t> </w:t>
                    </w:r>
                    <w:r>
                      <w:rPr>
                        <w:color w:val="1C1C1A"/>
                        <w:w w:val="99"/>
                        <w:sz w:val="16"/>
                      </w:rPr>
                      <w:t>S</w:t>
                    </w:r>
                    <w:r>
                      <w:rPr>
                        <w:color w:val="1C1C1A"/>
                        <w:sz w:val="16"/>
                      </w:rPr>
                      <w:t>ố</w:t>
                    </w:r>
                    <w:r>
                      <w:rPr>
                        <w:color w:val="1C1C1A"/>
                        <w:w w:val="99"/>
                        <w:sz w:val="16"/>
                      </w:rPr>
                      <w:t>c</w:t>
                    </w:r>
                    <w:r>
                      <w:rPr>
                        <w:color w:val="1C1C1A"/>
                        <w:spacing w:val="4"/>
                        <w:sz w:val="16"/>
                      </w:rPr>
                      <w:t> </w:t>
                    </w:r>
                    <w:r>
                      <w:rPr>
                        <w:color w:val="1C1C1A"/>
                        <w:w w:val="99"/>
                        <w:sz w:val="16"/>
                      </w:rPr>
                      <w:t>phâ</w:t>
                    </w:r>
                    <w:r>
                      <w:rPr>
                        <w:color w:val="1C1C1A"/>
                        <w:sz w:val="16"/>
                      </w:rPr>
                      <w:t>n bố</w:t>
                    </w:r>
                  </w:p>
                </w:txbxContent>
              </v:textbox>
              <w10:wrap type="none"/>
            </v:shape>
            <v:shape style="position:absolute;left:1146;top:2030;width:100;height:100" type="#_x0000_t202" filled="false" stroked="false">
              <v:textbox inset="0,0,0,0">
                <w:txbxContent>
                  <w:p>
                    <w:pPr>
                      <w:spacing w:line="100" w:lineRule="exact" w:before="0"/>
                      <w:ind w:left="0" w:right="0" w:firstLine="0"/>
                      <w:jc w:val="left"/>
                      <w:rPr>
                        <w:rFonts w:ascii="Arial" w:hAnsi="Arial"/>
                        <w:sz w:val="10"/>
                      </w:rPr>
                    </w:pPr>
                    <w:r>
                      <w:rPr>
                        <w:rFonts w:ascii="Arial" w:hAnsi="Arial"/>
                        <w:color w:val="755BA3"/>
                        <w:w w:val="130"/>
                        <w:sz w:val="10"/>
                      </w:rPr>
                      <w:t>●</w:t>
                    </w:r>
                  </w:p>
                </w:txbxContent>
              </v:textbox>
              <w10:wrap type="none"/>
            </v:shape>
            <v:shape style="position:absolute;left:1225;top:2083;width:48;height:100" type="#_x0000_t202" filled="false" stroked="false">
              <v:textbox inset="0,0,0,0">
                <w:txbxContent>
                  <w:p>
                    <w:pPr>
                      <w:spacing w:line="100" w:lineRule="exact" w:before="0"/>
                      <w:ind w:left="0" w:right="0" w:firstLine="0"/>
                      <w:jc w:val="left"/>
                      <w:rPr>
                        <w:rFonts w:ascii="Arial" w:hAnsi="Arial"/>
                        <w:sz w:val="10"/>
                      </w:rPr>
                    </w:pPr>
                    <w:r>
                      <w:rPr>
                        <w:rFonts w:ascii="Arial" w:hAnsi="Arial"/>
                        <w:color w:val="745BA2"/>
                        <w:w w:val="45"/>
                        <w:sz w:val="10"/>
                      </w:rPr>
                      <w:t>●</w:t>
                    </w:r>
                  </w:p>
                </w:txbxContent>
              </v:textbox>
              <w10:wrap type="none"/>
            </v:shape>
            <v:shape style="position:absolute;left:1373;top:1993;width:748;height:178" type="#_x0000_t202" filled="false" stroked="false">
              <v:textbox inset="0,0,0,0">
                <w:txbxContent>
                  <w:p>
                    <w:pPr>
                      <w:spacing w:line="177" w:lineRule="exact" w:before="0"/>
                      <w:ind w:left="0" w:right="0" w:firstLine="0"/>
                      <w:jc w:val="left"/>
                      <w:rPr>
                        <w:sz w:val="16"/>
                      </w:rPr>
                    </w:pPr>
                    <w:r>
                      <w:rPr>
                        <w:color w:val="1C1C1A"/>
                        <w:sz w:val="16"/>
                      </w:rPr>
                      <w:t>Sốc nội tiết</w:t>
                    </w:r>
                  </w:p>
                </w:txbxContent>
              </v:textbox>
              <w10:wrap type="none"/>
            </v:shape>
            <w10:wrap type="topAndBottom"/>
          </v:group>
        </w:pict>
      </w:r>
    </w:p>
    <w:p>
      <w:pPr>
        <w:pStyle w:val="BodyText"/>
        <w:rPr>
          <w:sz w:val="22"/>
        </w:rPr>
      </w:pPr>
    </w:p>
    <w:p>
      <w:pPr>
        <w:pStyle w:val="Heading3"/>
        <w:spacing w:before="140"/>
        <w:rPr>
          <w:i/>
        </w:rPr>
      </w:pPr>
      <w:r>
        <w:rPr>
          <w:i/>
          <w:color w:val="8C91A1"/>
        </w:rPr>
        <w:t>Sốc giảm thể tích</w:t>
      </w:r>
    </w:p>
    <w:p>
      <w:pPr>
        <w:pStyle w:val="BodyText"/>
        <w:spacing w:line="216" w:lineRule="auto" w:before="38"/>
        <w:ind w:left="1018" w:right="141"/>
      </w:pPr>
      <w:r>
        <w:rPr>
          <w:color w:val="1C1C1A"/>
        </w:rPr>
        <w:t>Sốc</w:t>
      </w:r>
      <w:r>
        <w:rPr>
          <w:color w:val="1C1C1A"/>
          <w:spacing w:val="-9"/>
        </w:rPr>
        <w:t> </w:t>
      </w:r>
      <w:r>
        <w:rPr>
          <w:color w:val="1C1C1A"/>
        </w:rPr>
        <w:t>giảm</w:t>
      </w:r>
      <w:r>
        <w:rPr>
          <w:color w:val="1C1C1A"/>
          <w:spacing w:val="-10"/>
        </w:rPr>
        <w:t> </w:t>
      </w:r>
      <w:r>
        <w:rPr>
          <w:color w:val="1C1C1A"/>
        </w:rPr>
        <w:t>thể</w:t>
      </w:r>
      <w:r>
        <w:rPr>
          <w:color w:val="1C1C1A"/>
          <w:spacing w:val="-9"/>
        </w:rPr>
        <w:t> </w:t>
      </w:r>
      <w:r>
        <w:rPr>
          <w:color w:val="1C1C1A"/>
        </w:rPr>
        <w:t>tích</w:t>
      </w:r>
      <w:r>
        <w:rPr>
          <w:color w:val="1C1C1A"/>
          <w:spacing w:val="-10"/>
        </w:rPr>
        <w:t> </w:t>
      </w:r>
      <w:r>
        <w:rPr>
          <w:color w:val="1C1C1A"/>
        </w:rPr>
        <w:t>là</w:t>
      </w:r>
      <w:r>
        <w:rPr>
          <w:color w:val="1C1C1A"/>
          <w:spacing w:val="-10"/>
        </w:rPr>
        <w:t> </w:t>
      </w:r>
      <w:r>
        <w:rPr>
          <w:color w:val="1C1C1A"/>
        </w:rPr>
        <w:t>do</w:t>
      </w:r>
      <w:r>
        <w:rPr>
          <w:color w:val="1C1C1A"/>
          <w:spacing w:val="-9"/>
        </w:rPr>
        <w:t> </w:t>
      </w:r>
      <w:r>
        <w:rPr>
          <w:color w:val="1C1C1A"/>
        </w:rPr>
        <w:t>giảm</w:t>
      </w:r>
      <w:r>
        <w:rPr>
          <w:color w:val="1C1C1A"/>
          <w:spacing w:val="-10"/>
        </w:rPr>
        <w:t> </w:t>
      </w:r>
      <w:r>
        <w:rPr>
          <w:color w:val="1C1C1A"/>
        </w:rPr>
        <w:t>thể</w:t>
      </w:r>
      <w:r>
        <w:rPr>
          <w:color w:val="1C1C1A"/>
          <w:spacing w:val="-10"/>
        </w:rPr>
        <w:t> </w:t>
      </w:r>
      <w:r>
        <w:rPr>
          <w:color w:val="1C1C1A"/>
        </w:rPr>
        <w:t>tích</w:t>
      </w:r>
      <w:r>
        <w:rPr>
          <w:color w:val="1C1C1A"/>
          <w:spacing w:val="-10"/>
        </w:rPr>
        <w:t> </w:t>
      </w:r>
      <w:r>
        <w:rPr>
          <w:color w:val="1C1C1A"/>
        </w:rPr>
        <w:t>tuần</w:t>
      </w:r>
      <w:r>
        <w:rPr>
          <w:color w:val="1C1C1A"/>
          <w:spacing w:val="-9"/>
        </w:rPr>
        <w:t> </w:t>
      </w:r>
      <w:r>
        <w:rPr>
          <w:color w:val="1C1C1A"/>
        </w:rPr>
        <w:t>hoàn.</w:t>
      </w:r>
      <w:r>
        <w:rPr>
          <w:color w:val="1C1C1A"/>
          <w:spacing w:val="-10"/>
        </w:rPr>
        <w:t> </w:t>
      </w:r>
      <w:r>
        <w:rPr>
          <w:color w:val="1C1C1A"/>
        </w:rPr>
        <w:t>Sốc</w:t>
      </w:r>
      <w:r>
        <w:rPr>
          <w:color w:val="1C1C1A"/>
          <w:spacing w:val="-10"/>
        </w:rPr>
        <w:t> </w:t>
      </w:r>
      <w:r>
        <w:rPr>
          <w:color w:val="1C1C1A"/>
        </w:rPr>
        <w:t>giảm</w:t>
      </w:r>
      <w:r>
        <w:rPr>
          <w:color w:val="1C1C1A"/>
          <w:spacing w:val="-10"/>
        </w:rPr>
        <w:t> </w:t>
      </w:r>
      <w:r>
        <w:rPr>
          <w:color w:val="1C1C1A"/>
        </w:rPr>
        <w:t>thể tích tuần hoàn nguyên nhân có thể do xuất huyết hoặc không. Các nguyên nhân không phải xuất huyết bao gồm kém hấp thu dịch (mất nước), mất dịch do nôn, tiêu chảy, mất nước tiểu (ví dụ bệnh tiểu đường), bay hơi hoặc 'không gian thứ ba' nơi dịch bị mất vào đường tiêu hóa và khoảng kẽ, chẳng hạn như trong tắc ruột hoặc viêm</w:t>
      </w:r>
      <w:r>
        <w:rPr>
          <w:color w:val="1C1C1A"/>
          <w:spacing w:val="-37"/>
        </w:rPr>
        <w:t> </w:t>
      </w:r>
      <w:r>
        <w:rPr>
          <w:color w:val="1C1C1A"/>
        </w:rPr>
        <w:t>tụy.</w:t>
      </w:r>
    </w:p>
    <w:p>
      <w:pPr>
        <w:pStyle w:val="BodyText"/>
        <w:spacing w:line="216" w:lineRule="auto" w:before="7"/>
        <w:ind w:left="1018" w:right="92" w:firstLine="283"/>
      </w:pPr>
      <w:r>
        <w:rPr>
          <w:color w:val="1C1C1A"/>
        </w:rPr>
        <w:t>Giảm thể tích có lẽ là dạng sốc phổ biến nhất và ở một mức độ nào đó là một phần của tất cả các dạng sốc khác. Giảm thể tích tuyệt đối hoặc tương đối phải được loại trừ hoặc điều trị trong tình trạng sốc, bất kể nguyên nhân gì.</w:t>
      </w:r>
    </w:p>
    <w:p>
      <w:pPr>
        <w:pStyle w:val="Heading3"/>
        <w:spacing w:before="217"/>
        <w:ind w:left="195"/>
        <w:rPr>
          <w:i/>
        </w:rPr>
      </w:pPr>
      <w:r>
        <w:rPr>
          <w:b w:val="0"/>
          <w:i w:val="0"/>
        </w:rPr>
        <w:br w:type="column"/>
      </w:r>
      <w:r>
        <w:rPr>
          <w:i/>
          <w:color w:val="8C91A1"/>
        </w:rPr>
        <w:t>Sốc tim</w:t>
      </w:r>
    </w:p>
    <w:p>
      <w:pPr>
        <w:pStyle w:val="BodyText"/>
        <w:spacing w:line="216" w:lineRule="auto" w:before="33"/>
        <w:ind w:left="195" w:right="916"/>
      </w:pPr>
      <w:r>
        <w:rPr>
          <w:color w:val="1C1C1A"/>
        </w:rPr>
        <w:t>Sốc tim là do tim không thể bơm máu đến các mô. Nguyên nhân của sốc tim bao gồm nhồi máu cơ tim, rối loạn nhịp tim, bệnh van tim, tổn thương cơ tim và bệnh cơ tim. Suy tim cũng có thể do cơ tim suy nhược gây ra bởi các yếu tố nội sinh (ví dụ vi khuẩn và thể dịch được giải phóng khi</w:t>
      </w:r>
      <w:r>
        <w:rPr>
          <w:color w:val="1C1C1A"/>
          <w:spacing w:val="-8"/>
        </w:rPr>
        <w:t> </w:t>
      </w:r>
      <w:r>
        <w:rPr>
          <w:color w:val="1C1C1A"/>
        </w:rPr>
        <w:t>nhiễm</w:t>
      </w:r>
    </w:p>
    <w:p>
      <w:pPr>
        <w:pStyle w:val="BodyText"/>
        <w:spacing w:line="216" w:lineRule="auto" w:before="5"/>
        <w:ind w:left="195" w:right="883"/>
        <w:jc w:val="both"/>
      </w:pPr>
      <w:r>
        <w:rPr>
          <w:color w:val="1C1C1A"/>
        </w:rPr>
        <w:t>khuẩn) hoặc các yếu tố ngoại sinh, chẳng hạn như dược phẩm hoặc lạm dụng thuốc. Bằng chứng chỉ ra rằng tăng áp lực tĩnh mạch phổi hoặc phù toàn thân có thể cùng tồn tại với các dấu hiệu điển hình trong sốc tim.</w:t>
      </w:r>
    </w:p>
    <w:p>
      <w:pPr>
        <w:pStyle w:val="Heading3"/>
        <w:spacing w:before="150"/>
        <w:ind w:left="195"/>
        <w:rPr>
          <w:i/>
        </w:rPr>
      </w:pPr>
      <w:r>
        <w:rPr>
          <w:i/>
          <w:color w:val="8C91A1"/>
        </w:rPr>
        <w:t>Sốc tắc nghẽn</w:t>
      </w:r>
    </w:p>
    <w:p>
      <w:pPr>
        <w:pStyle w:val="BodyText"/>
        <w:spacing w:line="216" w:lineRule="auto" w:before="33"/>
        <w:ind w:left="195" w:right="918"/>
      </w:pPr>
      <w:r>
        <w:rPr>
          <w:color w:val="1C1C1A"/>
        </w:rPr>
        <w:t>Trong sốc tắc nghẽn có thể giảm tiền gánh do tắc nghẽn cơ học của tim. Nguyên nhân phổ biến của sốc tắc nghẽn bao gồm chèn ép tim, tràn khí màng phổi, thuyên tắc mạch phổi lớn hoặc thuyên tắc đường dẫn khí. Trong tùy trường hợp, sự giảm sức hút bên trái và/hoặc phải của tim dẫn đến giảm tiền gánh và giảm cung lượng tim.</w:t>
      </w:r>
    </w:p>
    <w:p>
      <w:pPr>
        <w:pStyle w:val="Heading3"/>
        <w:spacing w:before="152"/>
        <w:ind w:left="195"/>
        <w:rPr>
          <w:i/>
        </w:rPr>
      </w:pPr>
      <w:r>
        <w:rPr>
          <w:i/>
          <w:color w:val="8C91A1"/>
        </w:rPr>
        <w:t>Sốc phân bố</w:t>
      </w:r>
    </w:p>
    <w:p>
      <w:pPr>
        <w:pStyle w:val="BodyText"/>
        <w:spacing w:line="216" w:lineRule="auto" w:before="43"/>
        <w:ind w:left="195" w:right="1009"/>
      </w:pPr>
      <w:r>
        <w:rPr>
          <w:color w:val="1C1C1A"/>
        </w:rPr>
        <w:t>Sốc phân bố được mô tả là phản ứng của hệ tuần hoàn đặc trưng cho nhiều tình trạng khác nhau, bao gồm sốc nhiễm trùng, sốc phản vệ và chấn thương tủy sống. Sự tưới máu cơ quan không đủ đi cùng giãn mạch với hạ huyết áp, sức cản mạch hệ thống thấp, hậu gánh không đủ và kết quả của cung lượng tim cao bất</w:t>
      </w:r>
      <w:r>
        <w:rPr>
          <w:color w:val="1C1C1A"/>
          <w:spacing w:val="-2"/>
        </w:rPr>
        <w:t> </w:t>
      </w:r>
      <w:r>
        <w:rPr>
          <w:color w:val="1C1C1A"/>
        </w:rPr>
        <w:t>thường.</w:t>
      </w:r>
    </w:p>
    <w:p>
      <w:pPr>
        <w:pStyle w:val="BodyText"/>
        <w:spacing w:line="216" w:lineRule="auto" w:before="6"/>
        <w:ind w:left="195" w:right="858" w:firstLine="283"/>
      </w:pPr>
      <w:r>
        <w:rPr>
          <w:color w:val="1C1C1A"/>
        </w:rPr>
        <w:t>Trong sốc phản vệ, giãn mạch do giải phóng histamine, trong khi tổn thương tủy sống ở mức độ nặng làm mất dẫn truyền hệ thần kinh giao cảm và mất trương lực mạch (sốc thần kinh). Nguyên nhân do nhiễm trùng ít rõ ràng hơn nhưng có liên quan đến việc giải phóng các sản phẩm của vi khuẩn (nội độc tố), hoạt động tế bào và miễn dịch dịch thể. Có sự phân bố máu không tốt ở mức độ vi mạch với tình trạng tắc nghẽn động mạch và rối loạn chức năng oxy của tế bào.</w:t>
      </w:r>
    </w:p>
    <w:p>
      <w:pPr>
        <w:pStyle w:val="BodyText"/>
        <w:spacing w:line="223" w:lineRule="auto" w:before="11"/>
        <w:ind w:left="196" w:right="922" w:firstLine="283"/>
        <w:rPr>
          <w:rFonts w:ascii="High Tower Text" w:hAnsi="High Tower Text"/>
        </w:rPr>
      </w:pPr>
      <w:r>
        <w:rPr>
          <w:color w:val="1C1C1A"/>
        </w:rPr>
        <w:t>Trong các giai đoạn sau của sốc nhiễm trùng, có thể giảm thể tích máu do mất dịch vào khoảng kẽ và kèm theo suy cơ tim làm phức tạp thêm bệnh cảnh lâm sàng </w:t>
      </w:r>
      <w:r>
        <w:rPr>
          <w:rFonts w:ascii="High Tower Text" w:hAnsi="High Tower Text"/>
          <w:color w:val="1C1C1A"/>
        </w:rPr>
        <w:t>(</w:t>
      </w:r>
      <w:r>
        <w:rPr>
          <w:i/>
          <w:color w:val="0000FF"/>
        </w:rPr>
        <w:t>Bảng 2.1</w:t>
      </w:r>
      <w:r>
        <w:rPr>
          <w:rFonts w:ascii="High Tower Text" w:hAnsi="High Tower Text"/>
          <w:color w:val="1C1C1A"/>
        </w:rPr>
        <w:t>).</w:t>
      </w:r>
    </w:p>
    <w:p>
      <w:pPr>
        <w:pStyle w:val="Heading3"/>
        <w:spacing w:before="142"/>
        <w:ind w:left="195"/>
        <w:rPr>
          <w:i/>
        </w:rPr>
      </w:pPr>
      <w:r>
        <w:rPr>
          <w:i/>
          <w:color w:val="8C91A1"/>
        </w:rPr>
        <w:t>Sốc nội tiết</w:t>
      </w:r>
    </w:p>
    <w:p>
      <w:pPr>
        <w:pStyle w:val="BodyText"/>
        <w:spacing w:line="216" w:lineRule="auto" w:before="46"/>
        <w:ind w:left="159" w:right="808"/>
      </w:pPr>
      <w:r>
        <w:rPr>
          <w:color w:val="1C1C1A"/>
        </w:rPr>
        <w:t>Sốc nội tiết có thể biểu hiện như một sự kết hợp của sốc giảm thể tích tuần hoàn, sốc tim hoặc sốc phân bố. Nguyên nhân của sốc nội tiết bao gồm suy hoặc cường giáp và suy tuyến thượng thận. Suy giáp gây ra trạng thái sốc tương tự như sốc thần kinh do rối loạn phản ứng của mạch và tim đối với catecholamine lưu hành trong máu. Cung lượng tim giảm do co bóp yếu và nhịp tim chậm. Cũng có thể có liên quan tới một bệnh tim.</w:t>
      </w:r>
    </w:p>
    <w:p>
      <w:pPr>
        <w:pStyle w:val="BodyText"/>
        <w:spacing w:line="226" w:lineRule="exact" w:before="2"/>
        <w:ind w:left="159"/>
      </w:pPr>
      <w:r>
        <w:rPr>
          <w:color w:val="1C1C1A"/>
        </w:rPr>
        <w:t>Nhiễm độc giáp có thể gây suy tim cung lượng cao.</w:t>
      </w:r>
    </w:p>
    <w:p>
      <w:pPr>
        <w:pStyle w:val="BodyText"/>
        <w:spacing w:line="230" w:lineRule="auto" w:before="3"/>
        <w:ind w:left="159" w:right="941" w:firstLine="250"/>
      </w:pPr>
      <w:r>
        <w:rPr>
          <w:color w:val="1C1C1A"/>
        </w:rPr>
        <w:t>Suy tuyến thượng thận dẫn đến sốc do giảm thể tích máu, kém đáp ứng với catecholamine lưu hành trong máu và ngoại sinh. Suy tuyến thượng thận có thể có từ trước do bệnh Addison hoặc suy tương đối do tình trạng bệnh lý, chẳng hạn như nhiễm trùng toàn thân.</w:t>
      </w:r>
    </w:p>
    <w:p>
      <w:pPr>
        <w:spacing w:after="0" w:line="230" w:lineRule="auto"/>
        <w:sectPr>
          <w:type w:val="continuous"/>
          <w:pgSz w:w="12070" w:h="15650"/>
          <w:pgMar w:top="0" w:bottom="280" w:left="0" w:right="0"/>
          <w:cols w:num="2" w:equalWidth="0">
            <w:col w:w="5999" w:space="40"/>
            <w:col w:w="6031"/>
          </w:cols>
        </w:sectPr>
      </w:pPr>
    </w:p>
    <w:p>
      <w:pPr>
        <w:pStyle w:val="BodyText"/>
      </w:pPr>
    </w:p>
    <w:p>
      <w:pPr>
        <w:pStyle w:val="BodyText"/>
        <w:spacing w:before="7"/>
        <w:rPr>
          <w:sz w:val="27"/>
        </w:rPr>
      </w:pPr>
    </w:p>
    <w:p>
      <w:pPr>
        <w:pStyle w:val="BodyText"/>
        <w:spacing w:line="20" w:lineRule="exact"/>
        <w:ind w:left="1013"/>
        <w:rPr>
          <w:sz w:val="2"/>
        </w:rPr>
      </w:pPr>
      <w:r>
        <w:rPr>
          <w:sz w:val="2"/>
        </w:rPr>
        <w:pict>
          <v:group style="width:507.85pt;height:.5pt;mso-position-horizontal-relative:char;mso-position-vertical-relative:line" coordorigin="0,0" coordsize="10157,10">
            <v:line style="position:absolute" from="0,5" to="10157,5" stroked="true" strokeweight=".5pt" strokecolor="#745ba2">
              <v:stroke dashstyle="solid"/>
            </v:line>
          </v:group>
        </w:pict>
      </w:r>
      <w:r>
        <w:rPr>
          <w:sz w:val="2"/>
        </w:rPr>
      </w:r>
    </w:p>
    <w:p>
      <w:pPr>
        <w:spacing w:before="55"/>
        <w:ind w:left="1018" w:right="0" w:firstLine="0"/>
        <w:jc w:val="left"/>
        <w:rPr>
          <w:sz w:val="16"/>
        </w:rPr>
      </w:pPr>
      <w:r>
        <w:rPr>
          <w:b/>
          <w:color w:val="755BA3"/>
          <w:sz w:val="16"/>
        </w:rPr>
        <w:t>Thomas Addison</w:t>
      </w:r>
      <w:r>
        <w:rPr>
          <w:color w:val="575757"/>
          <w:sz w:val="16"/>
        </w:rPr>
        <w:t>, 1799–1860, bác sĩ, Bệnh viện Guy, London, Anh, được lấy tên cho bệnh của tuyến thượng thận vào năm 1849.</w:t>
      </w:r>
    </w:p>
    <w:p>
      <w:pPr>
        <w:spacing w:after="0"/>
        <w:jc w:val="left"/>
        <w:rPr>
          <w:sz w:val="16"/>
        </w:rPr>
        <w:sectPr>
          <w:type w:val="continuous"/>
          <w:pgSz w:w="12070" w:h="15650"/>
          <w:pgMar w:top="0" w:bottom="280" w:left="0" w:right="0"/>
        </w:sectPr>
      </w:pPr>
    </w:p>
    <w:p>
      <w:pPr>
        <w:pStyle w:val="BodyText"/>
      </w:pPr>
    </w:p>
    <w:p>
      <w:pPr>
        <w:pStyle w:val="BodyText"/>
        <w:spacing w:before="5"/>
        <w:rPr>
          <w:sz w:val="19"/>
        </w:rPr>
      </w:pPr>
    </w:p>
    <w:tbl>
      <w:tblPr>
        <w:tblW w:w="0" w:type="auto"/>
        <w:jc w:val="left"/>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030"/>
        <w:gridCol w:w="2030"/>
        <w:gridCol w:w="2030"/>
        <w:gridCol w:w="2030"/>
        <w:gridCol w:w="2030"/>
      </w:tblGrid>
      <w:tr>
        <w:trPr>
          <w:trHeight w:val="333" w:hRule="atLeast"/>
        </w:trPr>
        <w:tc>
          <w:tcPr>
            <w:tcW w:w="10150" w:type="dxa"/>
            <w:gridSpan w:val="5"/>
            <w:tcBorders>
              <w:top w:val="nil"/>
              <w:left w:val="nil"/>
              <w:right w:val="nil"/>
            </w:tcBorders>
            <w:shd w:val="clear" w:color="auto" w:fill="C5BBDD"/>
          </w:tcPr>
          <w:p>
            <w:pPr>
              <w:pStyle w:val="TableParagraph"/>
              <w:spacing w:before="80"/>
              <w:ind w:left="79"/>
              <w:rPr>
                <w:sz w:val="18"/>
              </w:rPr>
            </w:pPr>
            <w:bookmarkStart w:name="_bookmark0" w:id="1"/>
            <w:bookmarkEnd w:id="1"/>
            <w:r>
              <w:rPr/>
            </w:r>
            <w:r>
              <w:rPr>
                <w:b/>
                <w:color w:val="755BA3"/>
                <w:sz w:val="18"/>
              </w:rPr>
              <w:t>BẢNG 2.1 </w:t>
            </w:r>
            <w:r>
              <w:rPr>
                <w:color w:val="1C1C1A"/>
                <w:sz w:val="18"/>
              </w:rPr>
              <w:t>Đặc điểm tuần hoàn và chuyển hóa của sốc.</w:t>
            </w:r>
          </w:p>
        </w:tc>
      </w:tr>
      <w:tr>
        <w:trPr>
          <w:trHeight w:val="259" w:hRule="atLeast"/>
        </w:trPr>
        <w:tc>
          <w:tcPr>
            <w:tcW w:w="2030" w:type="dxa"/>
            <w:tcBorders>
              <w:left w:val="nil"/>
            </w:tcBorders>
            <w:shd w:val="clear" w:color="auto" w:fill="C5BBDD"/>
          </w:tcPr>
          <w:p>
            <w:pPr>
              <w:pStyle w:val="TableParagraph"/>
              <w:spacing w:before="0"/>
              <w:ind w:left="0"/>
              <w:rPr>
                <w:sz w:val="18"/>
              </w:rPr>
            </w:pPr>
          </w:p>
        </w:tc>
        <w:tc>
          <w:tcPr>
            <w:tcW w:w="2030" w:type="dxa"/>
            <w:shd w:val="clear" w:color="auto" w:fill="C5BBDD"/>
          </w:tcPr>
          <w:p>
            <w:pPr>
              <w:pStyle w:val="TableParagraph"/>
              <w:ind w:left="68"/>
              <w:rPr>
                <w:b/>
                <w:sz w:val="16"/>
              </w:rPr>
            </w:pPr>
            <w:r>
              <w:rPr>
                <w:b/>
                <w:color w:val="1C1C1A"/>
                <w:sz w:val="16"/>
              </w:rPr>
              <w:t>Giảm thể tích</w:t>
            </w:r>
          </w:p>
        </w:tc>
        <w:tc>
          <w:tcPr>
            <w:tcW w:w="2030" w:type="dxa"/>
            <w:shd w:val="clear" w:color="auto" w:fill="C5BBDD"/>
          </w:tcPr>
          <w:p>
            <w:pPr>
              <w:pStyle w:val="TableParagraph"/>
              <w:ind w:left="68"/>
              <w:rPr>
                <w:b/>
                <w:sz w:val="16"/>
              </w:rPr>
            </w:pPr>
            <w:r>
              <w:rPr>
                <w:b/>
                <w:color w:val="1C1C1A"/>
                <w:sz w:val="16"/>
              </w:rPr>
              <w:t>Tim</w:t>
            </w:r>
          </w:p>
        </w:tc>
        <w:tc>
          <w:tcPr>
            <w:tcW w:w="2030" w:type="dxa"/>
            <w:shd w:val="clear" w:color="auto" w:fill="C5BBDD"/>
          </w:tcPr>
          <w:p>
            <w:pPr>
              <w:pStyle w:val="TableParagraph"/>
              <w:ind w:left="68"/>
              <w:rPr>
                <w:b/>
                <w:sz w:val="16"/>
              </w:rPr>
            </w:pPr>
            <w:r>
              <w:rPr>
                <w:b/>
                <w:color w:val="1C1C1A"/>
                <w:sz w:val="16"/>
              </w:rPr>
              <w:t>Tắc nghẽn</w:t>
            </w:r>
          </w:p>
        </w:tc>
        <w:tc>
          <w:tcPr>
            <w:tcW w:w="2030" w:type="dxa"/>
            <w:tcBorders>
              <w:right w:val="nil"/>
            </w:tcBorders>
            <w:shd w:val="clear" w:color="auto" w:fill="C5BBDD"/>
          </w:tcPr>
          <w:p>
            <w:pPr>
              <w:pStyle w:val="TableParagraph"/>
              <w:ind w:left="67"/>
              <w:rPr>
                <w:b/>
                <w:sz w:val="16"/>
              </w:rPr>
            </w:pPr>
            <w:r>
              <w:rPr>
                <w:b/>
                <w:color w:val="1C1C1A"/>
                <w:sz w:val="16"/>
              </w:rPr>
              <w:t>Phân bố</w:t>
            </w:r>
          </w:p>
        </w:tc>
      </w:tr>
      <w:tr>
        <w:trPr>
          <w:trHeight w:val="449" w:hRule="atLeast"/>
        </w:trPr>
        <w:tc>
          <w:tcPr>
            <w:tcW w:w="2030" w:type="dxa"/>
            <w:tcBorders>
              <w:left w:val="nil"/>
            </w:tcBorders>
            <w:shd w:val="clear" w:color="auto" w:fill="E6E1D2"/>
          </w:tcPr>
          <w:p>
            <w:pPr>
              <w:pStyle w:val="TableParagraph"/>
              <w:spacing w:line="235" w:lineRule="auto" w:before="33"/>
              <w:ind w:left="79" w:right="763"/>
              <w:rPr>
                <w:sz w:val="16"/>
              </w:rPr>
            </w:pPr>
            <w:r>
              <w:rPr>
                <w:color w:val="1C1C1A"/>
                <w:sz w:val="16"/>
              </w:rPr>
              <w:t>Cung lượng tim Sức cản của mạch</w:t>
            </w:r>
          </w:p>
        </w:tc>
        <w:tc>
          <w:tcPr>
            <w:tcW w:w="2030" w:type="dxa"/>
            <w:shd w:val="clear" w:color="auto" w:fill="E6E1D2"/>
          </w:tcPr>
          <w:p>
            <w:pPr>
              <w:pStyle w:val="TableParagraph"/>
              <w:spacing w:line="235" w:lineRule="auto" w:before="33"/>
              <w:ind w:left="68" w:right="1593"/>
              <w:rPr>
                <w:sz w:val="16"/>
              </w:rPr>
            </w:pPr>
            <w:r>
              <w:rPr>
                <w:color w:val="1C1C1A"/>
                <w:sz w:val="16"/>
              </w:rPr>
              <w:t>Thấp Cao</w:t>
            </w:r>
          </w:p>
        </w:tc>
        <w:tc>
          <w:tcPr>
            <w:tcW w:w="2030" w:type="dxa"/>
            <w:shd w:val="clear" w:color="auto" w:fill="E6E1D2"/>
          </w:tcPr>
          <w:p>
            <w:pPr>
              <w:pStyle w:val="TableParagraph"/>
              <w:spacing w:line="181" w:lineRule="exact" w:before="32"/>
              <w:ind w:left="68"/>
              <w:rPr>
                <w:sz w:val="16"/>
              </w:rPr>
            </w:pPr>
            <w:r>
              <w:rPr>
                <w:color w:val="1C1C1A"/>
                <w:sz w:val="16"/>
              </w:rPr>
              <w:t>Thấp</w:t>
            </w:r>
          </w:p>
          <w:p>
            <w:pPr>
              <w:pStyle w:val="TableParagraph"/>
              <w:spacing w:line="181" w:lineRule="exact" w:before="0"/>
              <w:ind w:left="68"/>
              <w:rPr>
                <w:sz w:val="16"/>
              </w:rPr>
            </w:pPr>
            <w:r>
              <w:rPr>
                <w:color w:val="1C1C1A"/>
                <w:sz w:val="16"/>
              </w:rPr>
              <w:t>Cao</w:t>
            </w:r>
          </w:p>
        </w:tc>
        <w:tc>
          <w:tcPr>
            <w:tcW w:w="2030" w:type="dxa"/>
            <w:shd w:val="clear" w:color="auto" w:fill="E6E1D2"/>
          </w:tcPr>
          <w:p>
            <w:pPr>
              <w:pStyle w:val="TableParagraph"/>
              <w:spacing w:line="230" w:lineRule="auto" w:before="36"/>
              <w:ind w:left="68" w:right="1593"/>
              <w:rPr>
                <w:sz w:val="16"/>
              </w:rPr>
            </w:pPr>
            <w:r>
              <w:rPr>
                <w:color w:val="1C1C1A"/>
                <w:sz w:val="16"/>
              </w:rPr>
              <w:t>Thấp Cao</w:t>
            </w:r>
          </w:p>
        </w:tc>
        <w:tc>
          <w:tcPr>
            <w:tcW w:w="2030" w:type="dxa"/>
            <w:tcBorders>
              <w:right w:val="nil"/>
            </w:tcBorders>
            <w:shd w:val="clear" w:color="auto" w:fill="E6E1D2"/>
          </w:tcPr>
          <w:p>
            <w:pPr>
              <w:pStyle w:val="TableParagraph"/>
              <w:spacing w:line="230" w:lineRule="auto" w:before="36"/>
              <w:ind w:left="67" w:right="1604"/>
              <w:rPr>
                <w:sz w:val="16"/>
              </w:rPr>
            </w:pPr>
            <w:r>
              <w:rPr>
                <w:color w:val="1C1C1A"/>
                <w:sz w:val="16"/>
              </w:rPr>
              <w:t>Cao Thấp</w:t>
            </w:r>
          </w:p>
        </w:tc>
      </w:tr>
      <w:tr>
        <w:trPr>
          <w:trHeight w:val="259" w:hRule="atLeast"/>
        </w:trPr>
        <w:tc>
          <w:tcPr>
            <w:tcW w:w="2030" w:type="dxa"/>
            <w:tcBorders>
              <w:left w:val="nil"/>
            </w:tcBorders>
            <w:shd w:val="clear" w:color="auto" w:fill="E6E1D2"/>
          </w:tcPr>
          <w:p>
            <w:pPr>
              <w:pStyle w:val="TableParagraph"/>
              <w:ind w:left="79"/>
              <w:rPr>
                <w:sz w:val="16"/>
              </w:rPr>
            </w:pPr>
            <w:r>
              <w:rPr>
                <w:color w:val="1C1C1A"/>
                <w:sz w:val="16"/>
              </w:rPr>
              <w:t>Áp lực tĩnh mạch</w:t>
            </w:r>
          </w:p>
        </w:tc>
        <w:tc>
          <w:tcPr>
            <w:tcW w:w="2030" w:type="dxa"/>
            <w:shd w:val="clear" w:color="auto" w:fill="E6E1D2"/>
          </w:tcPr>
          <w:p>
            <w:pPr>
              <w:pStyle w:val="TableParagraph"/>
              <w:ind w:left="68"/>
              <w:rPr>
                <w:sz w:val="16"/>
              </w:rPr>
            </w:pPr>
            <w:r>
              <w:rPr>
                <w:color w:val="1C1C1A"/>
                <w:sz w:val="16"/>
              </w:rPr>
              <w:t>Thấp</w:t>
            </w:r>
          </w:p>
        </w:tc>
        <w:tc>
          <w:tcPr>
            <w:tcW w:w="2030" w:type="dxa"/>
            <w:shd w:val="clear" w:color="auto" w:fill="E6E1D2"/>
          </w:tcPr>
          <w:p>
            <w:pPr>
              <w:pStyle w:val="TableParagraph"/>
              <w:ind w:left="68"/>
              <w:rPr>
                <w:sz w:val="16"/>
              </w:rPr>
            </w:pPr>
            <w:r>
              <w:rPr>
                <w:color w:val="1C1C1A"/>
                <w:sz w:val="16"/>
              </w:rPr>
              <w:t>Cao</w:t>
            </w:r>
          </w:p>
        </w:tc>
        <w:tc>
          <w:tcPr>
            <w:tcW w:w="2030" w:type="dxa"/>
            <w:shd w:val="clear" w:color="auto" w:fill="E6E1D2"/>
          </w:tcPr>
          <w:p>
            <w:pPr>
              <w:pStyle w:val="TableParagraph"/>
              <w:ind w:left="68"/>
              <w:rPr>
                <w:sz w:val="16"/>
              </w:rPr>
            </w:pPr>
            <w:r>
              <w:rPr>
                <w:color w:val="1C1C1A"/>
                <w:sz w:val="16"/>
              </w:rPr>
              <w:t>Cao</w:t>
            </w:r>
          </w:p>
        </w:tc>
        <w:tc>
          <w:tcPr>
            <w:tcW w:w="2030" w:type="dxa"/>
            <w:tcBorders>
              <w:right w:val="nil"/>
            </w:tcBorders>
            <w:shd w:val="clear" w:color="auto" w:fill="E6E1D2"/>
          </w:tcPr>
          <w:p>
            <w:pPr>
              <w:pStyle w:val="TableParagraph"/>
              <w:ind w:left="67"/>
              <w:rPr>
                <w:sz w:val="16"/>
              </w:rPr>
            </w:pPr>
            <w:r>
              <w:rPr>
                <w:color w:val="1C1C1A"/>
                <w:sz w:val="16"/>
              </w:rPr>
              <w:t>Thấp</w:t>
            </w:r>
          </w:p>
        </w:tc>
      </w:tr>
      <w:tr>
        <w:trPr>
          <w:trHeight w:val="449" w:hRule="atLeast"/>
        </w:trPr>
        <w:tc>
          <w:tcPr>
            <w:tcW w:w="2030" w:type="dxa"/>
            <w:tcBorders>
              <w:left w:val="nil"/>
            </w:tcBorders>
            <w:shd w:val="clear" w:color="auto" w:fill="E6E1D2"/>
          </w:tcPr>
          <w:p>
            <w:pPr>
              <w:pStyle w:val="TableParagraph"/>
              <w:spacing w:line="235" w:lineRule="auto" w:before="41"/>
              <w:ind w:left="79" w:right="139"/>
              <w:rPr>
                <w:sz w:val="16"/>
              </w:rPr>
            </w:pPr>
            <w:r>
              <w:rPr>
                <w:color w:val="1C1C1A"/>
                <w:sz w:val="16"/>
              </w:rPr>
              <w:t>Bão hòa oxy tĩnh mạch trộn Base thâm hụt</w:t>
            </w:r>
          </w:p>
        </w:tc>
        <w:tc>
          <w:tcPr>
            <w:tcW w:w="2030" w:type="dxa"/>
            <w:shd w:val="clear" w:color="auto" w:fill="E6E1D2"/>
          </w:tcPr>
          <w:p>
            <w:pPr>
              <w:pStyle w:val="TableParagraph"/>
              <w:spacing w:line="230" w:lineRule="auto" w:before="36"/>
              <w:ind w:left="68" w:right="1593"/>
              <w:rPr>
                <w:sz w:val="16"/>
              </w:rPr>
            </w:pPr>
            <w:r>
              <w:rPr>
                <w:color w:val="1C1C1A"/>
                <w:sz w:val="16"/>
              </w:rPr>
              <w:t>Thấp Cao</w:t>
            </w:r>
          </w:p>
        </w:tc>
        <w:tc>
          <w:tcPr>
            <w:tcW w:w="2030" w:type="dxa"/>
            <w:shd w:val="clear" w:color="auto" w:fill="E6E1D2"/>
          </w:tcPr>
          <w:p>
            <w:pPr>
              <w:pStyle w:val="TableParagraph"/>
              <w:spacing w:line="230" w:lineRule="auto" w:before="36"/>
              <w:ind w:left="68" w:right="1593"/>
              <w:rPr>
                <w:sz w:val="16"/>
              </w:rPr>
            </w:pPr>
            <w:r>
              <w:rPr>
                <w:color w:val="1C1C1A"/>
                <w:sz w:val="16"/>
              </w:rPr>
              <w:t>Thấp Cao</w:t>
            </w:r>
          </w:p>
        </w:tc>
        <w:tc>
          <w:tcPr>
            <w:tcW w:w="2030" w:type="dxa"/>
            <w:shd w:val="clear" w:color="auto" w:fill="E6E1D2"/>
          </w:tcPr>
          <w:p>
            <w:pPr>
              <w:pStyle w:val="TableParagraph"/>
              <w:spacing w:line="230" w:lineRule="auto" w:before="36"/>
              <w:ind w:left="68" w:right="1593"/>
              <w:rPr>
                <w:sz w:val="16"/>
              </w:rPr>
            </w:pPr>
            <w:r>
              <w:rPr>
                <w:color w:val="1C1C1A"/>
                <w:sz w:val="16"/>
              </w:rPr>
              <w:t>Thấp Cao</w:t>
            </w:r>
          </w:p>
        </w:tc>
        <w:tc>
          <w:tcPr>
            <w:tcW w:w="2030" w:type="dxa"/>
            <w:tcBorders>
              <w:right w:val="nil"/>
            </w:tcBorders>
            <w:shd w:val="clear" w:color="auto" w:fill="E6E1D2"/>
          </w:tcPr>
          <w:p>
            <w:pPr>
              <w:pStyle w:val="TableParagraph"/>
              <w:spacing w:line="230" w:lineRule="auto" w:before="36"/>
              <w:ind w:left="67" w:right="1675"/>
              <w:rPr>
                <w:sz w:val="16"/>
              </w:rPr>
            </w:pPr>
            <w:r>
              <w:rPr>
                <w:color w:val="1C1C1A"/>
                <w:sz w:val="16"/>
              </w:rPr>
              <w:t>Cao Cao</w:t>
            </w:r>
          </w:p>
        </w:tc>
      </w:tr>
    </w:tbl>
    <w:p>
      <w:pPr>
        <w:pStyle w:val="BodyText"/>
        <w:spacing w:before="1"/>
        <w:rPr>
          <w:sz w:val="21"/>
        </w:rPr>
      </w:pPr>
    </w:p>
    <w:p>
      <w:pPr>
        <w:spacing w:after="0"/>
        <w:rPr>
          <w:sz w:val="21"/>
        </w:rPr>
        <w:sectPr>
          <w:headerReference w:type="even" r:id="rId6"/>
          <w:headerReference w:type="default" r:id="rId7"/>
          <w:pgSz w:w="12070" w:h="15650"/>
          <w:pgMar w:header="0" w:footer="0" w:top="960" w:bottom="280" w:left="0" w:right="0"/>
          <w:pgNumType w:start="14"/>
        </w:sectPr>
      </w:pPr>
    </w:p>
    <w:p>
      <w:pPr>
        <w:pStyle w:val="Heading2"/>
        <w:spacing w:before="88"/>
      </w:pPr>
      <w:r>
        <w:rPr>
          <w:color w:val="7E8597"/>
        </w:rPr>
        <w:t>Mức độ của sốc</w:t>
      </w:r>
    </w:p>
    <w:p>
      <w:pPr>
        <w:pStyle w:val="Heading3"/>
        <w:spacing w:before="68"/>
        <w:ind w:left="905"/>
        <w:rPr>
          <w:i/>
        </w:rPr>
      </w:pPr>
      <w:r>
        <w:rPr>
          <w:i/>
          <w:color w:val="8C91A1"/>
        </w:rPr>
        <w:t>Sốc còn bù</w:t>
      </w:r>
    </w:p>
    <w:p>
      <w:pPr>
        <w:pStyle w:val="BodyText"/>
        <w:spacing w:line="216" w:lineRule="auto" w:before="33"/>
        <w:ind w:left="905" w:right="-20"/>
      </w:pPr>
      <w:r>
        <w:rPr>
          <w:color w:val="1C1C1A"/>
        </w:rPr>
        <w:t>Khi sốc tiến triển, cơ thể phản ứng lại qua nội tiết và tuần hoàn bằng cách giảm lưu lượng máu đến các cơ quan không cần thiết để duy trì tiền gánh và lưu lượng máu đến phổi và não. Trong sốc còn bù, đảm bảo duy trì thể tích máu trung tâm, bảo toàn lưu lượng máu đến thận, phổi và não. Ngoài việc nhịp tim nhanh và ngoại vi lạnh (co mạch, catecholamine lưu hành trong máu), có thể không có dấu hiệu lâm sàng nào khác thể hiện giảm thể tích tuần hoàn.</w:t>
      </w:r>
    </w:p>
    <w:p>
      <w:pPr>
        <w:pStyle w:val="BodyText"/>
        <w:spacing w:line="216" w:lineRule="auto" w:before="8"/>
        <w:ind w:left="905" w:right="54" w:firstLine="250"/>
      </w:pPr>
      <w:r>
        <w:rPr>
          <w:color w:val="1C1C1A"/>
        </w:rPr>
        <w:t>Tuy nhiên, trạng thái này chỉ được duy trì bằng việc giảm tưới máu đến da, cơ và đường tiêu hóa. Vì thế có sự nhiễm toan chuyển hóa, kích hoạt hệ thống thể dịch và tế bào trong các cơ quan bị giảm cung cấp máu. Mặc dù về mặt lâm sàng bị ẩn đi, trạng thái này sẽ dẫn đến suy đa tạng và tử vong nếu kéo dài, do </w:t>
      </w:r>
      <w:r>
        <w:rPr>
          <w:b/>
          <w:color w:val="1C1C1A"/>
        </w:rPr>
        <w:t>Hội chứng thiếu máu cục bộ - tái tưới máu</w:t>
      </w:r>
      <w:r>
        <w:rPr>
          <w:color w:val="1C1C1A"/>
        </w:rPr>
        <w:t>.</w:t>
      </w:r>
    </w:p>
    <w:p>
      <w:pPr>
        <w:pStyle w:val="BodyText"/>
        <w:spacing w:line="216" w:lineRule="auto" w:before="6"/>
        <w:ind w:left="905"/>
      </w:pPr>
      <w:r>
        <w:rPr>
          <w:color w:val="1C1C1A"/>
        </w:rPr>
        <w:t>Bệnh nhân bị giảm tưới máu thể ẩn (nhiễm toan chuyển hóa mặc dù lượng nước tiểu và các dấu hiệu sinh tồn bình</w:t>
      </w:r>
      <w:r>
        <w:rPr>
          <w:color w:val="1C1C1A"/>
          <w:spacing w:val="-27"/>
        </w:rPr>
        <w:t> </w:t>
      </w:r>
      <w:r>
        <w:rPr>
          <w:color w:val="1C1C1A"/>
        </w:rPr>
        <w:t>thường) trong hơn 12 giờ có tỷ lệ tử vong, tỷ lệ nhiễm trùng huyết và tỷ</w:t>
      </w:r>
      <w:r>
        <w:rPr>
          <w:color w:val="1C1C1A"/>
          <w:spacing w:val="-5"/>
        </w:rPr>
        <w:t> </w:t>
      </w:r>
      <w:r>
        <w:rPr>
          <w:color w:val="1C1C1A"/>
        </w:rPr>
        <w:t>lệ</w:t>
      </w:r>
      <w:r>
        <w:rPr>
          <w:color w:val="1C1C1A"/>
          <w:spacing w:val="-5"/>
        </w:rPr>
        <w:t> </w:t>
      </w:r>
      <w:r>
        <w:rPr>
          <w:color w:val="1C1C1A"/>
        </w:rPr>
        <w:t>suy</w:t>
      </w:r>
      <w:r>
        <w:rPr>
          <w:color w:val="1C1C1A"/>
          <w:spacing w:val="-5"/>
        </w:rPr>
        <w:t> </w:t>
      </w:r>
      <w:r>
        <w:rPr>
          <w:color w:val="1C1C1A"/>
        </w:rPr>
        <w:t>đa</w:t>
      </w:r>
      <w:r>
        <w:rPr>
          <w:color w:val="1C1C1A"/>
          <w:spacing w:val="-4"/>
        </w:rPr>
        <w:t> </w:t>
      </w:r>
      <w:r>
        <w:rPr>
          <w:color w:val="1C1C1A"/>
        </w:rPr>
        <w:t>tạng</w:t>
      </w:r>
      <w:r>
        <w:rPr>
          <w:color w:val="1C1C1A"/>
          <w:spacing w:val="-5"/>
        </w:rPr>
        <w:t> </w:t>
      </w:r>
      <w:r>
        <w:rPr>
          <w:color w:val="1C1C1A"/>
        </w:rPr>
        <w:t>cao</w:t>
      </w:r>
      <w:r>
        <w:rPr>
          <w:color w:val="1C1C1A"/>
          <w:spacing w:val="-4"/>
        </w:rPr>
        <w:t> </w:t>
      </w:r>
      <w:r>
        <w:rPr>
          <w:color w:val="1C1C1A"/>
        </w:rPr>
        <w:t>đáng</w:t>
      </w:r>
      <w:r>
        <w:rPr>
          <w:color w:val="1C1C1A"/>
          <w:spacing w:val="-4"/>
        </w:rPr>
        <w:t> </w:t>
      </w:r>
      <w:r>
        <w:rPr>
          <w:color w:val="1C1C1A"/>
        </w:rPr>
        <w:t>kể</w:t>
      </w:r>
      <w:r>
        <w:rPr>
          <w:color w:val="1C1C1A"/>
          <w:spacing w:val="-5"/>
        </w:rPr>
        <w:t> </w:t>
      </w:r>
      <w:r>
        <w:rPr>
          <w:color w:val="1C1C1A"/>
        </w:rPr>
        <w:t>(xem</w:t>
      </w:r>
      <w:r>
        <w:rPr>
          <w:color w:val="1C1C1A"/>
          <w:spacing w:val="-5"/>
        </w:rPr>
        <w:t> </w:t>
      </w:r>
      <w:r>
        <w:rPr>
          <w:color w:val="1C1C1A"/>
        </w:rPr>
        <w:t>bên</w:t>
      </w:r>
      <w:r>
        <w:rPr>
          <w:color w:val="1C1C1A"/>
          <w:spacing w:val="-4"/>
        </w:rPr>
        <w:t> </w:t>
      </w:r>
      <w:r>
        <w:rPr>
          <w:color w:val="1C1C1A"/>
        </w:rPr>
        <w:t>dưới,</w:t>
      </w:r>
      <w:r>
        <w:rPr>
          <w:color w:val="1C1C1A"/>
          <w:spacing w:val="-6"/>
        </w:rPr>
        <w:t> </w:t>
      </w:r>
      <w:r>
        <w:rPr>
          <w:b/>
          <w:color w:val="1C1C1A"/>
        </w:rPr>
        <w:t>Suy</w:t>
      </w:r>
      <w:r>
        <w:rPr>
          <w:b/>
          <w:color w:val="1C1C1A"/>
          <w:spacing w:val="-4"/>
        </w:rPr>
        <w:t> </w:t>
      </w:r>
      <w:r>
        <w:rPr>
          <w:b/>
          <w:color w:val="1C1C1A"/>
        </w:rPr>
        <w:t>đa</w:t>
      </w:r>
      <w:r>
        <w:rPr>
          <w:b/>
          <w:color w:val="1C1C1A"/>
          <w:spacing w:val="-5"/>
        </w:rPr>
        <w:t> </w:t>
      </w:r>
      <w:r>
        <w:rPr>
          <w:b/>
          <w:color w:val="1C1C1A"/>
        </w:rPr>
        <w:t>tạng</w:t>
      </w:r>
      <w:r>
        <w:rPr>
          <w:color w:val="1C1C1A"/>
        </w:rPr>
        <w:t>).</w:t>
      </w:r>
    </w:p>
    <w:p>
      <w:pPr>
        <w:pStyle w:val="Heading3"/>
        <w:spacing w:line="272" w:lineRule="exact" w:before="192"/>
        <w:ind w:left="905"/>
        <w:rPr>
          <w:i/>
        </w:rPr>
      </w:pPr>
      <w:r>
        <w:rPr>
          <w:i/>
          <w:color w:val="8C91A1"/>
        </w:rPr>
        <w:t>Mất bù</w:t>
      </w:r>
    </w:p>
    <w:p>
      <w:pPr>
        <w:pStyle w:val="BodyText"/>
        <w:spacing w:line="216" w:lineRule="auto" w:before="14"/>
        <w:ind w:left="905" w:right="54"/>
      </w:pPr>
      <w:r>
        <w:rPr>
          <w:color w:val="1C1C1A"/>
        </w:rPr>
        <w:t>Việc mất thêm thể tích tuần hoàn sẽ làm quá tải các cơ chế bù trừ của cơ thể và dẫn đến tình trạng mất bù tiến triển ở thận, hô hấp và tim mạch. Nói chung, mất khoảng 15% thể tích tuần hoàn thì cơ thể có thể bù đắp. Huyết áp thường được duy trì tốt và chỉ giảm sau khi mất 30-40% thể tích</w:t>
      </w:r>
      <w:r>
        <w:rPr>
          <w:color w:val="1C1C1A"/>
          <w:spacing w:val="-20"/>
        </w:rPr>
        <w:t> </w:t>
      </w:r>
      <w:r>
        <w:rPr>
          <w:color w:val="1C1C1A"/>
        </w:rPr>
        <w:t>tuần hoàn.</w:t>
      </w:r>
    </w:p>
    <w:p>
      <w:pPr>
        <w:pStyle w:val="Heading3"/>
        <w:spacing w:line="272" w:lineRule="exact" w:before="175"/>
        <w:ind w:left="889"/>
        <w:rPr>
          <w:i/>
        </w:rPr>
      </w:pPr>
      <w:r>
        <w:rPr>
          <w:i/>
          <w:color w:val="8C91A1"/>
        </w:rPr>
        <w:t>Sốc nhẹ</w:t>
      </w:r>
    </w:p>
    <w:p>
      <w:pPr>
        <w:pStyle w:val="BodyText"/>
        <w:spacing w:line="216" w:lineRule="auto" w:before="14"/>
        <w:ind w:left="905"/>
      </w:pPr>
      <w:r>
        <w:rPr>
          <w:color w:val="1C1C1A"/>
        </w:rPr>
        <w:t>Ban đầu là nhịp tim nhanh, thở nhanh, lượng nước tiểu giảm nhẹ và bệnh nhân có thể có biểu hiện lo lắng nhẹ. Huyết áp được duy trì mặc dù có giảm áp lực mạch. Ngoại vi lạnh và nhiều mồ hôi với thời gian hồi máu mao mạch kéo dài hơn (ngoại trừ trong sốc phân bố nhiễm khuẩn).</w:t>
      </w:r>
    </w:p>
    <w:p>
      <w:pPr>
        <w:pStyle w:val="Heading3"/>
        <w:spacing w:before="97"/>
        <w:ind w:left="206"/>
        <w:rPr>
          <w:i/>
        </w:rPr>
      </w:pPr>
      <w:r>
        <w:rPr>
          <w:b w:val="0"/>
          <w:i w:val="0"/>
        </w:rPr>
        <w:br w:type="column"/>
      </w:r>
      <w:r>
        <w:rPr>
          <w:i/>
          <w:color w:val="8C91A1"/>
        </w:rPr>
        <w:t>Sốc trung bình</w:t>
      </w:r>
    </w:p>
    <w:p>
      <w:pPr>
        <w:pStyle w:val="BodyText"/>
        <w:spacing w:line="220" w:lineRule="auto" w:before="34"/>
        <w:ind w:left="205" w:right="999"/>
      </w:pPr>
      <w:r>
        <w:rPr>
          <w:color w:val="1C1C1A"/>
        </w:rPr>
        <w:t>Khi tình trạng sốc tiến triển, cơ chế bù trừ của thận không đủ, tưới máu thận giảm và lượng nước tiểu giảm xuống dưới 0.5 mL/kg/h. Có thêm nhịp tim nhanh, và bây giờ huyết áp bắt đầu giảm. Bệnh nhân buồn ngủ và lú lẫn nhẹ.</w:t>
      </w:r>
    </w:p>
    <w:p>
      <w:pPr>
        <w:pStyle w:val="BodyText"/>
        <w:rPr>
          <w:sz w:val="24"/>
        </w:rPr>
      </w:pPr>
    </w:p>
    <w:p>
      <w:pPr>
        <w:pStyle w:val="Heading3"/>
        <w:ind w:left="206"/>
        <w:jc w:val="both"/>
        <w:rPr>
          <w:i/>
        </w:rPr>
      </w:pPr>
      <w:r>
        <w:rPr>
          <w:i/>
          <w:color w:val="8C91A1"/>
        </w:rPr>
        <w:t>Sốc nặng</w:t>
      </w:r>
    </w:p>
    <w:p>
      <w:pPr>
        <w:pStyle w:val="BodyText"/>
        <w:spacing w:line="220" w:lineRule="auto" w:before="34"/>
        <w:ind w:left="205" w:right="1020"/>
        <w:jc w:val="both"/>
      </w:pPr>
      <w:r>
        <w:rPr>
          <w:color w:val="1C1C1A"/>
        </w:rPr>
        <w:t>Trong tình trạng sốc nặng, có nhịp tim nhanh và hạ huyết áp. Lượng nước tiểu giảm xuống 0 và bệnh nhân hôn mê với tình trạng suy hô hấp.</w:t>
      </w:r>
    </w:p>
    <w:p>
      <w:pPr>
        <w:pStyle w:val="BodyText"/>
        <w:spacing w:before="10"/>
        <w:rPr>
          <w:sz w:val="23"/>
        </w:rPr>
      </w:pPr>
    </w:p>
    <w:p>
      <w:pPr>
        <w:pStyle w:val="Heading3"/>
        <w:ind w:left="206"/>
        <w:rPr>
          <w:i/>
        </w:rPr>
      </w:pPr>
      <w:r>
        <w:rPr>
          <w:i/>
          <w:color w:val="8C91A1"/>
        </w:rPr>
        <w:t>Những sai lầm</w:t>
      </w:r>
    </w:p>
    <w:p>
      <w:pPr>
        <w:pStyle w:val="BodyText"/>
        <w:spacing w:line="220" w:lineRule="auto" w:before="34"/>
        <w:ind w:left="205" w:right="985"/>
      </w:pPr>
      <w:r>
        <w:rPr>
          <w:color w:val="1C1C1A"/>
        </w:rPr>
        <w:t>Các dấu hiện điển hình được miêu tả (</w:t>
      </w:r>
      <w:r>
        <w:rPr>
          <w:i/>
          <w:color w:val="0000FF"/>
        </w:rPr>
        <w:t>Bảng 2.2</w:t>
      </w:r>
      <w:r>
        <w:rPr>
          <w:color w:val="1C1C1A"/>
        </w:rPr>
        <w:t>) không gặp ở mọi bệnh nhân. Điều quan trọng cần nhận ra những </w:t>
      </w:r>
      <w:hyperlink w:history="true" w:anchor="_bookmark0">
        <w:r>
          <w:rPr>
            <w:color w:val="1C1C1A"/>
          </w:rPr>
          <w:t>hạn chế</w:t>
        </w:r>
      </w:hyperlink>
      <w:r>
        <w:rPr>
          <w:color w:val="1C1C1A"/>
        </w:rPr>
        <w:t> của khám lâm sàng và nhận biết bệnh nhân sốc mặc dù không có dấu hiệu điển hình.</w:t>
      </w:r>
    </w:p>
    <w:p>
      <w:pPr>
        <w:pStyle w:val="BodyText"/>
        <w:spacing w:before="6"/>
        <w:rPr>
          <w:sz w:val="26"/>
        </w:rPr>
      </w:pPr>
    </w:p>
    <w:p>
      <w:pPr>
        <w:pStyle w:val="Heading4"/>
        <w:ind w:left="206"/>
      </w:pPr>
      <w:r>
        <w:rPr>
          <w:color w:val="7E8597"/>
        </w:rPr>
        <w:t>HỒI MÁU MAO MẠCH</w:t>
      </w:r>
    </w:p>
    <w:p>
      <w:pPr>
        <w:pStyle w:val="BodyText"/>
        <w:spacing w:line="220" w:lineRule="auto" w:before="43"/>
        <w:ind w:left="205" w:right="955"/>
      </w:pPr>
      <w:r>
        <w:rPr>
          <w:color w:val="1C1C1A"/>
        </w:rPr>
        <w:t>Hầu hết bệnh nhân trong tình trạng sốc giảm thể tích tuần hoàn có biểu hiện lạnh, nhợt nhạt, thời gian hồi máu mao mạch kéo dài. Tuy nhiên, thời gian hồi máu mao mạch trong thực tế khác nhau ở nhiều người nên đây không phải là dấu hiệu để xác định bệnh nhân có sốc hay không và những bệnh nhân có thời gian hồi máu mao mạch ngắn vẫn có thể ở giai đoạn đầu của sốc. Trong sốc phân bố (nhiễm trùng huyết), các vùng ngoại vi sẽ ấm lên và quá trình hồi máu mao mạch sẽ diễn ra nhanh chóng, mặc dù sốc nặng.</w:t>
      </w:r>
    </w:p>
    <w:p>
      <w:pPr>
        <w:pStyle w:val="BodyText"/>
        <w:spacing w:before="7"/>
        <w:rPr>
          <w:sz w:val="27"/>
        </w:rPr>
      </w:pPr>
    </w:p>
    <w:p>
      <w:pPr>
        <w:pStyle w:val="Heading4"/>
        <w:ind w:left="206"/>
      </w:pPr>
      <w:r>
        <w:rPr>
          <w:color w:val="7E8597"/>
        </w:rPr>
        <w:t>NHỊP TIM NHANH</w:t>
      </w:r>
    </w:p>
    <w:p>
      <w:pPr>
        <w:pStyle w:val="BodyText"/>
        <w:spacing w:line="220" w:lineRule="auto" w:before="43"/>
        <w:ind w:left="205" w:right="960"/>
      </w:pPr>
      <w:r>
        <w:rPr>
          <w:color w:val="1C1C1A"/>
        </w:rPr>
        <w:t>Nhịp tim nhanh có thể không phải lúc nào cũng đi kèm với sốc. Những bệnh nhân đang sử dụng betablockers hoặc những người đã gắn máy tạo nhịp tim không thể tạo nhịp tim nhanh. Nhịp tim 80 lần ở một thanh niên khỏe mạnh mà bình thường có nhịp tim 50 lần là rất bất thường. Hơn nữa, ở một số bệnh nhân trẻ bị vết thương xuyên thấu, có xuất huyết nhưng tổn thương mô ít, có thể có nhịp chậm nghịch lý hơn là nhịp tim nhanh kèm theo trạng thái sốc.</w:t>
      </w:r>
    </w:p>
    <w:p>
      <w:pPr>
        <w:spacing w:after="0" w:line="220" w:lineRule="auto"/>
        <w:sectPr>
          <w:type w:val="continuous"/>
          <w:pgSz w:w="12070" w:h="15650"/>
          <w:pgMar w:top="0" w:bottom="280" w:left="0" w:right="0"/>
          <w:cols w:num="2" w:equalWidth="0">
            <w:col w:w="5876" w:space="40"/>
            <w:col w:w="6154"/>
          </w:cols>
        </w:sectPr>
      </w:pPr>
    </w:p>
    <w:p>
      <w:pPr>
        <w:pStyle w:val="BodyText"/>
      </w:pPr>
    </w:p>
    <w:p>
      <w:pPr>
        <w:pStyle w:val="BodyText"/>
      </w:pPr>
    </w:p>
    <w:p>
      <w:pPr>
        <w:pStyle w:val="BodyText"/>
        <w:spacing w:before="10"/>
        <w:rPr>
          <w:sz w:val="16"/>
        </w:rPr>
      </w:pPr>
    </w:p>
    <w:tbl>
      <w:tblPr>
        <w:tblW w:w="0" w:type="auto"/>
        <w:jc w:val="left"/>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030"/>
        <w:gridCol w:w="2030"/>
        <w:gridCol w:w="2030"/>
        <w:gridCol w:w="2030"/>
        <w:gridCol w:w="2030"/>
      </w:tblGrid>
      <w:tr>
        <w:trPr>
          <w:trHeight w:val="333" w:hRule="atLeast"/>
        </w:trPr>
        <w:tc>
          <w:tcPr>
            <w:tcW w:w="10150" w:type="dxa"/>
            <w:gridSpan w:val="5"/>
            <w:tcBorders>
              <w:top w:val="nil"/>
              <w:left w:val="nil"/>
              <w:right w:val="nil"/>
            </w:tcBorders>
            <w:shd w:val="clear" w:color="auto" w:fill="C5BBDD"/>
          </w:tcPr>
          <w:p>
            <w:pPr>
              <w:pStyle w:val="TableParagraph"/>
              <w:spacing w:before="80"/>
              <w:ind w:left="79"/>
              <w:rPr>
                <w:sz w:val="18"/>
              </w:rPr>
            </w:pPr>
            <w:r>
              <w:rPr>
                <w:b/>
                <w:color w:val="755BA3"/>
                <w:sz w:val="18"/>
              </w:rPr>
              <w:t>BẢNG 2.2 </w:t>
            </w:r>
            <w:r>
              <w:rPr>
                <w:color w:val="1C1C1A"/>
                <w:sz w:val="18"/>
              </w:rPr>
              <w:t>Đặc điểm lâm sàng của sốc.</w:t>
            </w:r>
          </w:p>
        </w:tc>
      </w:tr>
      <w:tr>
        <w:trPr>
          <w:trHeight w:val="259" w:hRule="atLeast"/>
        </w:trPr>
        <w:tc>
          <w:tcPr>
            <w:tcW w:w="2030" w:type="dxa"/>
            <w:tcBorders>
              <w:left w:val="nil"/>
            </w:tcBorders>
            <w:shd w:val="clear" w:color="auto" w:fill="C5BBDD"/>
          </w:tcPr>
          <w:p>
            <w:pPr>
              <w:pStyle w:val="TableParagraph"/>
              <w:spacing w:before="0"/>
              <w:ind w:left="0"/>
              <w:rPr>
                <w:sz w:val="18"/>
              </w:rPr>
            </w:pPr>
          </w:p>
        </w:tc>
        <w:tc>
          <w:tcPr>
            <w:tcW w:w="2030" w:type="dxa"/>
            <w:shd w:val="clear" w:color="auto" w:fill="C5BBDD"/>
          </w:tcPr>
          <w:p>
            <w:pPr>
              <w:pStyle w:val="TableParagraph"/>
              <w:ind w:left="68"/>
              <w:rPr>
                <w:b/>
                <w:sz w:val="16"/>
              </w:rPr>
            </w:pPr>
            <w:r>
              <w:rPr>
                <w:b/>
                <w:color w:val="1C1C1A"/>
                <w:sz w:val="16"/>
              </w:rPr>
              <w:t>Còn bù</w:t>
            </w:r>
          </w:p>
        </w:tc>
        <w:tc>
          <w:tcPr>
            <w:tcW w:w="2030" w:type="dxa"/>
            <w:shd w:val="clear" w:color="auto" w:fill="C5BBDD"/>
          </w:tcPr>
          <w:p>
            <w:pPr>
              <w:pStyle w:val="TableParagraph"/>
              <w:ind w:left="68"/>
              <w:rPr>
                <w:b/>
                <w:sz w:val="16"/>
              </w:rPr>
            </w:pPr>
            <w:r>
              <w:rPr>
                <w:b/>
                <w:color w:val="1C1C1A"/>
                <w:sz w:val="16"/>
              </w:rPr>
              <w:t>Nhẹ</w:t>
            </w:r>
          </w:p>
        </w:tc>
        <w:tc>
          <w:tcPr>
            <w:tcW w:w="2030" w:type="dxa"/>
            <w:shd w:val="clear" w:color="auto" w:fill="C5BBDD"/>
          </w:tcPr>
          <w:p>
            <w:pPr>
              <w:pStyle w:val="TableParagraph"/>
              <w:ind w:left="68"/>
              <w:rPr>
                <w:b/>
                <w:sz w:val="16"/>
              </w:rPr>
            </w:pPr>
            <w:r>
              <w:rPr>
                <w:b/>
                <w:color w:val="1C1C1A"/>
                <w:sz w:val="16"/>
              </w:rPr>
              <w:t>Trung bình</w:t>
            </w:r>
          </w:p>
        </w:tc>
        <w:tc>
          <w:tcPr>
            <w:tcW w:w="2030" w:type="dxa"/>
            <w:tcBorders>
              <w:right w:val="nil"/>
            </w:tcBorders>
            <w:shd w:val="clear" w:color="auto" w:fill="C5BBDD"/>
          </w:tcPr>
          <w:p>
            <w:pPr>
              <w:pStyle w:val="TableParagraph"/>
              <w:ind w:left="67"/>
              <w:rPr>
                <w:b/>
                <w:sz w:val="16"/>
              </w:rPr>
            </w:pPr>
            <w:r>
              <w:rPr>
                <w:b/>
                <w:color w:val="1C1C1A"/>
                <w:sz w:val="16"/>
              </w:rPr>
              <w:t>Nặng</w:t>
            </w:r>
          </w:p>
        </w:tc>
      </w:tr>
      <w:tr>
        <w:trPr>
          <w:trHeight w:val="474" w:hRule="atLeast"/>
        </w:trPr>
        <w:tc>
          <w:tcPr>
            <w:tcW w:w="2030" w:type="dxa"/>
            <w:tcBorders>
              <w:left w:val="nil"/>
              <w:bottom w:val="nil"/>
            </w:tcBorders>
            <w:shd w:val="clear" w:color="auto" w:fill="E6E1D2"/>
          </w:tcPr>
          <w:p>
            <w:pPr>
              <w:pStyle w:val="TableParagraph"/>
              <w:spacing w:before="66"/>
              <w:ind w:left="79"/>
              <w:rPr>
                <w:sz w:val="16"/>
              </w:rPr>
            </w:pPr>
            <w:r>
              <w:rPr>
                <w:color w:val="1C1C1A"/>
                <w:sz w:val="16"/>
              </w:rPr>
              <w:t>Nhiễm acid lactic</w:t>
            </w:r>
          </w:p>
          <w:p>
            <w:pPr>
              <w:pStyle w:val="TableParagraph"/>
              <w:spacing w:line="164" w:lineRule="exact" w:before="39"/>
              <w:ind w:left="79"/>
              <w:rPr>
                <w:sz w:val="16"/>
              </w:rPr>
            </w:pPr>
            <w:r>
              <w:rPr>
                <w:color w:val="1C1C1A"/>
                <w:sz w:val="16"/>
              </w:rPr>
              <w:t>Lượng nước tiểu</w:t>
            </w:r>
          </w:p>
        </w:tc>
        <w:tc>
          <w:tcPr>
            <w:tcW w:w="2030" w:type="dxa"/>
            <w:tcBorders>
              <w:bottom w:val="nil"/>
            </w:tcBorders>
            <w:shd w:val="clear" w:color="auto" w:fill="E6E1D2"/>
          </w:tcPr>
          <w:p>
            <w:pPr>
              <w:pStyle w:val="TableParagraph"/>
              <w:spacing w:before="48"/>
              <w:ind w:left="74"/>
              <w:rPr>
                <w:sz w:val="16"/>
              </w:rPr>
            </w:pPr>
            <w:r>
              <w:rPr>
                <w:color w:val="1C1C1A"/>
                <w:w w:val="99"/>
                <w:sz w:val="16"/>
              </w:rPr>
              <w:t>+</w:t>
            </w:r>
          </w:p>
          <w:p>
            <w:pPr>
              <w:pStyle w:val="TableParagraph"/>
              <w:spacing w:before="12"/>
              <w:ind w:left="74"/>
              <w:rPr>
                <w:sz w:val="16"/>
              </w:rPr>
            </w:pPr>
            <w:r>
              <w:rPr>
                <w:color w:val="1C1C1A"/>
                <w:sz w:val="16"/>
              </w:rPr>
              <w:t>Bình thường</w:t>
            </w:r>
          </w:p>
        </w:tc>
        <w:tc>
          <w:tcPr>
            <w:tcW w:w="2030" w:type="dxa"/>
            <w:tcBorders>
              <w:bottom w:val="nil"/>
            </w:tcBorders>
            <w:shd w:val="clear" w:color="auto" w:fill="E6E1D2"/>
          </w:tcPr>
          <w:p>
            <w:pPr>
              <w:pStyle w:val="TableParagraph"/>
              <w:ind w:left="68"/>
              <w:rPr>
                <w:sz w:val="16"/>
              </w:rPr>
            </w:pPr>
            <w:r>
              <w:rPr>
                <w:color w:val="1C1C1A"/>
                <w:sz w:val="16"/>
              </w:rPr>
              <w:t>++</w:t>
            </w:r>
          </w:p>
          <w:p>
            <w:pPr>
              <w:pStyle w:val="TableParagraph"/>
              <w:spacing w:before="39"/>
              <w:ind w:left="68"/>
              <w:rPr>
                <w:sz w:val="16"/>
              </w:rPr>
            </w:pPr>
            <w:r>
              <w:rPr>
                <w:color w:val="1C1C1A"/>
                <w:sz w:val="16"/>
              </w:rPr>
              <w:t>Bình thường</w:t>
            </w:r>
          </w:p>
        </w:tc>
        <w:tc>
          <w:tcPr>
            <w:tcW w:w="2030" w:type="dxa"/>
            <w:tcBorders>
              <w:bottom w:val="nil"/>
            </w:tcBorders>
            <w:shd w:val="clear" w:color="auto" w:fill="E6E1D2"/>
          </w:tcPr>
          <w:p>
            <w:pPr>
              <w:pStyle w:val="TableParagraph"/>
              <w:spacing w:before="29"/>
              <w:ind w:left="68"/>
              <w:rPr>
                <w:sz w:val="16"/>
              </w:rPr>
            </w:pPr>
            <w:r>
              <w:rPr>
                <w:color w:val="1C1C1A"/>
                <w:sz w:val="16"/>
              </w:rPr>
              <w:t>++</w:t>
            </w:r>
          </w:p>
          <w:p>
            <w:pPr>
              <w:pStyle w:val="TableParagraph"/>
              <w:spacing w:before="39"/>
              <w:ind w:left="68"/>
              <w:rPr>
                <w:sz w:val="16"/>
              </w:rPr>
            </w:pPr>
            <w:r>
              <w:rPr>
                <w:color w:val="1C1C1A"/>
                <w:sz w:val="16"/>
              </w:rPr>
              <w:t>Giảm</w:t>
            </w:r>
          </w:p>
        </w:tc>
        <w:tc>
          <w:tcPr>
            <w:tcW w:w="2030" w:type="dxa"/>
            <w:tcBorders>
              <w:bottom w:val="nil"/>
              <w:right w:val="nil"/>
            </w:tcBorders>
            <w:shd w:val="clear" w:color="auto" w:fill="E6E1D2"/>
          </w:tcPr>
          <w:p>
            <w:pPr>
              <w:pStyle w:val="TableParagraph"/>
              <w:spacing w:before="29"/>
              <w:ind w:left="67"/>
              <w:rPr>
                <w:sz w:val="16"/>
              </w:rPr>
            </w:pPr>
            <w:r>
              <w:rPr>
                <w:color w:val="1C1C1A"/>
                <w:sz w:val="16"/>
              </w:rPr>
              <w:t>+++</w:t>
            </w:r>
          </w:p>
          <w:p>
            <w:pPr>
              <w:pStyle w:val="TableParagraph"/>
              <w:spacing w:before="39"/>
              <w:ind w:left="67"/>
              <w:rPr>
                <w:sz w:val="16"/>
              </w:rPr>
            </w:pPr>
            <w:r>
              <w:rPr>
                <w:color w:val="1C1C1A"/>
                <w:sz w:val="16"/>
              </w:rPr>
              <w:t>Vô niệu</w:t>
            </w:r>
          </w:p>
        </w:tc>
      </w:tr>
      <w:tr>
        <w:trPr>
          <w:trHeight w:val="226" w:hRule="atLeast"/>
        </w:trPr>
        <w:tc>
          <w:tcPr>
            <w:tcW w:w="2030" w:type="dxa"/>
            <w:tcBorders>
              <w:top w:val="nil"/>
              <w:left w:val="nil"/>
              <w:bottom w:val="nil"/>
            </w:tcBorders>
            <w:shd w:val="clear" w:color="auto" w:fill="E6E1D2"/>
          </w:tcPr>
          <w:p>
            <w:pPr>
              <w:pStyle w:val="TableParagraph"/>
              <w:spacing w:line="168" w:lineRule="exact" w:before="38"/>
              <w:ind w:left="79"/>
              <w:rPr>
                <w:sz w:val="16"/>
              </w:rPr>
            </w:pPr>
            <w:r>
              <w:rPr>
                <w:color w:val="1C1C1A"/>
                <w:sz w:val="16"/>
              </w:rPr>
              <w:t>Ý thức</w:t>
            </w:r>
          </w:p>
        </w:tc>
        <w:tc>
          <w:tcPr>
            <w:tcW w:w="2030" w:type="dxa"/>
            <w:tcBorders>
              <w:top w:val="nil"/>
              <w:bottom w:val="nil"/>
            </w:tcBorders>
            <w:shd w:val="clear" w:color="auto" w:fill="E6E1D2"/>
          </w:tcPr>
          <w:p>
            <w:pPr>
              <w:pStyle w:val="TableParagraph"/>
              <w:spacing w:line="178" w:lineRule="exact" w:before="0"/>
              <w:ind w:left="74"/>
              <w:rPr>
                <w:sz w:val="16"/>
              </w:rPr>
            </w:pPr>
            <w:r>
              <w:rPr>
                <w:color w:val="1C1C1A"/>
                <w:sz w:val="16"/>
              </w:rPr>
              <w:t>Bình thường</w:t>
            </w:r>
          </w:p>
        </w:tc>
        <w:tc>
          <w:tcPr>
            <w:tcW w:w="2030" w:type="dxa"/>
            <w:tcBorders>
              <w:top w:val="nil"/>
              <w:bottom w:val="nil"/>
            </w:tcBorders>
            <w:shd w:val="clear" w:color="auto" w:fill="E6E1D2"/>
          </w:tcPr>
          <w:p>
            <w:pPr>
              <w:pStyle w:val="TableParagraph"/>
              <w:spacing w:before="1"/>
              <w:ind w:left="68"/>
              <w:rPr>
                <w:sz w:val="16"/>
              </w:rPr>
            </w:pPr>
            <w:r>
              <w:rPr>
                <w:color w:val="1C1C1A"/>
                <w:sz w:val="16"/>
              </w:rPr>
              <w:t>Lo lắng nhẹ</w:t>
            </w:r>
          </w:p>
        </w:tc>
        <w:tc>
          <w:tcPr>
            <w:tcW w:w="2030" w:type="dxa"/>
            <w:tcBorders>
              <w:top w:val="nil"/>
              <w:bottom w:val="nil"/>
            </w:tcBorders>
            <w:shd w:val="clear" w:color="auto" w:fill="E6E1D2"/>
          </w:tcPr>
          <w:p>
            <w:pPr>
              <w:pStyle w:val="TableParagraph"/>
              <w:spacing w:before="1"/>
              <w:ind w:left="68"/>
              <w:rPr>
                <w:sz w:val="16"/>
              </w:rPr>
            </w:pPr>
            <w:r>
              <w:rPr>
                <w:color w:val="1C1C1A"/>
                <w:sz w:val="16"/>
              </w:rPr>
              <w:t>Mệt mỏi</w:t>
            </w:r>
          </w:p>
        </w:tc>
        <w:tc>
          <w:tcPr>
            <w:tcW w:w="2030" w:type="dxa"/>
            <w:tcBorders>
              <w:top w:val="nil"/>
              <w:bottom w:val="nil"/>
              <w:right w:val="nil"/>
            </w:tcBorders>
            <w:shd w:val="clear" w:color="auto" w:fill="E6E1D2"/>
          </w:tcPr>
          <w:p>
            <w:pPr>
              <w:pStyle w:val="TableParagraph"/>
              <w:spacing w:before="1"/>
              <w:ind w:left="67"/>
              <w:rPr>
                <w:sz w:val="16"/>
              </w:rPr>
            </w:pPr>
            <w:r>
              <w:rPr>
                <w:color w:val="1C1C1A"/>
                <w:sz w:val="16"/>
              </w:rPr>
              <w:t>Hôn mê</w:t>
            </w:r>
          </w:p>
        </w:tc>
      </w:tr>
      <w:tr>
        <w:trPr>
          <w:trHeight w:val="223" w:hRule="atLeast"/>
        </w:trPr>
        <w:tc>
          <w:tcPr>
            <w:tcW w:w="2030" w:type="dxa"/>
            <w:tcBorders>
              <w:top w:val="nil"/>
              <w:left w:val="nil"/>
              <w:bottom w:val="nil"/>
            </w:tcBorders>
            <w:shd w:val="clear" w:color="auto" w:fill="E6E1D2"/>
          </w:tcPr>
          <w:p>
            <w:pPr>
              <w:pStyle w:val="TableParagraph"/>
              <w:spacing w:line="168" w:lineRule="exact" w:before="34"/>
              <w:ind w:left="79"/>
              <w:rPr>
                <w:sz w:val="16"/>
              </w:rPr>
            </w:pPr>
            <w:r>
              <w:rPr>
                <w:color w:val="1C1C1A"/>
                <w:sz w:val="16"/>
              </w:rPr>
              <w:t>Tần số hô hấp</w:t>
            </w:r>
          </w:p>
        </w:tc>
        <w:tc>
          <w:tcPr>
            <w:tcW w:w="2030" w:type="dxa"/>
            <w:tcBorders>
              <w:top w:val="nil"/>
              <w:bottom w:val="nil"/>
            </w:tcBorders>
            <w:shd w:val="clear" w:color="auto" w:fill="E6E1D2"/>
          </w:tcPr>
          <w:p>
            <w:pPr>
              <w:pStyle w:val="TableParagraph"/>
              <w:spacing w:before="0"/>
              <w:ind w:left="74"/>
              <w:rPr>
                <w:sz w:val="16"/>
              </w:rPr>
            </w:pPr>
            <w:r>
              <w:rPr>
                <w:color w:val="1C1C1A"/>
                <w:sz w:val="16"/>
              </w:rPr>
              <w:t>Bình thường</w:t>
            </w:r>
          </w:p>
        </w:tc>
        <w:tc>
          <w:tcPr>
            <w:tcW w:w="2030" w:type="dxa"/>
            <w:tcBorders>
              <w:top w:val="nil"/>
              <w:bottom w:val="nil"/>
            </w:tcBorders>
            <w:shd w:val="clear" w:color="auto" w:fill="E6E1D2"/>
          </w:tcPr>
          <w:p>
            <w:pPr>
              <w:pStyle w:val="TableParagraph"/>
              <w:spacing w:line="182" w:lineRule="exact" w:before="0"/>
              <w:ind w:left="68"/>
              <w:rPr>
                <w:sz w:val="16"/>
              </w:rPr>
            </w:pPr>
            <w:r>
              <w:rPr>
                <w:color w:val="1C1C1A"/>
                <w:sz w:val="16"/>
              </w:rPr>
              <w:t>Tăng</w:t>
            </w:r>
          </w:p>
        </w:tc>
        <w:tc>
          <w:tcPr>
            <w:tcW w:w="2030" w:type="dxa"/>
            <w:tcBorders>
              <w:top w:val="nil"/>
              <w:bottom w:val="nil"/>
            </w:tcBorders>
            <w:shd w:val="clear" w:color="auto" w:fill="E6E1D2"/>
          </w:tcPr>
          <w:p>
            <w:pPr>
              <w:pStyle w:val="TableParagraph"/>
              <w:spacing w:line="182" w:lineRule="exact" w:before="0"/>
              <w:ind w:left="68"/>
              <w:rPr>
                <w:sz w:val="16"/>
              </w:rPr>
            </w:pPr>
            <w:r>
              <w:rPr>
                <w:color w:val="1C1C1A"/>
                <w:sz w:val="16"/>
              </w:rPr>
              <w:t>Tăng</w:t>
            </w:r>
          </w:p>
        </w:tc>
        <w:tc>
          <w:tcPr>
            <w:tcW w:w="2030" w:type="dxa"/>
            <w:tcBorders>
              <w:top w:val="nil"/>
              <w:bottom w:val="nil"/>
              <w:right w:val="nil"/>
            </w:tcBorders>
            <w:shd w:val="clear" w:color="auto" w:fill="E6E1D2"/>
          </w:tcPr>
          <w:p>
            <w:pPr>
              <w:pStyle w:val="TableParagraph"/>
              <w:spacing w:line="182" w:lineRule="exact" w:before="0"/>
              <w:ind w:left="67"/>
              <w:rPr>
                <w:sz w:val="16"/>
              </w:rPr>
            </w:pPr>
            <w:r>
              <w:rPr>
                <w:color w:val="1C1C1A"/>
                <w:sz w:val="16"/>
              </w:rPr>
              <w:t>Khó thở</w:t>
            </w:r>
          </w:p>
        </w:tc>
      </w:tr>
      <w:tr>
        <w:trPr>
          <w:trHeight w:val="232" w:hRule="atLeast"/>
        </w:trPr>
        <w:tc>
          <w:tcPr>
            <w:tcW w:w="2030" w:type="dxa"/>
            <w:tcBorders>
              <w:top w:val="nil"/>
              <w:left w:val="nil"/>
              <w:bottom w:val="nil"/>
            </w:tcBorders>
            <w:shd w:val="clear" w:color="auto" w:fill="E6E1D2"/>
          </w:tcPr>
          <w:p>
            <w:pPr>
              <w:pStyle w:val="TableParagraph"/>
              <w:spacing w:line="178" w:lineRule="exact" w:before="34"/>
              <w:ind w:left="79"/>
              <w:rPr>
                <w:sz w:val="16"/>
              </w:rPr>
            </w:pPr>
            <w:r>
              <w:rPr>
                <w:color w:val="1C1C1A"/>
                <w:sz w:val="16"/>
              </w:rPr>
              <w:t>Tần số tim</w:t>
            </w:r>
          </w:p>
        </w:tc>
        <w:tc>
          <w:tcPr>
            <w:tcW w:w="2030" w:type="dxa"/>
            <w:tcBorders>
              <w:top w:val="nil"/>
              <w:bottom w:val="nil"/>
            </w:tcBorders>
            <w:shd w:val="clear" w:color="auto" w:fill="E6E1D2"/>
          </w:tcPr>
          <w:p>
            <w:pPr>
              <w:pStyle w:val="TableParagraph"/>
              <w:spacing w:before="1"/>
              <w:ind w:left="74"/>
              <w:rPr>
                <w:sz w:val="16"/>
              </w:rPr>
            </w:pPr>
            <w:r>
              <w:rPr>
                <w:color w:val="1C1C1A"/>
                <w:sz w:val="16"/>
              </w:rPr>
              <w:t>Tăng nhẹ</w:t>
            </w:r>
          </w:p>
        </w:tc>
        <w:tc>
          <w:tcPr>
            <w:tcW w:w="2030" w:type="dxa"/>
            <w:tcBorders>
              <w:top w:val="nil"/>
              <w:bottom w:val="nil"/>
            </w:tcBorders>
            <w:shd w:val="clear" w:color="auto" w:fill="E6E1D2"/>
          </w:tcPr>
          <w:p>
            <w:pPr>
              <w:pStyle w:val="TableParagraph"/>
              <w:spacing w:line="183" w:lineRule="exact" w:before="0"/>
              <w:ind w:left="68"/>
              <w:rPr>
                <w:sz w:val="16"/>
              </w:rPr>
            </w:pPr>
            <w:r>
              <w:rPr>
                <w:color w:val="1C1C1A"/>
                <w:sz w:val="16"/>
              </w:rPr>
              <w:t>Tăng</w:t>
            </w:r>
          </w:p>
        </w:tc>
        <w:tc>
          <w:tcPr>
            <w:tcW w:w="2030" w:type="dxa"/>
            <w:tcBorders>
              <w:top w:val="nil"/>
              <w:bottom w:val="nil"/>
            </w:tcBorders>
            <w:shd w:val="clear" w:color="auto" w:fill="E6E1D2"/>
          </w:tcPr>
          <w:p>
            <w:pPr>
              <w:pStyle w:val="TableParagraph"/>
              <w:spacing w:before="8"/>
              <w:ind w:left="68"/>
              <w:rPr>
                <w:sz w:val="16"/>
              </w:rPr>
            </w:pPr>
            <w:r>
              <w:rPr>
                <w:color w:val="1C1C1A"/>
                <w:sz w:val="16"/>
              </w:rPr>
              <w:t>Tăng</w:t>
            </w:r>
          </w:p>
        </w:tc>
        <w:tc>
          <w:tcPr>
            <w:tcW w:w="2030" w:type="dxa"/>
            <w:tcBorders>
              <w:top w:val="nil"/>
              <w:bottom w:val="nil"/>
              <w:right w:val="nil"/>
            </w:tcBorders>
            <w:shd w:val="clear" w:color="auto" w:fill="E6E1D2"/>
          </w:tcPr>
          <w:p>
            <w:pPr>
              <w:pStyle w:val="TableParagraph"/>
              <w:spacing w:line="182" w:lineRule="exact" w:before="0"/>
              <w:ind w:left="67"/>
              <w:rPr>
                <w:sz w:val="16"/>
              </w:rPr>
            </w:pPr>
            <w:r>
              <w:rPr>
                <w:color w:val="1C1C1A"/>
                <w:sz w:val="16"/>
              </w:rPr>
              <w:t>Tăng</w:t>
            </w:r>
          </w:p>
        </w:tc>
      </w:tr>
      <w:tr>
        <w:trPr>
          <w:trHeight w:val="265" w:hRule="atLeast"/>
        </w:trPr>
        <w:tc>
          <w:tcPr>
            <w:tcW w:w="2030" w:type="dxa"/>
            <w:tcBorders>
              <w:top w:val="nil"/>
              <w:left w:val="nil"/>
            </w:tcBorders>
            <w:shd w:val="clear" w:color="auto" w:fill="E6E1D2"/>
          </w:tcPr>
          <w:p>
            <w:pPr>
              <w:pStyle w:val="TableParagraph"/>
              <w:spacing w:before="25"/>
              <w:ind w:left="79"/>
              <w:rPr>
                <w:sz w:val="16"/>
              </w:rPr>
            </w:pPr>
            <w:r>
              <w:rPr>
                <w:color w:val="1C1C1A"/>
                <w:sz w:val="16"/>
              </w:rPr>
              <w:t>Huyết áp</w:t>
            </w:r>
          </w:p>
        </w:tc>
        <w:tc>
          <w:tcPr>
            <w:tcW w:w="2030" w:type="dxa"/>
            <w:tcBorders>
              <w:top w:val="nil"/>
            </w:tcBorders>
            <w:shd w:val="clear" w:color="auto" w:fill="E6E1D2"/>
          </w:tcPr>
          <w:p>
            <w:pPr>
              <w:pStyle w:val="TableParagraph"/>
              <w:ind w:left="74"/>
              <w:rPr>
                <w:sz w:val="16"/>
              </w:rPr>
            </w:pPr>
            <w:r>
              <w:rPr>
                <w:color w:val="1C1C1A"/>
                <w:sz w:val="16"/>
              </w:rPr>
              <w:t>Bình thường</w:t>
            </w:r>
          </w:p>
        </w:tc>
        <w:tc>
          <w:tcPr>
            <w:tcW w:w="2030" w:type="dxa"/>
            <w:tcBorders>
              <w:top w:val="nil"/>
            </w:tcBorders>
            <w:shd w:val="clear" w:color="auto" w:fill="E6E1D2"/>
          </w:tcPr>
          <w:p>
            <w:pPr>
              <w:pStyle w:val="TableParagraph"/>
              <w:spacing w:before="17"/>
              <w:ind w:left="68"/>
              <w:rPr>
                <w:sz w:val="16"/>
              </w:rPr>
            </w:pPr>
            <w:r>
              <w:rPr>
                <w:color w:val="1C1C1A"/>
                <w:sz w:val="16"/>
              </w:rPr>
              <w:t>Bình thường</w:t>
            </w:r>
          </w:p>
        </w:tc>
        <w:tc>
          <w:tcPr>
            <w:tcW w:w="2030" w:type="dxa"/>
            <w:tcBorders>
              <w:top w:val="nil"/>
            </w:tcBorders>
            <w:shd w:val="clear" w:color="auto" w:fill="E6E1D2"/>
          </w:tcPr>
          <w:p>
            <w:pPr>
              <w:pStyle w:val="TableParagraph"/>
              <w:spacing w:before="17"/>
              <w:ind w:left="68"/>
              <w:rPr>
                <w:sz w:val="16"/>
              </w:rPr>
            </w:pPr>
            <w:r>
              <w:rPr>
                <w:color w:val="1C1C1A"/>
                <w:sz w:val="16"/>
              </w:rPr>
              <w:t>Giảm nhẹ</w:t>
            </w:r>
          </w:p>
        </w:tc>
        <w:tc>
          <w:tcPr>
            <w:tcW w:w="2030" w:type="dxa"/>
            <w:tcBorders>
              <w:top w:val="nil"/>
              <w:right w:val="nil"/>
            </w:tcBorders>
            <w:shd w:val="clear" w:color="auto" w:fill="E6E1D2"/>
          </w:tcPr>
          <w:p>
            <w:pPr>
              <w:pStyle w:val="TableParagraph"/>
              <w:spacing w:before="7"/>
              <w:ind w:left="67"/>
              <w:rPr>
                <w:sz w:val="16"/>
              </w:rPr>
            </w:pPr>
            <w:r>
              <w:rPr>
                <w:color w:val="1C1C1A"/>
                <w:sz w:val="16"/>
              </w:rPr>
              <w:t>Giảm nghiêm trọng</w:t>
            </w:r>
          </w:p>
        </w:tc>
      </w:tr>
    </w:tbl>
    <w:p>
      <w:pPr>
        <w:spacing w:after="0"/>
        <w:rPr>
          <w:sz w:val="16"/>
        </w:rPr>
        <w:sectPr>
          <w:type w:val="continuous"/>
          <w:pgSz w:w="12070" w:h="15650"/>
          <w:pgMar w:top="0" w:bottom="280" w:left="0" w:right="0"/>
        </w:sectPr>
      </w:pPr>
    </w:p>
    <w:p>
      <w:pPr>
        <w:pStyle w:val="BodyText"/>
        <w:spacing w:before="11"/>
        <w:rPr>
          <w:sz w:val="26"/>
        </w:rPr>
      </w:pPr>
    </w:p>
    <w:p>
      <w:pPr>
        <w:spacing w:after="0"/>
        <w:rPr>
          <w:sz w:val="26"/>
        </w:rPr>
        <w:sectPr>
          <w:pgSz w:w="12070" w:h="15650"/>
          <w:pgMar w:header="0" w:footer="0" w:top="960" w:bottom="280" w:left="0" w:right="0"/>
        </w:sectPr>
      </w:pPr>
    </w:p>
    <w:p>
      <w:pPr>
        <w:pStyle w:val="Heading4"/>
        <w:spacing w:before="107"/>
      </w:pPr>
      <w:r>
        <w:rPr>
          <w:color w:val="7E8597"/>
        </w:rPr>
        <w:t>HUYẾT ÁP</w:t>
      </w:r>
    </w:p>
    <w:p>
      <w:pPr>
        <w:pStyle w:val="BodyText"/>
        <w:spacing w:line="216" w:lineRule="auto" w:before="43"/>
        <w:ind w:left="1018" w:right="148"/>
      </w:pPr>
      <w:r>
        <w:rPr>
          <w:color w:val="1C1C1A"/>
        </w:rPr>
        <w:t>Điều quan trọng là phải hiểu được rằng hạ huyết áp là một trong những dấu hiệu cuối cùng của sốc. Trẻ em và thanh niên khỏe mạnh có thể duy trì huyết áp đến giai đoạn cuối của sốc bằng cách tăng mạnh thể tích tâm thu và co mạch ngoại vi. Những bệnh nhân này có thể bị sốc nặng với huyết áp bình thường.</w:t>
      </w:r>
    </w:p>
    <w:p>
      <w:pPr>
        <w:pStyle w:val="BodyText"/>
        <w:spacing w:line="216" w:lineRule="auto" w:before="6"/>
        <w:ind w:left="1018" w:right="6" w:firstLine="283"/>
      </w:pPr>
      <w:r>
        <w:rPr>
          <w:color w:val="1C1C1A"/>
        </w:rPr>
        <w:t>Bệnh nhân cao tuổi thường có huyết áp cao hơn so với huyết áp 'bình thường' của dân số chung nhưng lại là giảm thể tích và hạ huyết áp so với huyết áp bình thường của họ.</w:t>
      </w:r>
    </w:p>
    <w:p>
      <w:pPr>
        <w:pStyle w:val="BodyText"/>
        <w:spacing w:line="216" w:lineRule="auto" w:before="3"/>
        <w:ind w:left="1018" w:right="190"/>
        <w:jc w:val="both"/>
      </w:pPr>
      <w:r>
        <w:rPr>
          <w:color w:val="1C1C1A"/>
        </w:rPr>
        <w:t>Betablockers hoặc các loại thuốc khác có thể ngăn chặn</w:t>
      </w:r>
      <w:r>
        <w:rPr>
          <w:color w:val="1C1C1A"/>
          <w:spacing w:val="-21"/>
        </w:rPr>
        <w:t> </w:t>
      </w:r>
      <w:r>
        <w:rPr>
          <w:color w:val="1C1C1A"/>
        </w:rPr>
        <w:t>đáp ứng tăng nhịp tim. Việc chẩn đoán sốc có thể khó khăn nên cần phải cảnh giác với những sai lầm</w:t>
      </w:r>
      <w:r>
        <w:rPr>
          <w:color w:val="1C1C1A"/>
          <w:spacing w:val="-9"/>
        </w:rPr>
        <w:t> </w:t>
      </w:r>
      <w:r>
        <w:rPr>
          <w:color w:val="1C1C1A"/>
        </w:rPr>
        <w:t>này.</w:t>
      </w:r>
    </w:p>
    <w:p>
      <w:pPr>
        <w:pStyle w:val="BodyText"/>
        <w:rPr>
          <w:sz w:val="22"/>
        </w:rPr>
      </w:pPr>
    </w:p>
    <w:p>
      <w:pPr>
        <w:pStyle w:val="Heading2"/>
        <w:spacing w:before="186"/>
        <w:ind w:left="1018"/>
      </w:pPr>
      <w:r>
        <w:rPr>
          <w:color w:val="7E8597"/>
        </w:rPr>
        <w:t>Hậu quả</w:t>
      </w:r>
    </w:p>
    <w:p>
      <w:pPr>
        <w:pStyle w:val="Heading3"/>
        <w:spacing w:before="67"/>
        <w:rPr>
          <w:i/>
        </w:rPr>
      </w:pPr>
      <w:r>
        <w:rPr>
          <w:i/>
          <w:color w:val="8C91A1"/>
        </w:rPr>
        <w:t>Sốc không thể hồi phục</w:t>
      </w:r>
    </w:p>
    <w:p>
      <w:pPr>
        <w:pStyle w:val="BodyText"/>
        <w:spacing w:line="216" w:lineRule="auto" w:before="30"/>
        <w:ind w:left="1018" w:right="192"/>
      </w:pPr>
      <w:r>
        <w:rPr>
          <w:color w:val="1C1C1A"/>
        </w:rPr>
        <w:t>Bệnh nhân bị sốc nặng trong thời gian dài sẽ 'không thể hồi phục'. Tế bào chết đi từ khi thiếu máu cục bộ và cơ thể mất khả năng bù đắp. Suy tim xảy ra, mất khả năng đáp ứng với dịch bù và thuốc hỗ trợ tăng co. Ở ngoại vi, hệ thống mạch mất khả năng duy trì sức cản mạch hệ thống và huyết áp tiếp tục hạ. Ngoại vi không còn đáp ứng với các loại thuốc vận mạch. Cái chết là hậu quả tất yếu.</w:t>
      </w:r>
    </w:p>
    <w:p>
      <w:pPr>
        <w:pStyle w:val="BodyText"/>
        <w:spacing w:line="219" w:lineRule="exact" w:before="8"/>
        <w:ind w:left="1290"/>
      </w:pPr>
      <w:r>
        <w:rPr>
          <w:color w:val="1C1C1A"/>
        </w:rPr>
        <w:t>Giai đoạn này của sốc là hậu quả nghiệm trọng của sự</w:t>
      </w:r>
    </w:p>
    <w:p>
      <w:pPr>
        <w:pStyle w:val="BodyText"/>
        <w:spacing w:line="216" w:lineRule="auto" w:before="7"/>
        <w:ind w:left="1007" w:right="-6"/>
      </w:pPr>
      <w:r>
        <w:rPr>
          <w:color w:val="1C1C1A"/>
        </w:rPr>
        <w:t>chủ quan và hồi sức chậm trễ, không đầy đủ hoặc không thích hợp trong giai đoạn trước của sốc. Ngược lại, khi bệnh nhân ở giai đoạn muộn của sốc, và đáp ứng tối thiểu với các liệu</w:t>
      </w:r>
      <w:r>
        <w:rPr>
          <w:color w:val="1C1C1A"/>
          <w:spacing w:val="-18"/>
        </w:rPr>
        <w:t> </w:t>
      </w:r>
      <w:r>
        <w:rPr>
          <w:color w:val="1C1C1A"/>
        </w:rPr>
        <w:t>pháp điều trị tối ưu, điều quan trọng cần phải nhận ra sự vô nghĩa trong điều trị và tránh lãng phí nguồn lực quý</w:t>
      </w:r>
      <w:r>
        <w:rPr>
          <w:color w:val="1C1C1A"/>
          <w:spacing w:val="-6"/>
        </w:rPr>
        <w:t> </w:t>
      </w:r>
      <w:r>
        <w:rPr>
          <w:color w:val="1C1C1A"/>
        </w:rPr>
        <w:t>giá.</w:t>
      </w:r>
    </w:p>
    <w:p>
      <w:pPr>
        <w:pStyle w:val="BodyText"/>
        <w:spacing w:before="8"/>
      </w:pPr>
    </w:p>
    <w:p>
      <w:pPr>
        <w:pStyle w:val="Heading3"/>
        <w:spacing w:line="273" w:lineRule="exact"/>
        <w:rPr>
          <w:i/>
        </w:rPr>
      </w:pPr>
      <w:r>
        <w:rPr>
          <w:i/>
          <w:color w:val="8C91A1"/>
        </w:rPr>
        <w:t>Suy đa tạng</w:t>
      </w:r>
    </w:p>
    <w:p>
      <w:pPr>
        <w:pStyle w:val="BodyText"/>
        <w:spacing w:line="216" w:lineRule="auto" w:before="16"/>
        <w:ind w:left="1018"/>
      </w:pPr>
      <w:r>
        <w:rPr>
          <w:color w:val="1C1C1A"/>
        </w:rPr>
        <w:t>Khi các kỹ thuật hồi sức được cải thiện, càng có nhiều hơn bệnh nhân sống sót sau sốc. Can thiệp kịp thời và hạn chế</w:t>
      </w:r>
      <w:r>
        <w:rPr>
          <w:color w:val="1C1C1A"/>
          <w:spacing w:val="-18"/>
        </w:rPr>
        <w:t> </w:t>
      </w:r>
      <w:r>
        <w:rPr>
          <w:color w:val="1C1C1A"/>
        </w:rPr>
        <w:t>thời gian sốc, bệnh nhân có thể nhanh chóng hồi phục, không biến chứng. Tuy nhiên, hậu quả của tình trạng thiếu máu cục bộ hệ thống kéo dài và tái tưới máu ở tổn thương gây tổn thương nội tạng và suy đa</w:t>
      </w:r>
      <w:r>
        <w:rPr>
          <w:color w:val="1C1C1A"/>
          <w:spacing w:val="-3"/>
        </w:rPr>
        <w:t> </w:t>
      </w:r>
      <w:r>
        <w:rPr>
          <w:color w:val="1C1C1A"/>
        </w:rPr>
        <w:t>tạng.</w:t>
      </w:r>
    </w:p>
    <w:p>
      <w:pPr>
        <w:pStyle w:val="BodyText"/>
        <w:spacing w:line="216" w:lineRule="auto" w:before="26"/>
        <w:ind w:left="1018" w:right="-13" w:firstLine="283"/>
      </w:pPr>
      <w:r>
        <w:rPr>
          <w:color w:val="1C1C1A"/>
        </w:rPr>
        <w:t>Suy đa tạng được định nghĩa là hai hoặc nhiều hệ thống cơ quan bị tổn thương. Không có điều trị đặc hiệu cho suy đa tạng. Hỗ trợ các hệ thống cơ quan, bằng việc thông khí, hỗ trợ tuần hoàn và lọc máu/thẩm phân máu cho tới khi phục hồi chức năng cơ quan. Suy đa tạng hiện có tỷ lệ tử vong là 60%; do đó, phòng ngừa là rất quan trọng bằng cách xác định tích cực sớm và đảo ngược tình trạng sốc.</w:t>
      </w:r>
    </w:p>
    <w:p>
      <w:pPr>
        <w:pStyle w:val="Heading1"/>
        <w:spacing w:before="86"/>
        <w:ind w:left="191"/>
      </w:pPr>
      <w:r>
        <w:rPr>
          <w:b w:val="0"/>
        </w:rPr>
        <w:br w:type="column"/>
      </w:r>
      <w:r>
        <w:rPr>
          <w:color w:val="697487"/>
        </w:rPr>
        <w:t>HỒI SỨC</w:t>
      </w:r>
    </w:p>
    <w:p>
      <w:pPr>
        <w:pStyle w:val="BodyText"/>
        <w:spacing w:line="218" w:lineRule="auto" w:before="54"/>
        <w:ind w:left="190" w:right="851"/>
      </w:pPr>
      <w:r>
        <w:rPr>
          <w:color w:val="1C1C1A"/>
        </w:rPr>
        <w:t>Các biện pháp hồi sức cấp cứu ngay lập tức cho bệnh nhân có biểu hiện sốc là đảm bảo đường thở thông thoáng và cung cấp đủ oxy. Khi 'đường thở' và 'hô hấp' được đảm bảo và kiểm soát, sẽ chuyển hướng chú ý đến hồi sức tim mạch.</w:t>
      </w:r>
    </w:p>
    <w:p>
      <w:pPr>
        <w:pStyle w:val="BodyText"/>
        <w:spacing w:before="2"/>
        <w:rPr>
          <w:sz w:val="24"/>
        </w:rPr>
      </w:pPr>
    </w:p>
    <w:p>
      <w:pPr>
        <w:pStyle w:val="Heading2"/>
        <w:ind w:left="190"/>
      </w:pPr>
      <w:r>
        <w:rPr>
          <w:color w:val="7E8597"/>
        </w:rPr>
        <w:t>Tiến hành hồi sức</w:t>
      </w:r>
    </w:p>
    <w:p>
      <w:pPr>
        <w:pStyle w:val="BodyText"/>
        <w:spacing w:line="218" w:lineRule="auto" w:before="81"/>
        <w:ind w:left="190" w:right="846"/>
      </w:pPr>
      <w:r>
        <w:rPr>
          <w:color w:val="1C1C1A"/>
        </w:rPr>
        <w:t>Hồi sức không được trì hoãn có thể chấm dứt tình trạng sốc. Tuy nhiên, thời gian và tính chất của hồi sức sẽ phụ thuộc vào loại sốc, thời gian cũng như mức độ nghiêm trọng của sốc.</w:t>
      </w:r>
    </w:p>
    <w:p>
      <w:pPr>
        <w:pStyle w:val="BodyText"/>
        <w:spacing w:line="218" w:lineRule="auto"/>
        <w:ind w:left="190" w:right="833"/>
      </w:pPr>
      <w:r>
        <w:rPr>
          <w:color w:val="1C1C1A"/>
        </w:rPr>
        <w:t>Khám lâm sàng nhanh chóng sẽ cung cấp đầy đủ thông tin để đưa ra quyết định thích hợp đầu tiên, ngay cả khi không xác định được nguồn chảy máu hoặc nhiễm trùng. Nếu có nghi ngờ ban đầu về nguyên nhân gây sốc, sẽ an toàn hơn nếu cho rằng nguyên nhân là do giảm thể tích tuần hoàn và bắt đầu hồi sức bằng truyền dịch, sau đó đánh giá đáp ứng.</w:t>
      </w:r>
    </w:p>
    <w:p>
      <w:pPr>
        <w:pStyle w:val="BodyText"/>
        <w:spacing w:line="218" w:lineRule="auto"/>
        <w:ind w:left="190" w:right="760" w:firstLine="283"/>
      </w:pPr>
      <w:r>
        <w:rPr>
          <w:color w:val="1C1C1A"/>
        </w:rPr>
        <w:t>Ở</w:t>
      </w:r>
      <w:r>
        <w:rPr>
          <w:color w:val="1C1C1A"/>
          <w:spacing w:val="-12"/>
        </w:rPr>
        <w:t> </w:t>
      </w:r>
      <w:r>
        <w:rPr>
          <w:color w:val="1C1C1A"/>
        </w:rPr>
        <w:t>những</w:t>
      </w:r>
      <w:r>
        <w:rPr>
          <w:color w:val="1C1C1A"/>
          <w:spacing w:val="-10"/>
        </w:rPr>
        <w:t> </w:t>
      </w:r>
      <w:r>
        <w:rPr>
          <w:color w:val="1C1C1A"/>
        </w:rPr>
        <w:t>bệnh</w:t>
      </w:r>
      <w:r>
        <w:rPr>
          <w:color w:val="1C1C1A"/>
          <w:spacing w:val="-11"/>
        </w:rPr>
        <w:t> </w:t>
      </w:r>
      <w:r>
        <w:rPr>
          <w:color w:val="1C1C1A"/>
        </w:rPr>
        <w:t>nhân</w:t>
      </w:r>
      <w:r>
        <w:rPr>
          <w:color w:val="1C1C1A"/>
          <w:spacing w:val="-11"/>
        </w:rPr>
        <w:t> </w:t>
      </w:r>
      <w:r>
        <w:rPr>
          <w:color w:val="1C1C1A"/>
        </w:rPr>
        <w:t>đang</w:t>
      </w:r>
      <w:r>
        <w:rPr>
          <w:color w:val="1C1C1A"/>
          <w:spacing w:val="-10"/>
        </w:rPr>
        <w:t> </w:t>
      </w:r>
      <w:r>
        <w:rPr>
          <w:color w:val="1C1C1A"/>
        </w:rPr>
        <w:t>chảy</w:t>
      </w:r>
      <w:r>
        <w:rPr>
          <w:color w:val="1C1C1A"/>
          <w:spacing w:val="-10"/>
        </w:rPr>
        <w:t> </w:t>
      </w:r>
      <w:r>
        <w:rPr>
          <w:color w:val="1C1C1A"/>
        </w:rPr>
        <w:t>máu</w:t>
      </w:r>
      <w:r>
        <w:rPr>
          <w:color w:val="1C1C1A"/>
          <w:spacing w:val="-11"/>
        </w:rPr>
        <w:t> </w:t>
      </w:r>
      <w:r>
        <w:rPr>
          <w:color w:val="1C1C1A"/>
        </w:rPr>
        <w:t>nhiều</w:t>
      </w:r>
      <w:r>
        <w:rPr>
          <w:color w:val="1C1C1A"/>
          <w:spacing w:val="-10"/>
        </w:rPr>
        <w:t> </w:t>
      </w:r>
      <w:r>
        <w:rPr>
          <w:color w:val="1C1C1A"/>
        </w:rPr>
        <w:t>(chấn</w:t>
      </w:r>
      <w:r>
        <w:rPr>
          <w:color w:val="1C1C1A"/>
          <w:spacing w:val="-11"/>
        </w:rPr>
        <w:t> </w:t>
      </w:r>
      <w:r>
        <w:rPr>
          <w:color w:val="1C1C1A"/>
        </w:rPr>
        <w:t>thương</w:t>
      </w:r>
      <w:r>
        <w:rPr>
          <w:color w:val="1C1C1A"/>
          <w:spacing w:val="-11"/>
        </w:rPr>
        <w:t> </w:t>
      </w:r>
      <w:r>
        <w:rPr>
          <w:color w:val="1C1C1A"/>
        </w:rPr>
        <w:t>lớn, phình vỡ động mạch chủ, xuất huyết tiêu hóa), điều trị truyền dịch nhiều mà không kiểm soát được vị trí xuất huyết sẽ phản tác dụng. Tăng huyết áp chỉ làm tăng chảy máu tại chỗ trong khi</w:t>
      </w:r>
      <w:r>
        <w:rPr>
          <w:color w:val="1C1C1A"/>
          <w:spacing w:val="-9"/>
        </w:rPr>
        <w:t> </w:t>
      </w:r>
      <w:r>
        <w:rPr>
          <w:color w:val="1C1C1A"/>
        </w:rPr>
        <w:t>truyền</w:t>
      </w:r>
      <w:r>
        <w:rPr>
          <w:color w:val="1C1C1A"/>
          <w:spacing w:val="-8"/>
        </w:rPr>
        <w:t> </w:t>
      </w:r>
      <w:r>
        <w:rPr>
          <w:color w:val="1C1C1A"/>
        </w:rPr>
        <w:t>dịch</w:t>
      </w:r>
      <w:r>
        <w:rPr>
          <w:color w:val="1C1C1A"/>
          <w:spacing w:val="-8"/>
        </w:rPr>
        <w:t> </w:t>
      </w:r>
      <w:r>
        <w:rPr>
          <w:color w:val="1C1C1A"/>
        </w:rPr>
        <w:t>làm</w:t>
      </w:r>
      <w:r>
        <w:rPr>
          <w:color w:val="1C1C1A"/>
          <w:spacing w:val="-9"/>
        </w:rPr>
        <w:t> </w:t>
      </w:r>
      <w:r>
        <w:rPr>
          <w:color w:val="1C1C1A"/>
        </w:rPr>
        <w:t>bệnh</w:t>
      </w:r>
      <w:r>
        <w:rPr>
          <w:color w:val="1C1C1A"/>
          <w:spacing w:val="-8"/>
        </w:rPr>
        <w:t> </w:t>
      </w:r>
      <w:r>
        <w:rPr>
          <w:color w:val="1C1C1A"/>
        </w:rPr>
        <w:t>nhân</w:t>
      </w:r>
      <w:r>
        <w:rPr>
          <w:color w:val="1C1C1A"/>
          <w:spacing w:val="-8"/>
        </w:rPr>
        <w:t> </w:t>
      </w:r>
      <w:r>
        <w:rPr>
          <w:color w:val="1C1C1A"/>
        </w:rPr>
        <w:t>hạ</w:t>
      </w:r>
      <w:r>
        <w:rPr>
          <w:color w:val="1C1C1A"/>
          <w:spacing w:val="-9"/>
        </w:rPr>
        <w:t> </w:t>
      </w:r>
      <w:r>
        <w:rPr>
          <w:color w:val="1C1C1A"/>
        </w:rPr>
        <w:t>nhiệt</w:t>
      </w:r>
      <w:r>
        <w:rPr>
          <w:color w:val="1C1C1A"/>
          <w:spacing w:val="-8"/>
        </w:rPr>
        <w:t> </w:t>
      </w:r>
      <w:r>
        <w:rPr>
          <w:color w:val="1C1C1A"/>
        </w:rPr>
        <w:t>và</w:t>
      </w:r>
      <w:r>
        <w:rPr>
          <w:color w:val="1C1C1A"/>
          <w:spacing w:val="-9"/>
        </w:rPr>
        <w:t> </w:t>
      </w:r>
      <w:r>
        <w:rPr>
          <w:color w:val="1C1C1A"/>
        </w:rPr>
        <w:t>làm</w:t>
      </w:r>
      <w:r>
        <w:rPr>
          <w:color w:val="1C1C1A"/>
          <w:spacing w:val="-9"/>
        </w:rPr>
        <w:t> </w:t>
      </w:r>
      <w:r>
        <w:rPr>
          <w:color w:val="1C1C1A"/>
        </w:rPr>
        <w:t>loãng</w:t>
      </w:r>
      <w:r>
        <w:rPr>
          <w:color w:val="1C1C1A"/>
          <w:spacing w:val="-8"/>
        </w:rPr>
        <w:t> </w:t>
      </w:r>
      <w:r>
        <w:rPr>
          <w:color w:val="1C1C1A"/>
        </w:rPr>
        <w:t>các</w:t>
      </w:r>
      <w:r>
        <w:rPr>
          <w:color w:val="1C1C1A"/>
          <w:spacing w:val="-9"/>
        </w:rPr>
        <w:t> </w:t>
      </w:r>
      <w:r>
        <w:rPr>
          <w:color w:val="1C1C1A"/>
        </w:rPr>
        <w:t>yếu</w:t>
      </w:r>
      <w:r>
        <w:rPr>
          <w:color w:val="1C1C1A"/>
          <w:spacing w:val="-8"/>
        </w:rPr>
        <w:t> </w:t>
      </w:r>
      <w:r>
        <w:rPr>
          <w:color w:val="1C1C1A"/>
        </w:rPr>
        <w:t>tố đông</w:t>
      </w:r>
      <w:r>
        <w:rPr>
          <w:color w:val="1C1C1A"/>
          <w:spacing w:val="-9"/>
        </w:rPr>
        <w:t> </w:t>
      </w:r>
      <w:r>
        <w:rPr>
          <w:color w:val="1C1C1A"/>
        </w:rPr>
        <w:t>máu</w:t>
      </w:r>
      <w:r>
        <w:rPr>
          <w:color w:val="1C1C1A"/>
          <w:spacing w:val="-8"/>
        </w:rPr>
        <w:t> </w:t>
      </w:r>
      <w:r>
        <w:rPr>
          <w:color w:val="1C1C1A"/>
        </w:rPr>
        <w:t>có</w:t>
      </w:r>
      <w:r>
        <w:rPr>
          <w:color w:val="1C1C1A"/>
          <w:spacing w:val="-10"/>
        </w:rPr>
        <w:t> </w:t>
      </w:r>
      <w:r>
        <w:rPr>
          <w:color w:val="1C1C1A"/>
        </w:rPr>
        <w:t>sẵn.</w:t>
      </w:r>
      <w:r>
        <w:rPr>
          <w:color w:val="1C1C1A"/>
          <w:spacing w:val="-9"/>
        </w:rPr>
        <w:t> </w:t>
      </w:r>
      <w:r>
        <w:rPr>
          <w:color w:val="1C1C1A"/>
        </w:rPr>
        <w:t>Do</w:t>
      </w:r>
      <w:r>
        <w:rPr>
          <w:color w:val="1C1C1A"/>
          <w:spacing w:val="-9"/>
        </w:rPr>
        <w:t> </w:t>
      </w:r>
      <w:r>
        <w:rPr>
          <w:color w:val="1C1C1A"/>
        </w:rPr>
        <w:t>đó</w:t>
      </w:r>
      <w:r>
        <w:rPr>
          <w:color w:val="1C1C1A"/>
          <w:spacing w:val="-8"/>
        </w:rPr>
        <w:t> </w:t>
      </w:r>
      <w:r>
        <w:rPr>
          <w:color w:val="1C1C1A"/>
        </w:rPr>
        <w:t>không</w:t>
      </w:r>
      <w:r>
        <w:rPr>
          <w:color w:val="1C1C1A"/>
          <w:spacing w:val="-9"/>
        </w:rPr>
        <w:t> </w:t>
      </w:r>
      <w:r>
        <w:rPr>
          <w:color w:val="1C1C1A"/>
        </w:rPr>
        <w:t>nên</w:t>
      </w:r>
      <w:r>
        <w:rPr>
          <w:color w:val="1C1C1A"/>
          <w:spacing w:val="-8"/>
        </w:rPr>
        <w:t> </w:t>
      </w:r>
      <w:r>
        <w:rPr>
          <w:color w:val="1C1C1A"/>
        </w:rPr>
        <w:t>trì</w:t>
      </w:r>
      <w:r>
        <w:rPr>
          <w:color w:val="1C1C1A"/>
          <w:spacing w:val="-10"/>
        </w:rPr>
        <w:t> </w:t>
      </w:r>
      <w:r>
        <w:rPr>
          <w:color w:val="1C1C1A"/>
        </w:rPr>
        <w:t>hoãn</w:t>
      </w:r>
      <w:r>
        <w:rPr>
          <w:color w:val="1C1C1A"/>
          <w:spacing w:val="-8"/>
        </w:rPr>
        <w:t> </w:t>
      </w:r>
      <w:r>
        <w:rPr>
          <w:color w:val="1C1C1A"/>
        </w:rPr>
        <w:t>việc</w:t>
      </w:r>
      <w:r>
        <w:rPr>
          <w:color w:val="1C1C1A"/>
          <w:spacing w:val="-9"/>
        </w:rPr>
        <w:t> </w:t>
      </w:r>
      <w:r>
        <w:rPr>
          <w:color w:val="1C1C1A"/>
        </w:rPr>
        <w:t>kiểm</w:t>
      </w:r>
      <w:r>
        <w:rPr>
          <w:color w:val="1C1C1A"/>
          <w:spacing w:val="-10"/>
        </w:rPr>
        <w:t> </w:t>
      </w:r>
      <w:r>
        <w:rPr>
          <w:color w:val="1C1C1A"/>
        </w:rPr>
        <w:t>soát</w:t>
      </w:r>
      <w:r>
        <w:rPr>
          <w:color w:val="1C1C1A"/>
          <w:spacing w:val="-9"/>
        </w:rPr>
        <w:t> </w:t>
      </w:r>
      <w:r>
        <w:rPr>
          <w:color w:val="1C1C1A"/>
        </w:rPr>
        <w:t>xuất huyết</w:t>
      </w:r>
      <w:r>
        <w:rPr>
          <w:color w:val="1C1C1A"/>
          <w:spacing w:val="-10"/>
        </w:rPr>
        <w:t> </w:t>
      </w:r>
      <w:r>
        <w:rPr>
          <w:color w:val="1C1C1A"/>
        </w:rPr>
        <w:t>trong</w:t>
      </w:r>
      <w:r>
        <w:rPr>
          <w:color w:val="1C1C1A"/>
          <w:spacing w:val="-9"/>
        </w:rPr>
        <w:t> </w:t>
      </w:r>
      <w:r>
        <w:rPr>
          <w:color w:val="1C1C1A"/>
        </w:rPr>
        <w:t>phẫu</w:t>
      </w:r>
      <w:r>
        <w:rPr>
          <w:color w:val="1C1C1A"/>
          <w:spacing w:val="-11"/>
        </w:rPr>
        <w:t> </w:t>
      </w:r>
      <w:r>
        <w:rPr>
          <w:color w:val="1C1C1A"/>
        </w:rPr>
        <w:t>thuật</w:t>
      </w:r>
      <w:r>
        <w:rPr>
          <w:color w:val="1C1C1A"/>
          <w:spacing w:val="-9"/>
        </w:rPr>
        <w:t> </w:t>
      </w:r>
      <w:r>
        <w:rPr>
          <w:color w:val="1C1C1A"/>
        </w:rPr>
        <w:t>mà</w:t>
      </w:r>
      <w:r>
        <w:rPr>
          <w:color w:val="1C1C1A"/>
          <w:spacing w:val="-10"/>
        </w:rPr>
        <w:t> </w:t>
      </w:r>
      <w:r>
        <w:rPr>
          <w:color w:val="1C1C1A"/>
        </w:rPr>
        <w:t>tiến</w:t>
      </w:r>
      <w:r>
        <w:rPr>
          <w:color w:val="1C1C1A"/>
          <w:spacing w:val="-11"/>
        </w:rPr>
        <w:t> </w:t>
      </w:r>
      <w:r>
        <w:rPr>
          <w:color w:val="1C1C1A"/>
        </w:rPr>
        <w:t>hành</w:t>
      </w:r>
      <w:r>
        <w:rPr>
          <w:color w:val="1C1C1A"/>
          <w:spacing w:val="-9"/>
        </w:rPr>
        <w:t> </w:t>
      </w:r>
      <w:r>
        <w:rPr>
          <w:color w:val="1C1C1A"/>
        </w:rPr>
        <w:t>hồi</w:t>
      </w:r>
      <w:r>
        <w:rPr>
          <w:color w:val="1C1C1A"/>
          <w:spacing w:val="-10"/>
        </w:rPr>
        <w:t> </w:t>
      </w:r>
      <w:r>
        <w:rPr>
          <w:color w:val="1C1C1A"/>
        </w:rPr>
        <w:t>sức</w:t>
      </w:r>
      <w:r>
        <w:rPr>
          <w:color w:val="1C1C1A"/>
          <w:spacing w:val="-10"/>
        </w:rPr>
        <w:t> </w:t>
      </w:r>
      <w:r>
        <w:rPr>
          <w:color w:val="1C1C1A"/>
        </w:rPr>
        <w:t>song</w:t>
      </w:r>
      <w:r>
        <w:rPr>
          <w:color w:val="1C1C1A"/>
          <w:spacing w:val="-9"/>
        </w:rPr>
        <w:t> </w:t>
      </w:r>
      <w:r>
        <w:rPr>
          <w:color w:val="1C1C1A"/>
        </w:rPr>
        <w:t>song</w:t>
      </w:r>
      <w:r>
        <w:rPr>
          <w:color w:val="1C1C1A"/>
          <w:spacing w:val="-10"/>
        </w:rPr>
        <w:t> </w:t>
      </w:r>
      <w:r>
        <w:rPr>
          <w:color w:val="1C1C1A"/>
        </w:rPr>
        <w:t>với</w:t>
      </w:r>
      <w:r>
        <w:rPr>
          <w:color w:val="1C1C1A"/>
          <w:spacing w:val="-10"/>
        </w:rPr>
        <w:t> </w:t>
      </w:r>
      <w:r>
        <w:rPr>
          <w:color w:val="1C1C1A"/>
        </w:rPr>
        <w:t>phẫu thuật.</w:t>
      </w:r>
    </w:p>
    <w:p>
      <w:pPr>
        <w:pStyle w:val="BodyText"/>
        <w:spacing w:line="218" w:lineRule="auto" w:before="9"/>
        <w:ind w:left="191" w:right="809" w:firstLine="283"/>
      </w:pPr>
      <w:r>
        <w:rPr>
          <w:color w:val="1C1C1A"/>
        </w:rPr>
        <w:t>Ngược lại, một bệnh nhân bị tắc ruột và sốc giảm thể tích phải được hồi sức đầy đủ trước khi tiến hành phẫu thuật, nếu không, tổn thương phẫu thuật và giảm thể tích tuần hoàn gây ra trong quá trình phẫu thuật sẽ làm trầm trọng thêm tình trạng viêm, làm tăng tỷ lệ và mức độ nghiêm trọng của tổn thương nội tạng.</w:t>
      </w:r>
    </w:p>
    <w:p>
      <w:pPr>
        <w:pStyle w:val="BodyText"/>
        <w:rPr>
          <w:sz w:val="24"/>
        </w:rPr>
      </w:pPr>
    </w:p>
    <w:p>
      <w:pPr>
        <w:pStyle w:val="Heading2"/>
        <w:spacing w:line="332" w:lineRule="exact"/>
        <w:ind w:left="191"/>
      </w:pPr>
      <w:r>
        <w:rPr>
          <w:color w:val="7E8597"/>
        </w:rPr>
        <w:t>Liệu pháp truyền dịch</w:t>
      </w:r>
    </w:p>
    <w:p>
      <w:pPr>
        <w:pStyle w:val="BodyText"/>
        <w:spacing w:line="218" w:lineRule="auto" w:before="16"/>
        <w:ind w:left="190" w:right="696"/>
      </w:pPr>
      <w:r>
        <w:rPr>
          <w:color w:val="1C1C1A"/>
        </w:rPr>
        <w:t>Trong tất cả các trường hợp sốc, bất kể loại nào, tình trạng  giảm thể tích máu và giảm tiền gánh phải được giải quyết trước khi tiến hành các bước khác. Việc sử dụng các chất tăng co bóp hoặc điều nhịp với một trái tim thiếu máu sẽ làm cơ tim suy kiệt nhanh chóng và cạn kiệt nguồn dự trữ oxy, giảm đáng kể sự đổ đầy máu tâm trương do đó giảm tưới máu mạch vành. Bệnh nhân sẽ bước vào giai đoạn sốc không hồi phục được vì cơ tim thiếu máu cục bộ dần dần và không đáp ứng với nỗ lực hồi</w:t>
      </w:r>
      <w:r>
        <w:rPr>
          <w:color w:val="1C1C1A"/>
          <w:spacing w:val="-17"/>
        </w:rPr>
        <w:t> </w:t>
      </w:r>
      <w:r>
        <w:rPr>
          <w:color w:val="1C1C1A"/>
        </w:rPr>
        <w:t>sức.</w:t>
      </w:r>
    </w:p>
    <w:p>
      <w:pPr>
        <w:pStyle w:val="BodyText"/>
        <w:spacing w:line="218" w:lineRule="auto" w:before="15"/>
        <w:ind w:left="190" w:right="760" w:firstLine="283"/>
      </w:pPr>
      <w:r>
        <w:rPr>
          <w:color w:val="1C1C1A"/>
        </w:rPr>
        <w:t>Do đó, liệu pháp đầu tiên là phải truyền dịch thông qua tĩnh mạch. Truyền dịch tĩnh mạch qua ống thông ngắn, rộng cho phép truyền nhanh chất lỏng khi cần thiết. Các đường dài, hẹp, chẳng hạn như truyền tĩnh mạch trung tâm, có thể có sức cản quá cao để truyền nhanh nên thích hợp để theo dõi hơn là dùng liệu pháp truyền dịch.</w:t>
      </w:r>
    </w:p>
    <w:p>
      <w:pPr>
        <w:pStyle w:val="Heading3"/>
        <w:spacing w:before="144"/>
        <w:ind w:left="190"/>
        <w:rPr>
          <w:i/>
        </w:rPr>
      </w:pPr>
      <w:r>
        <w:rPr>
          <w:i/>
          <w:color w:val="8C91A1"/>
        </w:rPr>
        <w:t>Các loại dịch truyền</w:t>
      </w:r>
    </w:p>
    <w:p>
      <w:pPr>
        <w:pStyle w:val="BodyText"/>
        <w:spacing w:line="218" w:lineRule="auto" w:before="32"/>
        <w:ind w:left="190" w:right="644"/>
      </w:pPr>
      <w:r>
        <w:rPr>
          <w:color w:val="1C1C1A"/>
        </w:rPr>
        <w:t>Vẫn có nhiều tranh luận về dịch truyền nào là tốt nhất trong xử trí sốc. Không có loại dịch truyền nào là tuyệt đối, và quan trọng hơn là phải hiểu cách thức và thời điểm sử dụng nó. Trong hầu hết các nghiên cứu về hồi sức chống sốc</w:t>
      </w:r>
    </w:p>
    <w:p>
      <w:pPr>
        <w:spacing w:after="0" w:line="218" w:lineRule="auto"/>
        <w:sectPr>
          <w:type w:val="continuous"/>
          <w:pgSz w:w="12070" w:h="15650"/>
          <w:pgMar w:top="0" w:bottom="280" w:left="0" w:right="0"/>
          <w:cols w:num="2" w:equalWidth="0">
            <w:col w:w="6005" w:space="40"/>
            <w:col w:w="6025"/>
          </w:cols>
        </w:sectPr>
      </w:pPr>
    </w:p>
    <w:p>
      <w:pPr>
        <w:pStyle w:val="BodyText"/>
        <w:spacing w:before="11"/>
        <w:rPr>
          <w:sz w:val="12"/>
        </w:rPr>
      </w:pPr>
    </w:p>
    <w:p>
      <w:pPr>
        <w:pStyle w:val="BodyText"/>
        <w:ind w:left="1018"/>
      </w:pPr>
      <w:r>
        <w:rPr/>
        <w:pict>
          <v:group style="width:246.65pt;height:88.5pt;mso-position-horizontal-relative:char;mso-position-vertical-relative:line" coordorigin="0,0" coordsize="4933,1770">
            <v:shape style="position:absolute;left:0;top:0;width:4933;height:1770" coordorigin="0,0" coordsize="4933,1770" path="m4649,0l0,0,0,1486,4,1530,35,1627,120,1725,283,1769,4932,1769,4932,283,4928,239,4897,142,4813,44,4649,0xe" filled="true" fillcolor="#e2ddee" stroked="false">
              <v:path arrowok="t"/>
              <v:fill type="solid"/>
            </v:shape>
            <v:rect style="position:absolute;left:0;top:409;width:4933;height:30" filled="true" fillcolor="#ffffff" stroked="false">
              <v:fill type="solid"/>
            </v:rect>
            <v:shape style="position:absolute;left:0;top:0;width:4933;height:1770" type="#_x0000_t202" filled="false" stroked="false">
              <v:textbox inset="0,0,0,0">
                <w:txbxContent>
                  <w:p>
                    <w:pPr>
                      <w:spacing w:before="86"/>
                      <w:ind w:left="127" w:right="0" w:firstLine="0"/>
                      <w:jc w:val="left"/>
                      <w:rPr>
                        <w:b/>
                        <w:sz w:val="20"/>
                      </w:rPr>
                    </w:pPr>
                    <w:r>
                      <w:rPr>
                        <w:b/>
                        <w:color w:val="755BA3"/>
                        <w:sz w:val="20"/>
                      </w:rPr>
                      <w:t>Bảng tổng kết 2.2</w:t>
                    </w:r>
                  </w:p>
                  <w:p>
                    <w:pPr>
                      <w:spacing w:line="240" w:lineRule="auto" w:before="11"/>
                      <w:rPr>
                        <w:b/>
                        <w:sz w:val="17"/>
                      </w:rPr>
                    </w:pPr>
                  </w:p>
                  <w:p>
                    <w:pPr>
                      <w:spacing w:before="0"/>
                      <w:ind w:left="127" w:right="0" w:firstLine="0"/>
                      <w:jc w:val="left"/>
                      <w:rPr>
                        <w:sz w:val="19"/>
                      </w:rPr>
                    </w:pPr>
                    <w:r>
                      <w:rPr>
                        <w:color w:val="755BA3"/>
                        <w:sz w:val="19"/>
                      </w:rPr>
                      <w:t>Ảnh hưởng của suy đa tạng</w:t>
                    </w:r>
                  </w:p>
                  <w:p>
                    <w:pPr>
                      <w:spacing w:before="48"/>
                      <w:ind w:left="127" w:right="0" w:firstLine="0"/>
                      <w:jc w:val="lef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w:t>
                    </w:r>
                    <w:r>
                      <w:rPr>
                        <w:rFonts w:ascii="Arial" w:hAnsi="Arial"/>
                        <w:color w:val="745BA2"/>
                        <w:spacing w:val="8"/>
                        <w:position w:val="1"/>
                        <w:sz w:val="10"/>
                      </w:rPr>
                      <w:t> </w:t>
                    </w:r>
                    <w:r>
                      <w:rPr>
                        <w:color w:val="1C1C1A"/>
                        <w:w w:val="99"/>
                        <w:sz w:val="16"/>
                      </w:rPr>
                      <w:t>Ph</w:t>
                    </w:r>
                    <w:r>
                      <w:rPr>
                        <w:color w:val="1C1C1A"/>
                        <w:sz w:val="16"/>
                      </w:rPr>
                      <w:t>ổ</w:t>
                    </w:r>
                    <w:r>
                      <w:rPr>
                        <w:color w:val="1C1C1A"/>
                        <w:spacing w:val="-1"/>
                        <w:sz w:val="16"/>
                      </w:rPr>
                      <w:t>i</w:t>
                    </w:r>
                    <w:r>
                      <w:rPr>
                        <w:color w:val="1C1C1A"/>
                        <w:w w:val="99"/>
                        <w:sz w:val="16"/>
                      </w:rPr>
                      <w:t>:</w:t>
                    </w:r>
                    <w:r>
                      <w:rPr>
                        <w:color w:val="1C1C1A"/>
                        <w:sz w:val="16"/>
                      </w:rPr>
                      <w:t> </w:t>
                    </w:r>
                    <w:r>
                      <w:rPr>
                        <w:color w:val="1C1C1A"/>
                        <w:w w:val="99"/>
                        <w:sz w:val="16"/>
                      </w:rPr>
                      <w:t>H</w:t>
                    </w:r>
                    <w:r>
                      <w:rPr>
                        <w:color w:val="1C1C1A"/>
                        <w:sz w:val="16"/>
                      </w:rPr>
                      <w:t>ội </w:t>
                    </w:r>
                    <w:r>
                      <w:rPr>
                        <w:color w:val="1C1C1A"/>
                        <w:spacing w:val="-1"/>
                        <w:sz w:val="16"/>
                      </w:rPr>
                      <w:t>c</w:t>
                    </w:r>
                    <w:r>
                      <w:rPr>
                        <w:color w:val="1C1C1A"/>
                        <w:sz w:val="16"/>
                      </w:rPr>
                      <w:t>hứng </w:t>
                    </w:r>
                    <w:r>
                      <w:rPr>
                        <w:color w:val="1C1C1A"/>
                        <w:spacing w:val="-1"/>
                        <w:sz w:val="16"/>
                      </w:rPr>
                      <w:t>su</w:t>
                    </w:r>
                    <w:r>
                      <w:rPr>
                        <w:color w:val="1C1C1A"/>
                        <w:sz w:val="16"/>
                      </w:rPr>
                      <w:t>y</w:t>
                    </w:r>
                    <w:r>
                      <w:rPr>
                        <w:color w:val="1C1C1A"/>
                        <w:spacing w:val="-1"/>
                        <w:sz w:val="16"/>
                      </w:rPr>
                      <w:t> </w:t>
                    </w:r>
                    <w:r>
                      <w:rPr>
                        <w:color w:val="1C1C1A"/>
                        <w:sz w:val="16"/>
                      </w:rPr>
                      <w:t>hô hấp </w:t>
                    </w:r>
                    <w:r>
                      <w:rPr>
                        <w:color w:val="1C1C1A"/>
                        <w:spacing w:val="-1"/>
                        <w:sz w:val="16"/>
                      </w:rPr>
                      <w:t>cấ</w:t>
                    </w:r>
                    <w:r>
                      <w:rPr>
                        <w:color w:val="1C1C1A"/>
                        <w:sz w:val="16"/>
                      </w:rPr>
                      <w:t>p </w:t>
                    </w:r>
                    <w:r>
                      <w:rPr>
                        <w:color w:val="1C1C1A"/>
                        <w:spacing w:val="-1"/>
                        <w:sz w:val="16"/>
                      </w:rPr>
                      <w:t>tính</w:t>
                    </w:r>
                  </w:p>
                  <w:p>
                    <w:pPr>
                      <w:spacing w:before="39"/>
                      <w:ind w:left="127" w:right="0" w:firstLine="0"/>
                      <w:jc w:val="left"/>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w:t>
                    </w:r>
                    <w:r>
                      <w:rPr>
                        <w:rFonts w:ascii="Arial" w:hAnsi="Arial"/>
                        <w:color w:val="745BA2"/>
                        <w:spacing w:val="8"/>
                        <w:sz w:val="10"/>
                      </w:rPr>
                      <w:t> </w:t>
                    </w:r>
                    <w:r>
                      <w:rPr>
                        <w:color w:val="1C1C1A"/>
                        <w:w w:val="99"/>
                        <w:sz w:val="16"/>
                      </w:rPr>
                      <w:t>Th</w:t>
                    </w:r>
                    <w:r>
                      <w:rPr>
                        <w:color w:val="1C1C1A"/>
                        <w:spacing w:val="-1"/>
                        <w:sz w:val="16"/>
                      </w:rPr>
                      <w:t>ậ</w:t>
                    </w:r>
                    <w:r>
                      <w:rPr>
                        <w:color w:val="1C1C1A"/>
                        <w:sz w:val="16"/>
                      </w:rPr>
                      <w:t>n</w:t>
                    </w:r>
                    <w:r>
                      <w:rPr>
                        <w:color w:val="1C1C1A"/>
                        <w:w w:val="99"/>
                        <w:sz w:val="16"/>
                      </w:rPr>
                      <w:t>:</w:t>
                    </w:r>
                    <w:r>
                      <w:rPr>
                        <w:color w:val="1C1C1A"/>
                        <w:sz w:val="16"/>
                      </w:rPr>
                      <w:t> Suy </w:t>
                    </w:r>
                    <w:r>
                      <w:rPr>
                        <w:color w:val="1C1C1A"/>
                        <w:w w:val="99"/>
                        <w:sz w:val="16"/>
                      </w:rPr>
                      <w:t>t</w:t>
                    </w:r>
                    <w:r>
                      <w:rPr>
                        <w:color w:val="1C1C1A"/>
                        <w:sz w:val="16"/>
                      </w:rPr>
                      <w:t>h</w:t>
                    </w:r>
                    <w:r>
                      <w:rPr>
                        <w:color w:val="1C1C1A"/>
                        <w:spacing w:val="-1"/>
                        <w:sz w:val="16"/>
                      </w:rPr>
                      <w:t>ậ</w:t>
                    </w:r>
                    <w:r>
                      <w:rPr>
                        <w:color w:val="1C1C1A"/>
                        <w:sz w:val="16"/>
                      </w:rPr>
                      <w:t>n</w:t>
                    </w:r>
                    <w:r>
                      <w:rPr>
                        <w:color w:val="1C1C1A"/>
                        <w:spacing w:val="-1"/>
                        <w:sz w:val="16"/>
                      </w:rPr>
                      <w:t> cấ</w:t>
                    </w:r>
                    <w:r>
                      <w:rPr>
                        <w:color w:val="1C1C1A"/>
                        <w:sz w:val="16"/>
                      </w:rPr>
                      <w:t>p</w:t>
                    </w:r>
                    <w:r>
                      <w:rPr>
                        <w:color w:val="1C1C1A"/>
                        <w:spacing w:val="-1"/>
                        <w:sz w:val="16"/>
                      </w:rPr>
                      <w:t> tí</w:t>
                    </w:r>
                    <w:r>
                      <w:rPr>
                        <w:color w:val="1C1C1A"/>
                        <w:sz w:val="16"/>
                      </w:rPr>
                      <w:t>nh</w:t>
                    </w:r>
                  </w:p>
                  <w:p>
                    <w:pPr>
                      <w:spacing w:before="36"/>
                      <w:ind w:left="127" w:right="0" w:firstLine="0"/>
                      <w:jc w:val="left"/>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w:t>
                    </w:r>
                    <w:r>
                      <w:rPr>
                        <w:rFonts w:ascii="Arial" w:hAnsi="Arial"/>
                        <w:color w:val="745BA2"/>
                        <w:spacing w:val="8"/>
                        <w:sz w:val="10"/>
                      </w:rPr>
                      <w:t> </w:t>
                    </w:r>
                    <w:r>
                      <w:rPr>
                        <w:color w:val="1C1C1A"/>
                        <w:spacing w:val="-1"/>
                        <w:position w:val="1"/>
                        <w:sz w:val="16"/>
                      </w:rPr>
                      <w:t>Đôn</w:t>
                    </w:r>
                    <w:r>
                      <w:rPr>
                        <w:color w:val="1C1C1A"/>
                        <w:position w:val="1"/>
                        <w:sz w:val="16"/>
                      </w:rPr>
                      <w:t>g</w:t>
                    </w:r>
                    <w:r>
                      <w:rPr>
                        <w:color w:val="1C1C1A"/>
                        <w:spacing w:val="-1"/>
                        <w:position w:val="1"/>
                        <w:sz w:val="16"/>
                      </w:rPr>
                      <w:t> má</w:t>
                    </w:r>
                    <w:r>
                      <w:rPr>
                        <w:color w:val="1C1C1A"/>
                        <w:position w:val="1"/>
                        <w:sz w:val="16"/>
                      </w:rPr>
                      <w:t>u</w:t>
                    </w:r>
                    <w:r>
                      <w:rPr>
                        <w:color w:val="1C1C1A"/>
                        <w:w w:val="99"/>
                        <w:position w:val="1"/>
                        <w:sz w:val="16"/>
                      </w:rPr>
                      <w:t>:</w:t>
                    </w:r>
                    <w:r>
                      <w:rPr>
                        <w:color w:val="1C1C1A"/>
                        <w:position w:val="1"/>
                        <w:sz w:val="16"/>
                      </w:rPr>
                      <w:t> </w:t>
                    </w:r>
                    <w:r>
                      <w:rPr>
                        <w:color w:val="1C1C1A"/>
                        <w:w w:val="99"/>
                        <w:position w:val="1"/>
                        <w:sz w:val="16"/>
                      </w:rPr>
                      <w:t>R</w:t>
                    </w:r>
                    <w:r>
                      <w:rPr>
                        <w:color w:val="1C1C1A"/>
                        <w:position w:val="1"/>
                        <w:sz w:val="16"/>
                      </w:rPr>
                      <w:t>ối </w:t>
                    </w:r>
                    <w:r>
                      <w:rPr>
                        <w:color w:val="1C1C1A"/>
                        <w:spacing w:val="-1"/>
                        <w:position w:val="1"/>
                        <w:sz w:val="16"/>
                      </w:rPr>
                      <w:t>loạ</w:t>
                    </w:r>
                    <w:r>
                      <w:rPr>
                        <w:color w:val="1C1C1A"/>
                        <w:position w:val="1"/>
                        <w:sz w:val="16"/>
                      </w:rPr>
                      <w:t>n đông </w:t>
                    </w:r>
                    <w:r>
                      <w:rPr>
                        <w:color w:val="1C1C1A"/>
                        <w:spacing w:val="-1"/>
                        <w:position w:val="1"/>
                        <w:sz w:val="16"/>
                      </w:rPr>
                      <w:t>má</w:t>
                    </w:r>
                    <w:r>
                      <w:rPr>
                        <w:color w:val="1C1C1A"/>
                        <w:position w:val="1"/>
                        <w:sz w:val="16"/>
                      </w:rPr>
                      <w:t>u</w:t>
                    </w:r>
                  </w:p>
                  <w:p>
                    <w:pPr>
                      <w:spacing w:before="35"/>
                      <w:ind w:left="127" w:right="0" w:firstLine="0"/>
                      <w:jc w:val="lef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w:t>
                    </w:r>
                    <w:r>
                      <w:rPr>
                        <w:rFonts w:ascii="Arial" w:hAnsi="Arial"/>
                        <w:color w:val="745BA2"/>
                        <w:spacing w:val="8"/>
                        <w:position w:val="-1"/>
                        <w:sz w:val="10"/>
                      </w:rPr>
                      <w:t> </w:t>
                    </w:r>
                    <w:r>
                      <w:rPr>
                        <w:color w:val="1C1C1A"/>
                        <w:w w:val="99"/>
                        <w:sz w:val="16"/>
                      </w:rPr>
                      <w:t>Tu</w:t>
                    </w:r>
                    <w:r>
                      <w:rPr>
                        <w:color w:val="1C1C1A"/>
                        <w:spacing w:val="-1"/>
                        <w:sz w:val="16"/>
                      </w:rPr>
                      <w:t>ầ</w:t>
                    </w:r>
                    <w:r>
                      <w:rPr>
                        <w:color w:val="1C1C1A"/>
                        <w:sz w:val="16"/>
                      </w:rPr>
                      <w:t>n</w:t>
                    </w:r>
                    <w:r>
                      <w:rPr>
                        <w:color w:val="1C1C1A"/>
                        <w:spacing w:val="-1"/>
                        <w:sz w:val="16"/>
                      </w:rPr>
                      <w:t> </w:t>
                    </w:r>
                    <w:r>
                      <w:rPr>
                        <w:color w:val="1C1C1A"/>
                        <w:sz w:val="16"/>
                      </w:rPr>
                      <w:t>hoàn</w:t>
                    </w:r>
                    <w:r>
                      <w:rPr>
                        <w:color w:val="1C1C1A"/>
                        <w:w w:val="99"/>
                        <w:sz w:val="16"/>
                      </w:rPr>
                      <w:t>:</w:t>
                    </w:r>
                    <w:r>
                      <w:rPr>
                        <w:color w:val="1C1C1A"/>
                        <w:sz w:val="16"/>
                      </w:rPr>
                      <w:t> </w:t>
                    </w:r>
                    <w:r>
                      <w:rPr>
                        <w:color w:val="1C1C1A"/>
                        <w:w w:val="99"/>
                        <w:sz w:val="16"/>
                      </w:rPr>
                      <w:t>S</w:t>
                    </w:r>
                    <w:r>
                      <w:rPr>
                        <w:color w:val="1C1C1A"/>
                        <w:sz w:val="16"/>
                      </w:rPr>
                      <w:t>uy </w:t>
                    </w:r>
                    <w:r>
                      <w:rPr>
                        <w:color w:val="1C1C1A"/>
                        <w:w w:val="99"/>
                        <w:sz w:val="16"/>
                      </w:rPr>
                      <w:t>tu</w:t>
                    </w:r>
                    <w:r>
                      <w:rPr>
                        <w:color w:val="1C1C1A"/>
                        <w:spacing w:val="-1"/>
                        <w:sz w:val="16"/>
                      </w:rPr>
                      <w:t>ầ</w:t>
                    </w:r>
                    <w:r>
                      <w:rPr>
                        <w:color w:val="1C1C1A"/>
                        <w:sz w:val="16"/>
                      </w:rPr>
                      <w:t>n</w:t>
                    </w:r>
                    <w:r>
                      <w:rPr>
                        <w:color w:val="1C1C1A"/>
                        <w:spacing w:val="-1"/>
                        <w:sz w:val="16"/>
                      </w:rPr>
                      <w:t> </w:t>
                    </w:r>
                    <w:r>
                      <w:rPr>
                        <w:color w:val="1C1C1A"/>
                        <w:sz w:val="16"/>
                      </w:rPr>
                      <w:t>ho</w:t>
                    </w:r>
                    <w:r>
                      <w:rPr>
                        <w:color w:val="1C1C1A"/>
                        <w:spacing w:val="-1"/>
                        <w:sz w:val="16"/>
                      </w:rPr>
                      <w:t>àn</w:t>
                    </w:r>
                  </w:p>
                </w:txbxContent>
              </v:textbox>
              <w10:wrap type="none"/>
            </v:shape>
          </v:group>
        </w:pict>
      </w:r>
      <w:r>
        <w:rPr/>
      </w:r>
    </w:p>
    <w:p>
      <w:pPr>
        <w:spacing w:after="0"/>
        <w:sectPr>
          <w:type w:val="continuous"/>
          <w:pgSz w:w="12070" w:h="15650"/>
          <w:pgMar w:top="0" w:bottom="280" w:left="0" w:right="0"/>
        </w:sectPr>
      </w:pPr>
    </w:p>
    <w:p>
      <w:pPr>
        <w:pStyle w:val="BodyText"/>
        <w:spacing w:before="10"/>
        <w:rPr>
          <w:sz w:val="26"/>
        </w:rPr>
      </w:pPr>
    </w:p>
    <w:p>
      <w:pPr>
        <w:spacing w:after="0"/>
        <w:rPr>
          <w:sz w:val="26"/>
        </w:rPr>
        <w:sectPr>
          <w:pgSz w:w="12070" w:h="15650"/>
          <w:pgMar w:header="0" w:footer="0" w:top="960" w:bottom="280" w:left="0" w:right="0"/>
        </w:sectPr>
      </w:pPr>
    </w:p>
    <w:p>
      <w:pPr>
        <w:pStyle w:val="BodyText"/>
        <w:spacing w:line="216" w:lineRule="auto" w:before="110"/>
        <w:ind w:left="905" w:right="-4"/>
      </w:pPr>
      <w:r>
        <w:rPr>
          <w:color w:val="1C1C1A"/>
        </w:rPr>
        <w:t>không có sự khác biệt rõ ràng về tác dụng hay đáp ứng giữa các dung dịch tinh thể (nước muối sinh lý, dung dịch Hartmann, Ringer lactate) hoặc dung dịch keo (albumin hoặc các chế phẩm khác). Hơn nữa lợi ích về bù thể tích đối với việc sử dụng dịch keo ít hơn so với dịch tinh thể, không như người ta tưởng, cần gấp 1,3 lần dịch keo so với dịch tinh thể để bù thể tích tuần hoàn trong các thử nghiệm. Công bằng mà nói, có rất ít bằng chứng ủng hộ việc sử dụng dịch keo vì</w:t>
      </w:r>
    </w:p>
    <w:p>
      <w:pPr>
        <w:pStyle w:val="BodyText"/>
        <w:spacing w:line="209" w:lineRule="exact"/>
        <w:ind w:left="905"/>
      </w:pPr>
      <w:r>
        <w:rPr>
          <w:color w:val="1C1C1A"/>
        </w:rPr>
        <w:t>giá thành đắt hơn và bên cạnh đó có tác dụng phụ xấu hơn.</w:t>
      </w:r>
    </w:p>
    <w:p>
      <w:pPr>
        <w:pStyle w:val="BodyText"/>
        <w:spacing w:line="216" w:lineRule="auto" w:before="8"/>
        <w:ind w:left="905" w:right="-16" w:firstLine="283"/>
      </w:pPr>
      <w:r>
        <w:rPr>
          <w:color w:val="1C1C1A"/>
        </w:rPr>
        <w:t>Quan trọng nhất, khả năng mang oxy của cả dịch tinh thể và dịch keo bằng 0. Nếu máu đang bị mất, dịch bù thay thế lý tưởng là máu, mặc dù có thể cần phải dùng thêm dịch tinh thể trong khi chờ các chế phẩm từ máu.</w:t>
      </w:r>
    </w:p>
    <w:p>
      <w:pPr>
        <w:pStyle w:val="BodyText"/>
        <w:spacing w:line="216" w:lineRule="auto" w:before="4"/>
        <w:ind w:left="905" w:right="165" w:firstLine="283"/>
      </w:pPr>
      <w:r>
        <w:rPr>
          <w:color w:val="1C1C1A"/>
        </w:rPr>
        <w:t>Các dung dịch nhược trương (dextrose, v.v.) có thể kém hiệu quả trong việc tăng thể tích tuần hoàn và không nên được sử dụng trong điều trị sốc trừ trường hợp có sự thiếu hụt nước do mất nước (ví dụ bệnh đái tháo nhạt) hoặc bệnh nhân bị quá tải natri (ví dụ như xơ gan).</w:t>
      </w:r>
    </w:p>
    <w:p>
      <w:pPr>
        <w:pStyle w:val="Heading3"/>
        <w:spacing w:before="151"/>
        <w:ind w:left="905"/>
        <w:rPr>
          <w:i/>
        </w:rPr>
      </w:pPr>
      <w:r>
        <w:rPr>
          <w:i/>
          <w:color w:val="8C91A1"/>
        </w:rPr>
        <w:t>Đáp ứng động với dịch truyền</w:t>
      </w:r>
    </w:p>
    <w:p>
      <w:pPr>
        <w:pStyle w:val="BodyText"/>
        <w:spacing w:line="216" w:lineRule="auto" w:before="33"/>
        <w:ind w:left="905" w:right="-3"/>
      </w:pPr>
      <w:r>
        <w:rPr>
          <w:color w:val="1C1C1A"/>
        </w:rPr>
        <w:t>Tình trạng sốc có thể xác định thông qua đáp ứng động của tuần hoàn với việc truyền nhanh một lượng dịch. Truyền nhanh (5-10 phút) tổng cộng 250-500 mL dung dịch và quan sát các đáp ứng tuần hoàn về nhịp tim, huyết áp và áp lực</w:t>
      </w:r>
      <w:r>
        <w:rPr>
          <w:color w:val="1C1C1A"/>
          <w:spacing w:val="-21"/>
        </w:rPr>
        <w:t> </w:t>
      </w:r>
      <w:r>
        <w:rPr>
          <w:color w:val="1C1C1A"/>
        </w:rPr>
        <w:t>tĩnh mạch trung tâm. Bệnh nhân có thể chia thành 'đáp</w:t>
      </w:r>
      <w:r>
        <w:rPr>
          <w:color w:val="1C1C1A"/>
          <w:spacing w:val="-13"/>
        </w:rPr>
        <w:t> </w:t>
      </w:r>
      <w:r>
        <w:rPr>
          <w:color w:val="1C1C1A"/>
        </w:rPr>
        <w:t>ứng",</w:t>
      </w:r>
    </w:p>
    <w:p>
      <w:pPr>
        <w:pStyle w:val="BodyText"/>
        <w:spacing w:line="205" w:lineRule="exact"/>
        <w:ind w:left="905"/>
      </w:pPr>
      <w:r>
        <w:rPr>
          <w:color w:val="1C1C1A"/>
        </w:rPr>
        <w:t>'đáp ứng tạm thời' và 'không đáp ứng'.</w:t>
      </w:r>
    </w:p>
    <w:p>
      <w:pPr>
        <w:pStyle w:val="BodyText"/>
        <w:spacing w:line="216" w:lineRule="auto" w:before="7"/>
        <w:ind w:left="905" w:right="-5" w:firstLine="283"/>
      </w:pPr>
      <w:r>
        <w:rPr>
          <w:b/>
          <w:color w:val="1C1C1A"/>
        </w:rPr>
        <w:t>Đáp ứng </w:t>
      </w:r>
      <w:r>
        <w:rPr>
          <w:color w:val="1C1C1A"/>
        </w:rPr>
        <w:t>có sự cải thiện và duy trì về tuần hoàn. Những bệnh nhân này không mất nhiều thể tích tuần hoàn nhưng vẫn cần bù dịch đến thể tích tuần hoàn trở về bình thường.</w:t>
      </w:r>
    </w:p>
    <w:p>
      <w:pPr>
        <w:pStyle w:val="BodyText"/>
        <w:spacing w:line="230" w:lineRule="auto"/>
        <w:ind w:left="909" w:right="165" w:firstLine="300"/>
      </w:pPr>
      <w:r>
        <w:rPr>
          <w:b/>
          <w:color w:val="1C1C1A"/>
        </w:rPr>
        <w:t>Đáp ứng tạm thời </w:t>
      </w:r>
      <w:r>
        <w:rPr>
          <w:color w:val="1C1C1A"/>
        </w:rPr>
        <w:t>có sự cải thiện nhưng sau đó 10-20 phút tiếp theo trở lại trạng thái trước đó. Những bệnh nhân này bị mất dịch liên tục ở mức độ trung bình (hoặc xuất huyết quá mức hoặc lượng dịch tiếp tục giảm trong lòng mạch).</w:t>
      </w:r>
    </w:p>
    <w:p>
      <w:pPr>
        <w:pStyle w:val="BodyText"/>
        <w:spacing w:line="230" w:lineRule="auto"/>
        <w:ind w:left="909" w:right="165" w:firstLine="250"/>
      </w:pPr>
      <w:r>
        <w:rPr>
          <w:b/>
          <w:color w:val="1C1C1A"/>
        </w:rPr>
        <w:t>Không đáp ứng </w:t>
      </w:r>
      <w:r>
        <w:rPr>
          <w:color w:val="1C1C1A"/>
        </w:rPr>
        <w:t>lượng dịch bị mất nghiêm trọng và lượng dịch trong lòng mạch giảm liên tục, thường do xuất huyết dai dẳng không kiểm soát được.</w:t>
      </w:r>
    </w:p>
    <w:p>
      <w:pPr>
        <w:pStyle w:val="BodyText"/>
        <w:spacing w:before="7"/>
        <w:rPr>
          <w:sz w:val="22"/>
        </w:rPr>
      </w:pPr>
    </w:p>
    <w:p>
      <w:pPr>
        <w:pStyle w:val="Heading2"/>
      </w:pPr>
      <w:r>
        <w:rPr>
          <w:color w:val="7E8597"/>
        </w:rPr>
        <w:t>Thuốc vận mạch và hỗ trợ tăng</w:t>
      </w:r>
      <w:r>
        <w:rPr>
          <w:color w:val="7E8597"/>
          <w:spacing w:val="-8"/>
        </w:rPr>
        <w:t> </w:t>
      </w:r>
      <w:r>
        <w:rPr>
          <w:color w:val="7E8597"/>
        </w:rPr>
        <w:t>co</w:t>
      </w:r>
    </w:p>
    <w:p>
      <w:pPr>
        <w:pStyle w:val="BodyText"/>
        <w:spacing w:line="216" w:lineRule="auto" w:before="82"/>
        <w:ind w:left="905" w:right="129"/>
      </w:pPr>
      <w:r>
        <w:rPr>
          <w:color w:val="1C1C1A"/>
        </w:rPr>
        <w:t>Thuốc vận mạch hoặc tăng co không được xem là thuốc</w:t>
      </w:r>
      <w:r>
        <w:rPr>
          <w:color w:val="1C1C1A"/>
          <w:spacing w:val="-17"/>
        </w:rPr>
        <w:t> </w:t>
      </w:r>
      <w:r>
        <w:rPr>
          <w:color w:val="1C1C1A"/>
        </w:rPr>
        <w:t>đầu tay trong tình trạng giảm thể tích tuần hoàn. Như đã thảo luận ở trên, việc sử dụng các thuốc này trong trường hợp không đủ tiền gánh nhanh chóng dẫn đến giảm tưới máu mạch vành và làm cạn kiệt nguồn dự trữ oxy của</w:t>
      </w:r>
      <w:r>
        <w:rPr>
          <w:color w:val="1C1C1A"/>
          <w:spacing w:val="-13"/>
        </w:rPr>
        <w:t> </w:t>
      </w:r>
      <w:r>
        <w:rPr>
          <w:color w:val="1C1C1A"/>
        </w:rPr>
        <w:t>tim.</w:t>
      </w:r>
    </w:p>
    <w:p>
      <w:pPr>
        <w:pStyle w:val="BodyText"/>
        <w:spacing w:line="216" w:lineRule="auto"/>
        <w:ind w:left="905" w:right="61" w:firstLine="283"/>
      </w:pPr>
      <w:r>
        <w:rPr>
          <w:color w:val="1C1C1A"/>
        </w:rPr>
        <w:t>Thuốc vận mạch (phenylephrine, noradrenaline) được</w:t>
      </w:r>
      <w:r>
        <w:rPr>
          <w:color w:val="1C1C1A"/>
          <w:spacing w:val="-16"/>
        </w:rPr>
        <w:t> </w:t>
      </w:r>
      <w:r>
        <w:rPr>
          <w:color w:val="1C1C1A"/>
        </w:rPr>
        <w:t>chỉ định trong các trạng thái sốc phân bố (nhiễm trùng huyết, thần kinh) các trường hợp này giãn mạch ngoại vi, và sức cản mạch hệ thống thấp, tụt huyết áp mặc dù cung lượng tim cao. Trường hợp giãn mạch đề kháng với catecholamine (ví dụ như thiếu hụt steroid tuyệt đối hoặc tương đối) thì vasopressin có thể được sử dụng làm thuốc vận mạch thay thế.</w:t>
      </w:r>
    </w:p>
    <w:p>
      <w:pPr>
        <w:pStyle w:val="BodyText"/>
        <w:spacing w:line="216" w:lineRule="auto"/>
        <w:ind w:left="905" w:right="-4" w:firstLine="283"/>
      </w:pPr>
      <w:r>
        <w:rPr>
          <w:color w:val="1C1C1A"/>
        </w:rPr>
        <w:t>Trong sốc tim, hoặc suy cơ tim có tình trạng sốc phức tạp (ví dụ như sốc nhiễm trùng nặng với cung lượng tim thấp), thuốc tăng co có thể được sử dụng để tăng</w:t>
      </w:r>
    </w:p>
    <w:p>
      <w:pPr>
        <w:pStyle w:val="BodyText"/>
        <w:spacing w:line="230" w:lineRule="auto" w:before="99"/>
        <w:ind w:left="225" w:right="1126"/>
      </w:pPr>
      <w:r>
        <w:rPr/>
        <w:br w:type="column"/>
      </w:r>
      <w:r>
        <w:rPr>
          <w:color w:val="1C1C1A"/>
        </w:rPr>
        <w:t>cung lượng tim và do đó cung cấp oxy. Dobutamine tăng co bóp là thuốc được lựa chọn.</w:t>
      </w:r>
    </w:p>
    <w:p>
      <w:pPr>
        <w:pStyle w:val="BodyText"/>
        <w:spacing w:before="1"/>
        <w:rPr>
          <w:sz w:val="24"/>
        </w:rPr>
      </w:pPr>
    </w:p>
    <w:p>
      <w:pPr>
        <w:pStyle w:val="Heading2"/>
        <w:ind w:left="225"/>
      </w:pPr>
      <w:r>
        <w:rPr>
          <w:color w:val="7E8597"/>
        </w:rPr>
        <w:t>Theo dõi</w:t>
      </w:r>
    </w:p>
    <w:p>
      <w:pPr>
        <w:pStyle w:val="BodyText"/>
        <w:spacing w:line="216" w:lineRule="auto" w:before="82"/>
        <w:ind w:left="225" w:right="1038"/>
      </w:pPr>
      <w:r>
        <w:rPr>
          <w:color w:val="1C1C1A"/>
        </w:rPr>
        <w:t>Tiêu chuẩn </w:t>
      </w:r>
      <w:r>
        <w:rPr>
          <w:b/>
          <w:color w:val="1C1C1A"/>
        </w:rPr>
        <w:t>tối thiểu </w:t>
      </w:r>
      <w:r>
        <w:rPr>
          <w:color w:val="1C1C1A"/>
        </w:rPr>
        <w:t>để theo dõi bệnh nhân sốc là theo dõi nhịp tim và độ bão hòa oxy liên tục, theo dõi huyết áp không xâm lấn thường xuyên và đo lượng nước tiểu hàng giờ. Hầu hết bệnh nhân sẽ cần theo dõi xâm lấn tích cực hơn, bao gồm cả áp lực tĩnh mạch trung tâm và theo dõi huyết áp xâm lấn.</w:t>
      </w:r>
    </w:p>
    <w:p>
      <w:pPr>
        <w:pStyle w:val="BodyText"/>
      </w:pPr>
    </w:p>
    <w:p>
      <w:pPr>
        <w:pStyle w:val="BodyText"/>
      </w:pPr>
    </w:p>
    <w:p>
      <w:pPr>
        <w:pStyle w:val="BodyText"/>
        <w:spacing w:before="1"/>
        <w:rPr>
          <w:sz w:val="16"/>
        </w:rPr>
      </w:pPr>
      <w:r>
        <w:rPr/>
        <w:pict>
          <v:group style="position:absolute;margin-left:306.063995pt;margin-top:11.22008pt;width:249.9pt;height:169.3pt;mso-position-horizontal-relative:page;mso-position-vertical-relative:paragraph;z-index:-15725568;mso-wrap-distance-left:0;mso-wrap-distance-right:0" coordorigin="6121,224" coordsize="4998,3386">
            <v:shape style="position:absolute;left:6121;top:224;width:4933;height:3386" coordorigin="6121,224" coordsize="4933,3386" path="m10770,224l6121,224,6121,3327,6126,3371,6157,3469,6241,3566,6405,3610,11054,3610,11054,508,11049,464,11018,366,10934,269,10770,224xe" filled="true" fillcolor="#e2ddee" stroked="false">
              <v:path arrowok="t"/>
              <v:fill type="solid"/>
            </v:shape>
            <v:shape style="position:absolute;left:6121;top:319;width:4998;height:1631" type="#_x0000_t202" filled="false" stroked="false">
              <v:textbox inset="0,0,0,0">
                <w:txbxContent>
                  <w:p>
                    <w:pPr>
                      <w:spacing w:line="193" w:lineRule="exact" w:before="0"/>
                      <w:ind w:left="127" w:right="0" w:firstLine="0"/>
                      <w:jc w:val="left"/>
                      <w:rPr>
                        <w:b/>
                        <w:sz w:val="20"/>
                      </w:rPr>
                    </w:pPr>
                    <w:r>
                      <w:rPr>
                        <w:b/>
                        <w:color w:val="755BA3"/>
                        <w:sz w:val="20"/>
                      </w:rPr>
                      <w:t>Bảng tổng kết 2.3</w:t>
                    </w:r>
                  </w:p>
                  <w:p>
                    <w:pPr>
                      <w:tabs>
                        <w:tab w:pos="4977" w:val="left" w:leader="none"/>
                      </w:tabs>
                      <w:spacing w:line="201" w:lineRule="exact" w:before="0"/>
                      <w:ind w:left="0" w:right="0" w:firstLine="0"/>
                      <w:jc w:val="left"/>
                      <w:rPr>
                        <w:sz w:val="20"/>
                      </w:rPr>
                    </w:pPr>
                    <w:r>
                      <w:rPr>
                        <w:color w:val="1C1C1A"/>
                        <w:sz w:val="20"/>
                        <w:u w:val="thick" w:color="FFFFFF"/>
                      </w:rPr>
                      <w:t> </w:t>
                      <w:tab/>
                    </w:r>
                  </w:p>
                  <w:p>
                    <w:pPr>
                      <w:spacing w:before="36"/>
                      <w:ind w:left="127" w:right="0" w:firstLine="0"/>
                      <w:jc w:val="left"/>
                      <w:rPr>
                        <w:sz w:val="19"/>
                      </w:rPr>
                    </w:pPr>
                    <w:r>
                      <w:rPr>
                        <w:color w:val="755BA3"/>
                        <w:sz w:val="19"/>
                      </w:rPr>
                      <w:t>Thep dõi ở bệnh nhân sốc</w:t>
                    </w:r>
                  </w:p>
                  <w:p>
                    <w:pPr>
                      <w:spacing w:before="102"/>
                      <w:ind w:left="127" w:right="0" w:firstLine="0"/>
                      <w:jc w:val="left"/>
                      <w:rPr>
                        <w:b/>
                        <w:sz w:val="17"/>
                      </w:rPr>
                    </w:pPr>
                    <w:r>
                      <w:rPr>
                        <w:b/>
                        <w:color w:val="575757"/>
                        <w:sz w:val="17"/>
                      </w:rPr>
                      <w:t>Tối thiểu</w:t>
                    </w:r>
                  </w:p>
                  <w:p>
                    <w:pPr>
                      <w:spacing w:before="57"/>
                      <w:ind w:left="127" w:right="0" w:firstLine="0"/>
                      <w:jc w:val="left"/>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w:t>
                    </w:r>
                    <w:r>
                      <w:rPr>
                        <w:rFonts w:ascii="Arial" w:hAnsi="Arial"/>
                        <w:color w:val="745BA2"/>
                        <w:spacing w:val="8"/>
                        <w:sz w:val="10"/>
                      </w:rPr>
                      <w:t> </w:t>
                    </w:r>
                    <w:r>
                      <w:rPr>
                        <w:color w:val="1C1C1A"/>
                        <w:spacing w:val="-1"/>
                        <w:sz w:val="16"/>
                      </w:rPr>
                      <w:t>ECG</w:t>
                    </w:r>
                  </w:p>
                  <w:p>
                    <w:pPr>
                      <w:spacing w:before="36"/>
                      <w:ind w:left="127" w:right="0" w:firstLine="0"/>
                      <w:jc w:val="left"/>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w:t>
                    </w:r>
                    <w:r>
                      <w:rPr>
                        <w:rFonts w:ascii="Arial" w:hAnsi="Arial"/>
                        <w:color w:val="745BA2"/>
                        <w:spacing w:val="8"/>
                        <w:sz w:val="10"/>
                      </w:rPr>
                      <w:t> </w:t>
                    </w:r>
                    <w:r>
                      <w:rPr>
                        <w:color w:val="1C1C1A"/>
                        <w:spacing w:val="-1"/>
                        <w:position w:val="1"/>
                        <w:sz w:val="16"/>
                      </w:rPr>
                      <w:t>Đ</w:t>
                    </w:r>
                    <w:r>
                      <w:rPr>
                        <w:color w:val="1C1C1A"/>
                        <w:position w:val="1"/>
                        <w:sz w:val="16"/>
                      </w:rPr>
                      <w:t>ộ</w:t>
                    </w:r>
                    <w:r>
                      <w:rPr>
                        <w:color w:val="1C1C1A"/>
                        <w:spacing w:val="-1"/>
                        <w:position w:val="1"/>
                        <w:sz w:val="16"/>
                      </w:rPr>
                      <w:t> </w:t>
                    </w:r>
                    <w:r>
                      <w:rPr>
                        <w:color w:val="1C1C1A"/>
                        <w:position w:val="1"/>
                        <w:sz w:val="16"/>
                      </w:rPr>
                      <w:t>bão hòa oxy</w:t>
                    </w:r>
                  </w:p>
                  <w:p>
                    <w:pPr>
                      <w:spacing w:line="190" w:lineRule="exact" w:before="34"/>
                      <w:ind w:left="127" w:right="0" w:firstLine="0"/>
                      <w:jc w:val="lef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w:t>
                    </w:r>
                    <w:r>
                      <w:rPr>
                        <w:rFonts w:ascii="Arial" w:hAnsi="Arial"/>
                        <w:color w:val="745BA2"/>
                        <w:spacing w:val="8"/>
                        <w:position w:val="-1"/>
                        <w:sz w:val="10"/>
                      </w:rPr>
                      <w:t> </w:t>
                    </w:r>
                    <w:r>
                      <w:rPr>
                        <w:color w:val="1C1C1A"/>
                        <w:sz w:val="16"/>
                      </w:rPr>
                      <w:t>Huy</w:t>
                    </w:r>
                    <w:r>
                      <w:rPr>
                        <w:color w:val="1C1C1A"/>
                        <w:spacing w:val="-1"/>
                        <w:sz w:val="16"/>
                      </w:rPr>
                      <w:t>ế</w:t>
                    </w:r>
                    <w:r>
                      <w:rPr>
                        <w:color w:val="1C1C1A"/>
                        <w:sz w:val="16"/>
                      </w:rPr>
                      <w:t>t</w:t>
                    </w:r>
                    <w:r>
                      <w:rPr>
                        <w:color w:val="1C1C1A"/>
                        <w:spacing w:val="-1"/>
                        <w:sz w:val="16"/>
                      </w:rPr>
                      <w:t> á</w:t>
                    </w:r>
                    <w:r>
                      <w:rPr>
                        <w:color w:val="1C1C1A"/>
                        <w:sz w:val="16"/>
                      </w:rPr>
                      <w:t>p</w:t>
                    </w:r>
                  </w:p>
                </w:txbxContent>
              </v:textbox>
              <w10:wrap type="none"/>
            </v:shape>
            <v:shape style="position:absolute;left:6248;top:2025;width:100;height:100" type="#_x0000_t202" filled="false" stroked="false">
              <v:textbox inset="0,0,0,0">
                <w:txbxContent>
                  <w:p>
                    <w:pPr>
                      <w:spacing w:line="100" w:lineRule="exact" w:before="0"/>
                      <w:ind w:left="0" w:right="0" w:firstLine="0"/>
                      <w:jc w:val="left"/>
                      <w:rPr>
                        <w:rFonts w:ascii="Arial" w:hAnsi="Arial"/>
                        <w:sz w:val="10"/>
                      </w:rPr>
                    </w:pPr>
                    <w:r>
                      <w:rPr>
                        <w:rFonts w:ascii="Arial" w:hAnsi="Arial"/>
                        <w:color w:val="755BA3"/>
                        <w:w w:val="130"/>
                        <w:sz w:val="10"/>
                      </w:rPr>
                      <w:t>●</w:t>
                    </w:r>
                  </w:p>
                </w:txbxContent>
              </v:textbox>
              <w10:wrap type="none"/>
            </v:shape>
            <v:shape style="position:absolute;left:6327;top:2080;width:48;height:100" type="#_x0000_t202" filled="false" stroked="false">
              <v:textbox inset="0,0,0,0">
                <w:txbxContent>
                  <w:p>
                    <w:pPr>
                      <w:spacing w:line="100" w:lineRule="exact" w:before="0"/>
                      <w:ind w:left="0" w:right="0" w:firstLine="0"/>
                      <w:jc w:val="left"/>
                      <w:rPr>
                        <w:rFonts w:ascii="Arial" w:hAnsi="Arial"/>
                        <w:sz w:val="10"/>
                      </w:rPr>
                    </w:pPr>
                    <w:r>
                      <w:rPr>
                        <w:rFonts w:ascii="Arial" w:hAnsi="Arial"/>
                        <w:color w:val="745BA2"/>
                        <w:w w:val="45"/>
                        <w:sz w:val="10"/>
                      </w:rPr>
                      <w:t>●</w:t>
                    </w:r>
                  </w:p>
                </w:txbxContent>
              </v:textbox>
              <w10:wrap type="none"/>
            </v:shape>
            <v:shape style="position:absolute;left:6248;top:1988;width:1012;height:526" type="#_x0000_t202" filled="false" stroked="false">
              <v:textbox inset="0,0,0,0">
                <w:txbxContent>
                  <w:p>
                    <w:pPr>
                      <w:spacing w:line="177" w:lineRule="exact" w:before="0"/>
                      <w:ind w:left="96" w:right="18" w:firstLine="0"/>
                      <w:jc w:val="center"/>
                      <w:rPr>
                        <w:sz w:val="16"/>
                      </w:rPr>
                    </w:pPr>
                    <w:r>
                      <w:rPr>
                        <w:color w:val="1C1C1A"/>
                        <w:sz w:val="16"/>
                      </w:rPr>
                      <w:t>Nước tiểu</w:t>
                    </w:r>
                  </w:p>
                  <w:p>
                    <w:pPr>
                      <w:spacing w:before="152"/>
                      <w:ind w:left="0" w:right="18" w:firstLine="0"/>
                      <w:jc w:val="center"/>
                      <w:rPr>
                        <w:b/>
                        <w:sz w:val="17"/>
                      </w:rPr>
                    </w:pPr>
                    <w:r>
                      <w:rPr>
                        <w:b/>
                        <w:color w:val="575757"/>
                        <w:sz w:val="17"/>
                      </w:rPr>
                      <w:t>Bổ sung thêm</w:t>
                    </w:r>
                  </w:p>
                </w:txbxContent>
              </v:textbox>
              <w10:wrap type="none"/>
            </v:shape>
            <v:shape style="position:absolute;left:6248;top:2574;width:2599;height:907" type="#_x0000_t202" filled="false" stroked="false">
              <v:textbox inset="0,0,0,0">
                <w:txbxContent>
                  <w:p>
                    <w:pPr>
                      <w:numPr>
                        <w:ilvl w:val="0"/>
                        <w:numId w:val="2"/>
                      </w:numPr>
                      <w:tabs>
                        <w:tab w:pos="227" w:val="left" w:leader="none"/>
                      </w:tabs>
                      <w:spacing w:line="141" w:lineRule="exact" w:before="0"/>
                      <w:ind w:left="226" w:right="0" w:hanging="227"/>
                      <w:jc w:val="left"/>
                      <w:rPr>
                        <w:sz w:val="16"/>
                      </w:rPr>
                    </w:pPr>
                    <w:r>
                      <w:rPr>
                        <w:color w:val="1C1C1A"/>
                        <w:sz w:val="16"/>
                      </w:rPr>
                      <w:t>Áp lực tĩnh mạch trung</w:t>
                    </w:r>
                    <w:r>
                      <w:rPr>
                        <w:color w:val="1C1C1A"/>
                        <w:spacing w:val="-7"/>
                        <w:sz w:val="16"/>
                      </w:rPr>
                      <w:t> </w:t>
                    </w:r>
                    <w:r>
                      <w:rPr>
                        <w:color w:val="1C1C1A"/>
                        <w:sz w:val="16"/>
                      </w:rPr>
                      <w:t>tâm</w:t>
                    </w:r>
                  </w:p>
                  <w:p>
                    <w:pPr>
                      <w:spacing w:line="76" w:lineRule="exact" w:before="0"/>
                      <w:ind w:left="79" w:right="0" w:firstLine="0"/>
                      <w:jc w:val="left"/>
                      <w:rPr>
                        <w:rFonts w:ascii="Arial" w:hAnsi="Arial"/>
                        <w:sz w:val="10"/>
                      </w:rPr>
                    </w:pPr>
                    <w:r>
                      <w:rPr>
                        <w:rFonts w:ascii="Arial" w:hAnsi="Arial"/>
                        <w:color w:val="745BA2"/>
                        <w:w w:val="45"/>
                        <w:sz w:val="10"/>
                      </w:rPr>
                      <w:t>●</w:t>
                    </w:r>
                  </w:p>
                  <w:p>
                    <w:pPr>
                      <w:numPr>
                        <w:ilvl w:val="0"/>
                        <w:numId w:val="2"/>
                      </w:numPr>
                      <w:tabs>
                        <w:tab w:pos="227" w:val="left" w:leader="none"/>
                      </w:tabs>
                      <w:spacing w:line="150" w:lineRule="exact" w:before="0"/>
                      <w:ind w:left="226" w:right="0" w:hanging="227"/>
                      <w:jc w:val="left"/>
                      <w:rPr>
                        <w:sz w:val="16"/>
                      </w:rPr>
                    </w:pPr>
                    <w:r>
                      <w:rPr>
                        <w:color w:val="1C1C1A"/>
                        <w:sz w:val="16"/>
                      </w:rPr>
                      <w:t>Huyết áp xâm</w:t>
                    </w:r>
                    <w:r>
                      <w:rPr>
                        <w:color w:val="1C1C1A"/>
                        <w:spacing w:val="-3"/>
                        <w:sz w:val="16"/>
                      </w:rPr>
                      <w:t> </w:t>
                    </w:r>
                    <w:r>
                      <w:rPr>
                        <w:color w:val="1C1C1A"/>
                        <w:sz w:val="16"/>
                      </w:rPr>
                      <w:t>lấn</w:t>
                    </w:r>
                  </w:p>
                  <w:p>
                    <w:pPr>
                      <w:spacing w:line="76" w:lineRule="exact" w:before="0"/>
                      <w:ind w:left="79" w:right="0" w:firstLine="0"/>
                      <w:jc w:val="left"/>
                      <w:rPr>
                        <w:rFonts w:ascii="Arial" w:hAnsi="Arial"/>
                        <w:sz w:val="10"/>
                      </w:rPr>
                    </w:pPr>
                    <w:r>
                      <w:rPr>
                        <w:rFonts w:ascii="Arial" w:hAnsi="Arial"/>
                        <w:color w:val="745BA2"/>
                        <w:w w:val="45"/>
                        <w:sz w:val="10"/>
                      </w:rPr>
                      <w:t>●</w:t>
                    </w:r>
                  </w:p>
                  <w:p>
                    <w:pPr>
                      <w:numPr>
                        <w:ilvl w:val="0"/>
                        <w:numId w:val="2"/>
                      </w:numPr>
                      <w:tabs>
                        <w:tab w:pos="227" w:val="left" w:leader="none"/>
                      </w:tabs>
                      <w:spacing w:line="149" w:lineRule="exact" w:before="0"/>
                      <w:ind w:left="226" w:right="0" w:hanging="227"/>
                      <w:jc w:val="left"/>
                      <w:rPr>
                        <w:sz w:val="16"/>
                      </w:rPr>
                    </w:pPr>
                    <w:r>
                      <w:rPr>
                        <w:color w:val="1C1C1A"/>
                        <w:sz w:val="16"/>
                      </w:rPr>
                      <w:t>Cung lượng</w:t>
                    </w:r>
                    <w:r>
                      <w:rPr>
                        <w:color w:val="1C1C1A"/>
                        <w:spacing w:val="-2"/>
                        <w:sz w:val="16"/>
                      </w:rPr>
                      <w:t> </w:t>
                    </w:r>
                    <w:r>
                      <w:rPr>
                        <w:color w:val="1C1C1A"/>
                        <w:sz w:val="16"/>
                      </w:rPr>
                      <w:t>tim</w:t>
                    </w:r>
                  </w:p>
                  <w:p>
                    <w:pPr>
                      <w:spacing w:line="76" w:lineRule="exact" w:before="0"/>
                      <w:ind w:left="79" w:right="0" w:firstLine="0"/>
                      <w:jc w:val="left"/>
                      <w:rPr>
                        <w:rFonts w:ascii="Arial" w:hAnsi="Arial"/>
                        <w:sz w:val="10"/>
                      </w:rPr>
                    </w:pPr>
                    <w:r>
                      <w:rPr>
                        <w:rFonts w:ascii="Arial" w:hAnsi="Arial"/>
                        <w:color w:val="745BA2"/>
                        <w:w w:val="45"/>
                        <w:sz w:val="10"/>
                      </w:rPr>
                      <w:t>●</w:t>
                    </w:r>
                  </w:p>
                  <w:p>
                    <w:pPr>
                      <w:numPr>
                        <w:ilvl w:val="0"/>
                        <w:numId w:val="2"/>
                      </w:numPr>
                      <w:tabs>
                        <w:tab w:pos="227" w:val="left" w:leader="none"/>
                      </w:tabs>
                      <w:spacing w:line="149" w:lineRule="exact" w:before="0"/>
                      <w:ind w:left="226" w:right="0" w:hanging="227"/>
                      <w:jc w:val="left"/>
                      <w:rPr>
                        <w:sz w:val="16"/>
                      </w:rPr>
                    </w:pPr>
                    <w:r>
                      <w:rPr>
                        <w:color w:val="1C1C1A"/>
                        <w:sz w:val="16"/>
                      </w:rPr>
                      <w:t>Base thâm hụt và lactate huyết</w:t>
                    </w:r>
                    <w:r>
                      <w:rPr>
                        <w:color w:val="1C1C1A"/>
                        <w:spacing w:val="-8"/>
                        <w:sz w:val="16"/>
                      </w:rPr>
                      <w:t> </w:t>
                    </w:r>
                    <w:r>
                      <w:rPr>
                        <w:color w:val="1C1C1A"/>
                        <w:sz w:val="16"/>
                      </w:rPr>
                      <w:t>thanh</w:t>
                    </w:r>
                  </w:p>
                  <w:p>
                    <w:pPr>
                      <w:spacing w:line="90" w:lineRule="exact" w:before="0"/>
                      <w:ind w:left="79" w:right="0" w:firstLine="0"/>
                      <w:jc w:val="left"/>
                      <w:rPr>
                        <w:rFonts w:ascii="Arial" w:hAnsi="Arial"/>
                        <w:sz w:val="10"/>
                      </w:rPr>
                    </w:pPr>
                    <w:r>
                      <w:rPr>
                        <w:rFonts w:ascii="Arial" w:hAnsi="Arial"/>
                        <w:color w:val="745BA2"/>
                        <w:w w:val="45"/>
                        <w:sz w:val="10"/>
                      </w:rPr>
                      <w:t>●</w:t>
                    </w:r>
                  </w:p>
                </w:txbxContent>
              </v:textbox>
              <w10:wrap type="none"/>
            </v:shape>
            <w10:wrap type="topAndBottom"/>
          </v:group>
        </w:pict>
      </w:r>
    </w:p>
    <w:p>
      <w:pPr>
        <w:pStyle w:val="BodyText"/>
        <w:spacing w:before="2"/>
        <w:rPr>
          <w:sz w:val="28"/>
        </w:rPr>
      </w:pPr>
    </w:p>
    <w:p>
      <w:pPr>
        <w:pStyle w:val="Heading3"/>
        <w:spacing w:before="1"/>
        <w:ind w:left="225"/>
        <w:rPr>
          <w:i/>
        </w:rPr>
      </w:pPr>
      <w:r>
        <w:rPr>
          <w:i/>
          <w:color w:val="8C91A1"/>
        </w:rPr>
        <w:t>Tim mạch</w:t>
      </w:r>
    </w:p>
    <w:p>
      <w:pPr>
        <w:pStyle w:val="BodyText"/>
        <w:spacing w:line="216" w:lineRule="auto" w:before="33"/>
        <w:ind w:left="225" w:right="1057"/>
      </w:pPr>
      <w:r>
        <w:rPr>
          <w:color w:val="1C1C1A"/>
        </w:rPr>
        <w:t>Theo dõi tim mạch ở mức tối thiểu phải bao gồm nhịp tim liên tục (ECG), độ bão hòa oxy, các sóng và huyết áp không xâm lấn. Những bệnh nhân trong tình trạng sốc không được điều chỉnh nhanh chóng với lượng dịch ít cần theo dõi áp lực tĩnh mạch trung tâm và theo dõi huyết áp liên tục qua động mạch.</w:t>
      </w:r>
    </w:p>
    <w:p>
      <w:pPr>
        <w:pStyle w:val="Heading4"/>
        <w:spacing w:before="189"/>
        <w:ind w:left="226"/>
      </w:pPr>
      <w:r>
        <w:rPr>
          <w:color w:val="7E8597"/>
        </w:rPr>
        <w:t>ÁP LỰC TĨNH MẠCH TRUNG TÂM</w:t>
      </w:r>
    </w:p>
    <w:p>
      <w:pPr>
        <w:pStyle w:val="BodyText"/>
        <w:spacing w:line="230" w:lineRule="auto" w:before="31"/>
        <w:ind w:left="225" w:right="998"/>
      </w:pPr>
      <w:r>
        <w:rPr>
          <w:color w:val="1C1C1A"/>
        </w:rPr>
        <w:t>Không có áp lực tĩnh mạch trung tâm (CVP - central venous pressure) 'bình thường' và không thể đo ngắt quãng để đánh giá tình trạng thể tích ở bệnh nhân sốc. Một số bệnh nhân có </w:t>
      </w:r>
      <w:r>
        <w:rPr>
          <w:color w:val="1C1C1A"/>
          <w:position w:val="1"/>
        </w:rPr>
        <w:t>thể yêu cầu CVP 5 cmH</w:t>
      </w:r>
      <w:r>
        <w:rPr>
          <w:color w:val="1C1C1A"/>
          <w:sz w:val="13"/>
        </w:rPr>
        <w:t>2</w:t>
      </w:r>
      <w:r>
        <w:rPr>
          <w:color w:val="1C1C1A"/>
          <w:position w:val="1"/>
        </w:rPr>
        <w:t>O, trong khi đó một số bệnh nhân có thể cần CVP 15 cmH</w:t>
      </w:r>
      <w:r>
        <w:rPr>
          <w:color w:val="1C1C1A"/>
          <w:sz w:val="13"/>
        </w:rPr>
        <w:t>2</w:t>
      </w:r>
      <w:r>
        <w:rPr>
          <w:color w:val="1C1C1A"/>
          <w:position w:val="1"/>
        </w:rPr>
        <w:t>O hoặc cao hơn. Hơn nữa, đáp ứng của </w:t>
      </w:r>
      <w:r>
        <w:rPr>
          <w:color w:val="1C1C1A"/>
        </w:rPr>
        <w:t>tâm thất có thể thay đổi từng phút trong trạng thái sốc, và CVP ít phản ánh thể tích cuối tâm trương (tiền gánh).</w:t>
      </w:r>
    </w:p>
    <w:p>
      <w:pPr>
        <w:pStyle w:val="BodyText"/>
        <w:spacing w:line="216" w:lineRule="auto"/>
        <w:ind w:left="225" w:right="951" w:firstLine="283"/>
      </w:pPr>
      <w:r>
        <w:rPr>
          <w:color w:val="1C1C1A"/>
        </w:rPr>
        <w:t>Theo dõi CVP nên được sử dụng để đánh giá trong đáp ứng động với dịch truyền (xem ở trên). Một lượng dịch truyền (250–500 mL) nhanh chóng trong 5–10 phút.</w:t>
      </w:r>
    </w:p>
    <w:p>
      <w:pPr>
        <w:pStyle w:val="BodyText"/>
        <w:spacing w:line="201" w:lineRule="auto" w:before="3"/>
        <w:ind w:left="225" w:right="1001" w:firstLine="283"/>
      </w:pPr>
      <w:r>
        <w:rPr>
          <w:color w:val="1C1C1A"/>
        </w:rPr>
        <w:t>Đáp ứng CVP bình thường tăng 2–5 cmH</w:t>
      </w:r>
      <w:r>
        <w:rPr>
          <w:color w:val="1C1C1A"/>
          <w:vertAlign w:val="subscript"/>
        </w:rPr>
        <w:t>2</w:t>
      </w:r>
      <w:r>
        <w:rPr>
          <w:color w:val="1C1C1A"/>
          <w:vertAlign w:val="baseline"/>
        </w:rPr>
        <w:t>O dần trở lại mức ban đầu trong 10–20 phút. Những bệnh nhân không thay đổi CVP được coi là không đáp ứng và cần được hồi sức thêm bằng dịch truyền. Những bệnh nhân có CVP tăng nhiều, liên tục có tiền gánh cao và có nguy cơ suy tim hoặc quá tải thể tích tuần</w:t>
      </w:r>
      <w:r>
        <w:rPr>
          <w:color w:val="1C1C1A"/>
          <w:spacing w:val="-3"/>
          <w:vertAlign w:val="baseline"/>
        </w:rPr>
        <w:t> </w:t>
      </w:r>
      <w:r>
        <w:rPr>
          <w:color w:val="1C1C1A"/>
          <w:vertAlign w:val="baseline"/>
        </w:rPr>
        <w:t>hoàn.</w:t>
      </w:r>
    </w:p>
    <w:p>
      <w:pPr>
        <w:spacing w:after="0" w:line="201" w:lineRule="auto"/>
        <w:sectPr>
          <w:type w:val="continuous"/>
          <w:pgSz w:w="12070" w:h="15650"/>
          <w:pgMar w:top="0" w:bottom="280" w:left="0" w:right="0"/>
          <w:cols w:num="2" w:equalWidth="0">
            <w:col w:w="5856" w:space="40"/>
            <w:col w:w="6174"/>
          </w:cols>
        </w:sectPr>
      </w:pPr>
    </w:p>
    <w:p>
      <w:pPr>
        <w:pStyle w:val="BodyText"/>
      </w:pPr>
    </w:p>
    <w:p>
      <w:pPr>
        <w:pStyle w:val="BodyText"/>
      </w:pPr>
    </w:p>
    <w:p>
      <w:pPr>
        <w:pStyle w:val="BodyText"/>
      </w:pPr>
    </w:p>
    <w:p>
      <w:pPr>
        <w:pStyle w:val="BodyText"/>
        <w:spacing w:before="1"/>
        <w:rPr>
          <w:sz w:val="25"/>
        </w:rPr>
      </w:pPr>
    </w:p>
    <w:p>
      <w:pPr>
        <w:pStyle w:val="BodyText"/>
        <w:spacing w:line="20" w:lineRule="exact"/>
        <w:ind w:left="900"/>
        <w:rPr>
          <w:sz w:val="2"/>
        </w:rPr>
      </w:pPr>
      <w:r>
        <w:rPr>
          <w:sz w:val="2"/>
        </w:rPr>
        <w:pict>
          <v:group style="width:507.25pt;height:.5pt;mso-position-horizontal-relative:char;mso-position-vertical-relative:line" coordorigin="0,0" coordsize="10145,10">
            <v:line style="position:absolute" from="0,5" to="10145,5" stroked="true" strokeweight=".5pt" strokecolor="#745ba2">
              <v:stroke dashstyle="solid"/>
            </v:line>
          </v:group>
        </w:pict>
      </w:r>
      <w:r>
        <w:rPr>
          <w:sz w:val="2"/>
        </w:rPr>
      </w:r>
    </w:p>
    <w:p>
      <w:pPr>
        <w:spacing w:before="52"/>
        <w:ind w:left="913" w:right="1657" w:firstLine="0"/>
        <w:jc w:val="left"/>
        <w:rPr>
          <w:sz w:val="16"/>
        </w:rPr>
      </w:pPr>
      <w:r>
        <w:rPr>
          <w:b/>
          <w:color w:val="755BA3"/>
          <w:sz w:val="16"/>
        </w:rPr>
        <w:t>Alexis Frank Hartmann</w:t>
      </w:r>
      <w:r>
        <w:rPr>
          <w:color w:val="575757"/>
          <w:sz w:val="16"/>
        </w:rPr>
        <w:t>, 1898–1964, bác sĩ nhi khoa, St Louis, MO, Mỹ, dịch truyền mang tên ông; không nên nhầm lẫn với Henri Albert Charles Antoine Hartmann, bác sĩ phẫu thuật người Pháp, có một ca phẫu thuật mang tên ông.</w:t>
      </w:r>
    </w:p>
    <w:p>
      <w:pPr>
        <w:spacing w:line="181" w:lineRule="exact" w:before="0"/>
        <w:ind w:left="913" w:right="0" w:firstLine="0"/>
        <w:jc w:val="left"/>
        <w:rPr>
          <w:sz w:val="16"/>
        </w:rPr>
      </w:pPr>
      <w:r>
        <w:rPr>
          <w:b/>
          <w:color w:val="755BA3"/>
          <w:sz w:val="16"/>
        </w:rPr>
        <w:t>Sidney Ringer</w:t>
      </w:r>
      <w:r>
        <w:rPr>
          <w:color w:val="575757"/>
          <w:sz w:val="16"/>
        </w:rPr>
        <w:t>, 1835–1910, Giáo sư Y học lâm sàng, Bệnh viện Đại học, London, Anh.</w:t>
      </w:r>
    </w:p>
    <w:p>
      <w:pPr>
        <w:spacing w:after="0" w:line="181" w:lineRule="exact"/>
        <w:jc w:val="left"/>
        <w:rPr>
          <w:sz w:val="16"/>
        </w:rPr>
        <w:sectPr>
          <w:type w:val="continuous"/>
          <w:pgSz w:w="12070" w:h="15650"/>
          <w:pgMar w:top="0" w:bottom="280" w:left="0" w:right="0"/>
        </w:sectPr>
      </w:pPr>
    </w:p>
    <w:p>
      <w:pPr>
        <w:pStyle w:val="BodyText"/>
        <w:spacing w:before="4"/>
        <w:rPr>
          <w:sz w:val="28"/>
        </w:rPr>
      </w:pPr>
    </w:p>
    <w:p>
      <w:pPr>
        <w:spacing w:after="0"/>
        <w:rPr>
          <w:sz w:val="28"/>
        </w:rPr>
        <w:sectPr>
          <w:pgSz w:w="12070" w:h="15650"/>
          <w:pgMar w:header="0" w:footer="0" w:top="960" w:bottom="280" w:left="0" w:right="0"/>
        </w:sectPr>
      </w:pPr>
    </w:p>
    <w:p>
      <w:pPr>
        <w:pStyle w:val="Heading4"/>
        <w:spacing w:before="91"/>
      </w:pPr>
      <w:bookmarkStart w:name="_bookmark1" w:id="2"/>
      <w:bookmarkEnd w:id="2"/>
      <w:r>
        <w:rPr>
          <w:b w:val="0"/>
        </w:rPr>
      </w:r>
      <w:r>
        <w:rPr>
          <w:color w:val="7E8597"/>
        </w:rPr>
        <w:t>CUNG LƯỢNG TIM</w:t>
      </w:r>
    </w:p>
    <w:p>
      <w:pPr>
        <w:pStyle w:val="BodyText"/>
        <w:spacing w:line="216" w:lineRule="auto" w:before="43"/>
        <w:ind w:left="1018" w:right="49"/>
      </w:pPr>
      <w:r>
        <w:rPr>
          <w:color w:val="1C1C1A"/>
        </w:rPr>
        <w:t>Theo dõi cung lượng tim cho phép đánh giá không chỉ cung lượng tim mà còn cả sức cản mạch hệ thống và tùy thuộc vào kỹ thuật được sử dụng có thể theo dõi thể tích cuối tâm trương (tiền gánh) và thể tích máu. Việc theo dõi tim qua xâm lấn bằng ống thông động mạch phổi ngày càng ít phổ biến hơn vì các kỹ thuật theo dõi không xâm lấn mới, chẳng hạn như siêu âm Doppler, phân tích các sóng và phương</w:t>
      </w:r>
      <w:r>
        <w:rPr>
          <w:color w:val="1C1C1A"/>
          <w:spacing w:val="-19"/>
        </w:rPr>
        <w:t> </w:t>
      </w:r>
      <w:r>
        <w:rPr>
          <w:color w:val="1C1C1A"/>
        </w:rPr>
        <w:t>pháp pha loãng chất chỉ thị, cung cấp thông tin tương tự mà không có nhiều nhược điểm như các kỹ thuật xâm</w:t>
      </w:r>
      <w:r>
        <w:rPr>
          <w:color w:val="1C1C1A"/>
          <w:spacing w:val="-6"/>
        </w:rPr>
        <w:t> </w:t>
      </w:r>
      <w:r>
        <w:rPr>
          <w:color w:val="1C1C1A"/>
        </w:rPr>
        <w:t>lấn.</w:t>
      </w:r>
    </w:p>
    <w:p>
      <w:pPr>
        <w:pStyle w:val="BodyText"/>
        <w:spacing w:line="216" w:lineRule="auto" w:before="9"/>
        <w:ind w:left="1018" w:firstLine="283"/>
      </w:pPr>
      <w:r>
        <w:rPr>
          <w:color w:val="1C1C1A"/>
        </w:rPr>
        <w:t>Đo cung lượng tim, sức cản mạch hệ thống và tiền gánh</w:t>
      </w:r>
      <w:r>
        <w:rPr>
          <w:color w:val="1C1C1A"/>
          <w:spacing w:val="-30"/>
        </w:rPr>
        <w:t> </w:t>
      </w:r>
      <w:r>
        <w:rPr>
          <w:color w:val="1C1C1A"/>
        </w:rPr>
        <w:t>có thể giúp phân biệt các loại sốc (giảm thể tích tuần hoàn, phân bố, tim), đặc biệt khi chúng cùng tồn tại. Thông tin cung cấp được bằng cách theo dõi phản ứng của hệ tuần hoàn theo thời gian thực định hướng sử dụng dịch truyền và thuốc vận</w:t>
      </w:r>
      <w:r>
        <w:rPr>
          <w:color w:val="1C1C1A"/>
          <w:spacing w:val="-11"/>
        </w:rPr>
        <w:t> </w:t>
      </w:r>
      <w:r>
        <w:rPr>
          <w:color w:val="1C1C1A"/>
        </w:rPr>
        <w:t>mạch.</w:t>
      </w:r>
    </w:p>
    <w:p>
      <w:pPr>
        <w:pStyle w:val="BodyText"/>
        <w:spacing w:line="216" w:lineRule="auto" w:before="5"/>
        <w:ind w:left="1018" w:right="170" w:firstLine="283"/>
      </w:pPr>
      <w:r>
        <w:rPr>
          <w:color w:val="1C1C1A"/>
        </w:rPr>
        <w:t>Đo cung lượng tim mong muốn phát hiện những bệnh nhân không đáp ứng như mong đợi với liệu pháp điều trị ban đầu, hoặc các bằng chứng về sốc tim hoặc rối loạn chức năng cơ tim. Cần xem xét sớm việc tiến hành theo dõi cung lượng tim cho những bệnh nhân cần dùng thuốc vận mạch hoặc hỗ trợ tăng co.</w:t>
      </w:r>
    </w:p>
    <w:p>
      <w:pPr>
        <w:pStyle w:val="Heading3"/>
        <w:spacing w:before="152"/>
        <w:rPr>
          <w:i/>
        </w:rPr>
      </w:pPr>
      <w:r>
        <w:rPr>
          <w:i/>
          <w:color w:val="8C91A1"/>
        </w:rPr>
        <w:t>Tưới máu toàn thân và cơ quan</w:t>
      </w:r>
    </w:p>
    <w:p>
      <w:pPr>
        <w:pStyle w:val="BodyText"/>
        <w:spacing w:line="216" w:lineRule="auto" w:before="33"/>
        <w:ind w:left="1018" w:right="95"/>
      </w:pPr>
      <w:r>
        <w:rPr>
          <w:color w:val="1C1C1A"/>
        </w:rPr>
        <w:t>Mục tiêu cuối cùng của việc điều trị là phục hồi chức năng tế bào và tưới máu cơ quan. Do đó, lý tưởng nhất là theo dõi tưới máu cơ quan để xử trí tình trạng sốc. Phương pháp tốt nhất và đầy đủ nhất để theo dõi tưới máu tới cơ quan trong sốc là theo dõi lượng nước tiểu. Tuy nhiên, đây là thước đo theo giờ và không đưa ra cái nhìn tổng quát về trạng thái sốc. Mức độ ý thức cũng là một dấu hiệu quan trọng của tưới máu não, nhưng tưới máu não được duy trì cho đến giai</w:t>
      </w:r>
      <w:r>
        <w:rPr>
          <w:color w:val="1C1C1A"/>
          <w:spacing w:val="-14"/>
        </w:rPr>
        <w:t> </w:t>
      </w:r>
      <w:r>
        <w:rPr>
          <w:color w:val="1C1C1A"/>
        </w:rPr>
        <w:t>đoạn cuối của sốc, do đó là một dấu hiệu muộn để có thể đáp ứng hồi sức kịp thời (</w:t>
      </w:r>
      <w:r>
        <w:rPr>
          <w:i/>
          <w:color w:val="0000FF"/>
        </w:rPr>
        <w:t>Bảng</w:t>
      </w:r>
      <w:r>
        <w:rPr>
          <w:i/>
          <w:color w:val="0000FF"/>
          <w:spacing w:val="-4"/>
        </w:rPr>
        <w:t> </w:t>
      </w:r>
      <w:r>
        <w:rPr>
          <w:i/>
          <w:color w:val="0000FF"/>
        </w:rPr>
        <w:t>2.3</w:t>
      </w:r>
      <w:r>
        <w:rPr>
          <w:color w:val="1C1C1A"/>
        </w:rPr>
        <w:t>).</w:t>
      </w:r>
    </w:p>
    <w:p>
      <w:pPr>
        <w:pStyle w:val="BodyText"/>
        <w:spacing w:line="216" w:lineRule="auto" w:before="10"/>
        <w:ind w:left="1018" w:right="170" w:firstLine="283"/>
      </w:pPr>
      <w:r>
        <w:rPr>
          <w:color w:val="1C1C1A"/>
        </w:rPr>
        <w:t>Hiện tại, các chỉ số lâm sàng duy nhất về mức độ tưới máu của đường tiêu hóa và cơ là theo dõi nhiễm toan lactic toàn thân (lactate và base thâm hụt) và độ bão hòa oxy tĩnh mạch trộn.</w:t>
      </w:r>
    </w:p>
    <w:p>
      <w:pPr>
        <w:pStyle w:val="Heading4"/>
        <w:spacing w:before="91"/>
        <w:ind w:left="185"/>
      </w:pPr>
      <w:r>
        <w:rPr>
          <w:b w:val="0"/>
        </w:rPr>
        <w:br w:type="column"/>
      </w:r>
      <w:r>
        <w:rPr>
          <w:color w:val="7E8597"/>
        </w:rPr>
        <w:t>BASE THÂM HỤT VÀ LACTATE</w:t>
      </w:r>
    </w:p>
    <w:p>
      <w:pPr>
        <w:pStyle w:val="BodyText"/>
        <w:spacing w:line="216" w:lineRule="auto" w:before="43"/>
        <w:ind w:left="184" w:right="914"/>
      </w:pPr>
      <w:r>
        <w:rPr>
          <w:color w:val="1C1C1A"/>
        </w:rPr>
        <w:t>Acid lactic được tạo ra bởi các tế bào trong quá trình hô hấp kỵ khí. Mức độ nhiễm toan lactic, được đo bằng nồng độ lactate huyết thanh và/hoặc base thâm hụt, nhạy cảm cho cả chẩn đoán và theo dõi với đáp ứng điều trị sốc. Bệnh nhân thâm hụt base trên 6 mmol/L có tỷ lệ sốc và nguy cơ tử vong cao hơn nhiều so với những bệnh nhân không có toan chuyển hóa. Hơn nữa, khoảng thời gian bị sốc tăng thêm với tình trạng thâm hụt base trầm trọng, ngay cả khi các dấu hiệu sinh tồn khác trở lại bình thường (xem giảm tưới máu thể ẩn trong </w:t>
      </w:r>
      <w:r>
        <w:rPr>
          <w:b/>
          <w:color w:val="1C1C1A"/>
        </w:rPr>
        <w:t>Điểm kết thúc của hồi</w:t>
      </w:r>
      <w:r>
        <w:rPr>
          <w:b/>
          <w:color w:val="1C1C1A"/>
          <w:spacing w:val="-2"/>
        </w:rPr>
        <w:t> </w:t>
      </w:r>
      <w:r>
        <w:rPr>
          <w:b/>
          <w:color w:val="1C1C1A"/>
        </w:rPr>
        <w:t>sức</w:t>
      </w:r>
      <w:r>
        <w:rPr>
          <w:color w:val="1C1C1A"/>
        </w:rPr>
        <w:t>).</w:t>
      </w:r>
    </w:p>
    <w:p>
      <w:pPr>
        <w:pStyle w:val="BodyText"/>
        <w:spacing w:line="216" w:lineRule="auto"/>
        <w:ind w:left="184" w:right="895" w:firstLine="283"/>
      </w:pPr>
      <w:r>
        <w:rPr>
          <w:color w:val="1C1C1A"/>
        </w:rPr>
        <w:t>Các thông số này được đo từ việc phân tích khí máu động mạch, và do đó tần số của các phép đo là hữu hạn, không thể cung cấp dữ liệu từng phút về tình trạng tưới máu toàn thân hoặc đáp ứng với điều trị. Tuy nhiên, sự thâm hụt base và/hoặc nhiễm toan nên được đo thường xuyên ở những bệnh nhân này cho đến khi các chỉ số này trở lại bình thường.</w:t>
      </w:r>
    </w:p>
    <w:p>
      <w:pPr>
        <w:pStyle w:val="Heading4"/>
        <w:spacing w:before="186"/>
        <w:ind w:left="185"/>
      </w:pPr>
      <w:r>
        <w:rPr>
          <w:color w:val="7E8597"/>
        </w:rPr>
        <w:t>ĐỘ BÃO HÒA OXY TĨNH MẠCH TRỘN</w:t>
      </w:r>
    </w:p>
    <w:p>
      <w:pPr>
        <w:pStyle w:val="BodyText"/>
        <w:spacing w:line="230" w:lineRule="auto" w:before="31"/>
        <w:ind w:left="184" w:right="859"/>
      </w:pPr>
      <w:r>
        <w:rPr>
          <w:color w:val="1C1C1A"/>
        </w:rPr>
        <w:t>Tỷ lệ phần trăm bão hòa oxy trở về tim từ cơ thể là một phép đo lượng oxy cung cấp và thải trừ từ các mô. Phép đo chính xác thông qua phân tích máu được lấy từ một đường dài đặt trong trung tâm tâm nhĩ phải. Các phân tích có thể được thực hiện từ máu được lấy từ các đường ở tĩnh mạch chủ trên, nhưng các giá trị này sẽ cao hơn một chút so với các giá trị của máu tĩnh mạch trộn (vì lượng oxy sử dụng nhiều hơn ở nửa dưới cơ thể). Bình thường mức độ bão hòa oxy tĩnh mạch trộn là 50-70%. Dưới 50% cho thấy việc cung cấp oxy không đủ và các tế bào tăng cường khai thác oxy. Điều này phù hợp với tình trạng giảm thể tích máu và sốc tim.</w:t>
      </w:r>
    </w:p>
    <w:p>
      <w:pPr>
        <w:pStyle w:val="BodyText"/>
        <w:spacing w:line="216" w:lineRule="auto" w:before="5"/>
        <w:ind w:left="184" w:right="921" w:firstLine="283"/>
      </w:pPr>
      <w:r>
        <w:rPr>
          <w:color w:val="1C1C1A"/>
        </w:rPr>
        <w:t>Tình trạng bão hòa oxy tĩnh mạch trộn cao (&gt; 70%) gặp trong nhiễm trùng huyết và một số hình thức sốc phân phối khác. Trong nhiễm trùng huyết, có sự rối loạn sử dụng oxy ở cấp độ tế bào, và sự tắc nghẽn động mạch ở mức độ vi mạch. Do đó, lượng oxy được cung cấp cho các tế bào ít hơn và các tế bào đó không thể sử dụng oxy được cung cấp. Như vậy, máu tĩnh mạch có nồng độ oxy cao hơn bình thường.</w:t>
      </w:r>
    </w:p>
    <w:p>
      <w:pPr>
        <w:spacing w:after="0" w:line="216" w:lineRule="auto"/>
        <w:sectPr>
          <w:type w:val="continuous"/>
          <w:pgSz w:w="12070" w:h="15650"/>
          <w:pgMar w:top="0" w:bottom="280" w:left="0" w:right="0"/>
          <w:cols w:num="2" w:equalWidth="0">
            <w:col w:w="6011" w:space="40"/>
            <w:col w:w="6019"/>
          </w:cols>
        </w:sectPr>
      </w:pPr>
    </w:p>
    <w:p>
      <w:pPr>
        <w:pStyle w:val="BodyText"/>
      </w:pPr>
    </w:p>
    <w:p>
      <w:pPr>
        <w:pStyle w:val="BodyText"/>
      </w:pPr>
    </w:p>
    <w:p>
      <w:pPr>
        <w:pStyle w:val="BodyText"/>
      </w:pPr>
    </w:p>
    <w:p>
      <w:pPr>
        <w:pStyle w:val="BodyText"/>
      </w:pPr>
    </w:p>
    <w:p>
      <w:pPr>
        <w:pStyle w:val="BodyText"/>
        <w:spacing w:before="5"/>
        <w:rPr>
          <w:sz w:val="22"/>
        </w:rPr>
      </w:pPr>
    </w:p>
    <w:tbl>
      <w:tblPr>
        <w:tblW w:w="0" w:type="auto"/>
        <w:jc w:val="left"/>
        <w:tblInd w:w="10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3379"/>
        <w:gridCol w:w="3379"/>
        <w:gridCol w:w="3379"/>
      </w:tblGrid>
      <w:tr>
        <w:trPr>
          <w:trHeight w:val="333" w:hRule="atLeast"/>
        </w:trPr>
        <w:tc>
          <w:tcPr>
            <w:tcW w:w="10137" w:type="dxa"/>
            <w:gridSpan w:val="3"/>
            <w:tcBorders>
              <w:top w:val="nil"/>
              <w:left w:val="nil"/>
            </w:tcBorders>
            <w:shd w:val="clear" w:color="auto" w:fill="C5BBDD"/>
          </w:tcPr>
          <w:p>
            <w:pPr>
              <w:pStyle w:val="TableParagraph"/>
              <w:spacing w:before="80"/>
              <w:ind w:left="79"/>
              <w:rPr>
                <w:sz w:val="18"/>
              </w:rPr>
            </w:pPr>
            <w:r>
              <w:rPr>
                <w:b/>
                <w:color w:val="755BA3"/>
                <w:sz w:val="18"/>
              </w:rPr>
              <w:t>BẢNG 2.3 </w:t>
            </w:r>
            <w:r>
              <w:rPr>
                <w:color w:val="1C1C1A"/>
                <w:sz w:val="18"/>
              </w:rPr>
              <w:t>Theo dõi tưới máu hệ thống/các cơ quan.</w:t>
            </w:r>
          </w:p>
        </w:tc>
      </w:tr>
      <w:tr>
        <w:trPr>
          <w:trHeight w:val="259" w:hRule="atLeast"/>
        </w:trPr>
        <w:tc>
          <w:tcPr>
            <w:tcW w:w="3379" w:type="dxa"/>
            <w:tcBorders>
              <w:left w:val="nil"/>
            </w:tcBorders>
            <w:shd w:val="clear" w:color="auto" w:fill="C5BBDD"/>
          </w:tcPr>
          <w:p>
            <w:pPr>
              <w:pStyle w:val="TableParagraph"/>
              <w:spacing w:before="0"/>
              <w:ind w:left="0"/>
              <w:rPr>
                <w:sz w:val="18"/>
              </w:rPr>
            </w:pPr>
          </w:p>
        </w:tc>
        <w:tc>
          <w:tcPr>
            <w:tcW w:w="3379" w:type="dxa"/>
            <w:shd w:val="clear" w:color="auto" w:fill="C5BBDD"/>
          </w:tcPr>
          <w:p>
            <w:pPr>
              <w:pStyle w:val="TableParagraph"/>
              <w:rPr>
                <w:b/>
                <w:sz w:val="16"/>
              </w:rPr>
            </w:pPr>
            <w:r>
              <w:rPr>
                <w:b/>
                <w:color w:val="1C1C1A"/>
                <w:sz w:val="16"/>
              </w:rPr>
              <w:t>Lâm sàng</w:t>
            </w:r>
          </w:p>
        </w:tc>
        <w:tc>
          <w:tcPr>
            <w:tcW w:w="3379" w:type="dxa"/>
            <w:shd w:val="clear" w:color="auto" w:fill="C5BBDD"/>
          </w:tcPr>
          <w:p>
            <w:pPr>
              <w:pStyle w:val="TableParagraph"/>
              <w:ind w:left="70"/>
              <w:rPr>
                <w:b/>
                <w:sz w:val="16"/>
              </w:rPr>
            </w:pPr>
            <w:r>
              <w:rPr>
                <w:b/>
                <w:sz w:val="16"/>
              </w:rPr>
              <w:t>Theo dõi</w:t>
            </w:r>
          </w:p>
        </w:tc>
      </w:tr>
      <w:tr>
        <w:trPr>
          <w:trHeight w:val="293" w:hRule="atLeast"/>
        </w:trPr>
        <w:tc>
          <w:tcPr>
            <w:tcW w:w="3379" w:type="dxa"/>
            <w:vMerge w:val="restart"/>
            <w:tcBorders>
              <w:left w:val="nil"/>
            </w:tcBorders>
            <w:shd w:val="clear" w:color="auto" w:fill="E6E1D2"/>
          </w:tcPr>
          <w:p>
            <w:pPr>
              <w:pStyle w:val="TableParagraph"/>
              <w:ind w:left="79"/>
              <w:rPr>
                <w:b/>
                <w:sz w:val="16"/>
              </w:rPr>
            </w:pPr>
            <w:r>
              <w:rPr>
                <w:b/>
                <w:color w:val="1C1C1A"/>
                <w:sz w:val="16"/>
              </w:rPr>
              <w:t>Tưới máu toàn thân</w:t>
            </w:r>
          </w:p>
        </w:tc>
        <w:tc>
          <w:tcPr>
            <w:tcW w:w="3379" w:type="dxa"/>
            <w:vMerge w:val="restart"/>
            <w:shd w:val="clear" w:color="auto" w:fill="E6E1D2"/>
          </w:tcPr>
          <w:p>
            <w:pPr>
              <w:pStyle w:val="TableParagraph"/>
              <w:spacing w:before="0"/>
              <w:ind w:left="0"/>
              <w:rPr>
                <w:sz w:val="18"/>
              </w:rPr>
            </w:pPr>
          </w:p>
        </w:tc>
        <w:tc>
          <w:tcPr>
            <w:tcW w:w="3379" w:type="dxa"/>
            <w:shd w:val="clear" w:color="auto" w:fill="E6E1D2"/>
          </w:tcPr>
          <w:p>
            <w:pPr>
              <w:pStyle w:val="TableParagraph"/>
              <w:ind w:left="70"/>
              <w:rPr>
                <w:sz w:val="16"/>
              </w:rPr>
            </w:pPr>
            <w:r>
              <w:rPr>
                <w:color w:val="1C1C1A"/>
                <w:sz w:val="16"/>
              </w:rPr>
              <w:t>Base thâm hụt</w:t>
            </w:r>
          </w:p>
        </w:tc>
      </w:tr>
      <w:tr>
        <w:trPr>
          <w:trHeight w:val="259" w:hRule="atLeast"/>
        </w:trPr>
        <w:tc>
          <w:tcPr>
            <w:tcW w:w="3379" w:type="dxa"/>
            <w:vMerge/>
            <w:tcBorders>
              <w:top w:val="nil"/>
              <w:left w:val="nil"/>
            </w:tcBorders>
            <w:shd w:val="clear" w:color="auto" w:fill="E6E1D2"/>
          </w:tcPr>
          <w:p>
            <w:pPr>
              <w:rPr>
                <w:sz w:val="2"/>
                <w:szCs w:val="2"/>
              </w:rPr>
            </w:pPr>
          </w:p>
        </w:tc>
        <w:tc>
          <w:tcPr>
            <w:tcW w:w="3379" w:type="dxa"/>
            <w:vMerge/>
            <w:tcBorders>
              <w:top w:val="nil"/>
            </w:tcBorders>
            <w:shd w:val="clear" w:color="auto" w:fill="E6E1D2"/>
          </w:tcPr>
          <w:p>
            <w:pPr>
              <w:rPr>
                <w:sz w:val="2"/>
                <w:szCs w:val="2"/>
              </w:rPr>
            </w:pPr>
          </w:p>
        </w:tc>
        <w:tc>
          <w:tcPr>
            <w:tcW w:w="3379" w:type="dxa"/>
            <w:shd w:val="clear" w:color="auto" w:fill="E6E1D2"/>
          </w:tcPr>
          <w:p>
            <w:pPr>
              <w:pStyle w:val="TableParagraph"/>
              <w:ind w:left="70"/>
              <w:rPr>
                <w:sz w:val="16"/>
              </w:rPr>
            </w:pPr>
            <w:r>
              <w:rPr>
                <w:color w:val="1C1C1A"/>
                <w:sz w:val="16"/>
              </w:rPr>
              <w:t>Nhiễm toan</w:t>
            </w:r>
          </w:p>
        </w:tc>
      </w:tr>
      <w:tr>
        <w:trPr>
          <w:trHeight w:val="259" w:hRule="atLeast"/>
        </w:trPr>
        <w:tc>
          <w:tcPr>
            <w:tcW w:w="3379" w:type="dxa"/>
            <w:vMerge/>
            <w:tcBorders>
              <w:top w:val="nil"/>
              <w:left w:val="nil"/>
            </w:tcBorders>
            <w:shd w:val="clear" w:color="auto" w:fill="E6E1D2"/>
          </w:tcPr>
          <w:p>
            <w:pPr>
              <w:rPr>
                <w:sz w:val="2"/>
                <w:szCs w:val="2"/>
              </w:rPr>
            </w:pPr>
          </w:p>
        </w:tc>
        <w:tc>
          <w:tcPr>
            <w:tcW w:w="3379" w:type="dxa"/>
            <w:vMerge/>
            <w:tcBorders>
              <w:top w:val="nil"/>
            </w:tcBorders>
            <w:shd w:val="clear" w:color="auto" w:fill="E6E1D2"/>
          </w:tcPr>
          <w:p>
            <w:pPr>
              <w:rPr>
                <w:sz w:val="2"/>
                <w:szCs w:val="2"/>
              </w:rPr>
            </w:pPr>
          </w:p>
        </w:tc>
        <w:tc>
          <w:tcPr>
            <w:tcW w:w="3379" w:type="dxa"/>
            <w:shd w:val="clear" w:color="auto" w:fill="E6E1D2"/>
          </w:tcPr>
          <w:p>
            <w:pPr>
              <w:pStyle w:val="TableParagraph"/>
              <w:ind w:left="70"/>
              <w:rPr>
                <w:sz w:val="16"/>
              </w:rPr>
            </w:pPr>
            <w:r>
              <w:rPr>
                <w:sz w:val="16"/>
              </w:rPr>
              <w:t>Độ bão hòa oxy tĩnh mạch trộn</w:t>
            </w:r>
          </w:p>
        </w:tc>
      </w:tr>
      <w:tr>
        <w:trPr>
          <w:trHeight w:val="259" w:hRule="atLeast"/>
        </w:trPr>
        <w:tc>
          <w:tcPr>
            <w:tcW w:w="10137" w:type="dxa"/>
            <w:gridSpan w:val="3"/>
            <w:tcBorders>
              <w:left w:val="nil"/>
            </w:tcBorders>
            <w:shd w:val="clear" w:color="auto" w:fill="E6E1D2"/>
          </w:tcPr>
          <w:p>
            <w:pPr>
              <w:pStyle w:val="TableParagraph"/>
              <w:ind w:left="79"/>
              <w:rPr>
                <w:b/>
                <w:sz w:val="16"/>
              </w:rPr>
            </w:pPr>
            <w:r>
              <w:rPr>
                <w:b/>
                <w:color w:val="1C1C1A"/>
                <w:sz w:val="16"/>
              </w:rPr>
              <w:t>Tưới máu cơ quan</w:t>
            </w:r>
          </w:p>
        </w:tc>
      </w:tr>
      <w:tr>
        <w:trPr>
          <w:trHeight w:val="259" w:hRule="atLeast"/>
        </w:trPr>
        <w:tc>
          <w:tcPr>
            <w:tcW w:w="3379" w:type="dxa"/>
            <w:vMerge w:val="restart"/>
            <w:tcBorders>
              <w:left w:val="nil"/>
            </w:tcBorders>
            <w:shd w:val="clear" w:color="auto" w:fill="E6E1D2"/>
          </w:tcPr>
          <w:p>
            <w:pPr>
              <w:pStyle w:val="TableParagraph"/>
              <w:ind w:left="249"/>
              <w:rPr>
                <w:sz w:val="16"/>
              </w:rPr>
            </w:pPr>
            <w:r>
              <w:rPr>
                <w:color w:val="1C1C1A"/>
                <w:sz w:val="16"/>
              </w:rPr>
              <w:t>Cơ</w:t>
            </w:r>
          </w:p>
        </w:tc>
        <w:tc>
          <w:tcPr>
            <w:tcW w:w="3379" w:type="dxa"/>
            <w:vMerge w:val="restart"/>
            <w:shd w:val="clear" w:color="auto" w:fill="E6E1D2"/>
          </w:tcPr>
          <w:p>
            <w:pPr>
              <w:pStyle w:val="TableParagraph"/>
              <w:spacing w:before="39"/>
              <w:rPr>
                <w:rFonts w:ascii="Arial" w:hAnsi="Arial"/>
                <w:sz w:val="16"/>
              </w:rPr>
            </w:pPr>
            <w:r>
              <w:rPr>
                <w:rFonts w:ascii="Arial" w:hAnsi="Arial"/>
                <w:color w:val="1C1C1A"/>
                <w:w w:val="89"/>
                <w:sz w:val="16"/>
              </w:rPr>
              <w:t>–</w:t>
            </w:r>
          </w:p>
        </w:tc>
        <w:tc>
          <w:tcPr>
            <w:tcW w:w="3379" w:type="dxa"/>
            <w:shd w:val="clear" w:color="auto" w:fill="E6E1D2"/>
          </w:tcPr>
          <w:p>
            <w:pPr>
              <w:pStyle w:val="TableParagraph"/>
              <w:ind w:left="70"/>
              <w:rPr>
                <w:sz w:val="16"/>
              </w:rPr>
            </w:pPr>
            <w:r>
              <w:rPr>
                <w:color w:val="1C1C1A"/>
                <w:sz w:val="16"/>
              </w:rPr>
              <w:t>Quang phổ cận hồng ngoại</w:t>
            </w:r>
          </w:p>
        </w:tc>
      </w:tr>
      <w:tr>
        <w:trPr>
          <w:trHeight w:val="259" w:hRule="atLeast"/>
        </w:trPr>
        <w:tc>
          <w:tcPr>
            <w:tcW w:w="3379" w:type="dxa"/>
            <w:vMerge/>
            <w:tcBorders>
              <w:top w:val="nil"/>
              <w:left w:val="nil"/>
            </w:tcBorders>
            <w:shd w:val="clear" w:color="auto" w:fill="E6E1D2"/>
          </w:tcPr>
          <w:p>
            <w:pPr>
              <w:rPr>
                <w:sz w:val="2"/>
                <w:szCs w:val="2"/>
              </w:rPr>
            </w:pPr>
          </w:p>
        </w:tc>
        <w:tc>
          <w:tcPr>
            <w:tcW w:w="3379" w:type="dxa"/>
            <w:vMerge/>
            <w:tcBorders>
              <w:top w:val="nil"/>
            </w:tcBorders>
            <w:shd w:val="clear" w:color="auto" w:fill="E6E1D2"/>
          </w:tcPr>
          <w:p>
            <w:pPr>
              <w:rPr>
                <w:sz w:val="2"/>
                <w:szCs w:val="2"/>
              </w:rPr>
            </w:pPr>
          </w:p>
        </w:tc>
        <w:tc>
          <w:tcPr>
            <w:tcW w:w="3379" w:type="dxa"/>
            <w:shd w:val="clear" w:color="auto" w:fill="E6E1D2"/>
          </w:tcPr>
          <w:p>
            <w:pPr>
              <w:pStyle w:val="TableParagraph"/>
              <w:ind w:left="70"/>
              <w:rPr>
                <w:sz w:val="16"/>
              </w:rPr>
            </w:pPr>
            <w:r>
              <w:rPr>
                <w:sz w:val="16"/>
              </w:rPr>
              <w:t>Đầu dò điện cực oxy mô</w:t>
            </w:r>
          </w:p>
        </w:tc>
      </w:tr>
      <w:tr>
        <w:trPr>
          <w:trHeight w:val="259" w:hRule="atLeast"/>
        </w:trPr>
        <w:tc>
          <w:tcPr>
            <w:tcW w:w="3379" w:type="dxa"/>
            <w:vMerge w:val="restart"/>
            <w:tcBorders>
              <w:left w:val="nil"/>
            </w:tcBorders>
            <w:shd w:val="clear" w:color="auto" w:fill="E6E1D2"/>
          </w:tcPr>
          <w:p>
            <w:pPr>
              <w:pStyle w:val="TableParagraph"/>
              <w:spacing w:before="29"/>
              <w:ind w:left="249"/>
              <w:rPr>
                <w:sz w:val="16"/>
              </w:rPr>
            </w:pPr>
            <w:r>
              <w:rPr>
                <w:color w:val="1C1C1A"/>
                <w:sz w:val="16"/>
              </w:rPr>
              <w:t>Ruột</w:t>
            </w:r>
          </w:p>
        </w:tc>
        <w:tc>
          <w:tcPr>
            <w:tcW w:w="3379" w:type="dxa"/>
            <w:vMerge w:val="restart"/>
            <w:shd w:val="clear" w:color="auto" w:fill="E6E1D2"/>
          </w:tcPr>
          <w:p>
            <w:pPr>
              <w:pStyle w:val="TableParagraph"/>
              <w:spacing w:before="39"/>
              <w:rPr>
                <w:rFonts w:ascii="Arial" w:hAnsi="Arial"/>
                <w:sz w:val="16"/>
              </w:rPr>
            </w:pPr>
            <w:r>
              <w:rPr>
                <w:rFonts w:ascii="Arial" w:hAnsi="Arial"/>
                <w:color w:val="1C1C1A"/>
                <w:w w:val="89"/>
                <w:sz w:val="16"/>
              </w:rPr>
              <w:t>–</w:t>
            </w:r>
          </w:p>
        </w:tc>
        <w:tc>
          <w:tcPr>
            <w:tcW w:w="3379" w:type="dxa"/>
            <w:shd w:val="clear" w:color="auto" w:fill="E6E1D2"/>
          </w:tcPr>
          <w:p>
            <w:pPr>
              <w:pStyle w:val="TableParagraph"/>
              <w:spacing w:before="34"/>
              <w:ind w:left="68"/>
              <w:rPr>
                <w:sz w:val="16"/>
              </w:rPr>
            </w:pPr>
            <w:r>
              <w:rPr>
                <w:color w:val="1C1C1A"/>
                <w:sz w:val="16"/>
              </w:rPr>
              <w:t>Đo khí máu dưới lưỡi</w:t>
            </w:r>
          </w:p>
        </w:tc>
      </w:tr>
      <w:tr>
        <w:trPr>
          <w:trHeight w:val="259" w:hRule="atLeast"/>
        </w:trPr>
        <w:tc>
          <w:tcPr>
            <w:tcW w:w="3379" w:type="dxa"/>
            <w:vMerge/>
            <w:tcBorders>
              <w:top w:val="nil"/>
              <w:left w:val="nil"/>
            </w:tcBorders>
            <w:shd w:val="clear" w:color="auto" w:fill="E6E1D2"/>
          </w:tcPr>
          <w:p>
            <w:pPr>
              <w:rPr>
                <w:sz w:val="2"/>
                <w:szCs w:val="2"/>
              </w:rPr>
            </w:pPr>
          </w:p>
        </w:tc>
        <w:tc>
          <w:tcPr>
            <w:tcW w:w="3379" w:type="dxa"/>
            <w:vMerge/>
            <w:tcBorders>
              <w:top w:val="nil"/>
            </w:tcBorders>
            <w:shd w:val="clear" w:color="auto" w:fill="E6E1D2"/>
          </w:tcPr>
          <w:p>
            <w:pPr>
              <w:rPr>
                <w:sz w:val="2"/>
                <w:szCs w:val="2"/>
              </w:rPr>
            </w:pPr>
          </w:p>
        </w:tc>
        <w:tc>
          <w:tcPr>
            <w:tcW w:w="3379" w:type="dxa"/>
            <w:shd w:val="clear" w:color="auto" w:fill="E6E1D2"/>
          </w:tcPr>
          <w:p>
            <w:pPr>
              <w:pStyle w:val="TableParagraph"/>
              <w:spacing w:before="33"/>
              <w:ind w:left="66"/>
              <w:rPr>
                <w:sz w:val="16"/>
              </w:rPr>
            </w:pPr>
            <w:r>
              <w:rPr>
                <w:color w:val="1C1C1A"/>
                <w:sz w:val="16"/>
              </w:rPr>
              <w:t>pH niêm mạc ruột</w:t>
            </w:r>
          </w:p>
        </w:tc>
      </w:tr>
      <w:tr>
        <w:trPr>
          <w:trHeight w:val="259" w:hRule="atLeast"/>
        </w:trPr>
        <w:tc>
          <w:tcPr>
            <w:tcW w:w="3379" w:type="dxa"/>
            <w:vMerge/>
            <w:tcBorders>
              <w:top w:val="nil"/>
              <w:left w:val="nil"/>
            </w:tcBorders>
            <w:shd w:val="clear" w:color="auto" w:fill="E6E1D2"/>
          </w:tcPr>
          <w:p>
            <w:pPr>
              <w:rPr>
                <w:sz w:val="2"/>
                <w:szCs w:val="2"/>
              </w:rPr>
            </w:pPr>
          </w:p>
        </w:tc>
        <w:tc>
          <w:tcPr>
            <w:tcW w:w="3379" w:type="dxa"/>
            <w:vMerge/>
            <w:tcBorders>
              <w:top w:val="nil"/>
            </w:tcBorders>
            <w:shd w:val="clear" w:color="auto" w:fill="E6E1D2"/>
          </w:tcPr>
          <w:p>
            <w:pPr>
              <w:rPr>
                <w:sz w:val="2"/>
                <w:szCs w:val="2"/>
              </w:rPr>
            </w:pPr>
          </w:p>
        </w:tc>
        <w:tc>
          <w:tcPr>
            <w:tcW w:w="3379" w:type="dxa"/>
            <w:shd w:val="clear" w:color="auto" w:fill="E6E1D2"/>
          </w:tcPr>
          <w:p>
            <w:pPr>
              <w:pStyle w:val="TableParagraph"/>
              <w:spacing w:before="29"/>
              <w:ind w:left="70"/>
              <w:rPr>
                <w:sz w:val="16"/>
              </w:rPr>
            </w:pPr>
            <w:r>
              <w:rPr>
                <w:sz w:val="16"/>
              </w:rPr>
              <w:t>Đo lưu lượng Doppler laser</w:t>
            </w:r>
          </w:p>
        </w:tc>
      </w:tr>
      <w:tr>
        <w:trPr>
          <w:trHeight w:val="259" w:hRule="atLeast"/>
        </w:trPr>
        <w:tc>
          <w:tcPr>
            <w:tcW w:w="3379" w:type="dxa"/>
            <w:tcBorders>
              <w:left w:val="nil"/>
            </w:tcBorders>
            <w:shd w:val="clear" w:color="auto" w:fill="E6E1D2"/>
          </w:tcPr>
          <w:p>
            <w:pPr>
              <w:pStyle w:val="TableParagraph"/>
              <w:spacing w:before="29"/>
              <w:ind w:left="249"/>
              <w:rPr>
                <w:sz w:val="16"/>
              </w:rPr>
            </w:pPr>
            <w:r>
              <w:rPr>
                <w:color w:val="1C1C1A"/>
                <w:sz w:val="16"/>
              </w:rPr>
              <w:t>Thận</w:t>
            </w:r>
          </w:p>
        </w:tc>
        <w:tc>
          <w:tcPr>
            <w:tcW w:w="3379" w:type="dxa"/>
            <w:shd w:val="clear" w:color="auto" w:fill="E6E1D2"/>
          </w:tcPr>
          <w:p>
            <w:pPr>
              <w:pStyle w:val="TableParagraph"/>
              <w:spacing w:before="29"/>
              <w:rPr>
                <w:sz w:val="16"/>
              </w:rPr>
            </w:pPr>
            <w:r>
              <w:rPr>
                <w:color w:val="1C1C1A"/>
                <w:sz w:val="16"/>
              </w:rPr>
              <w:t>Lượng nước tiểu</w:t>
            </w:r>
          </w:p>
        </w:tc>
        <w:tc>
          <w:tcPr>
            <w:tcW w:w="3379" w:type="dxa"/>
            <w:shd w:val="clear" w:color="auto" w:fill="E6E1D2"/>
          </w:tcPr>
          <w:p>
            <w:pPr>
              <w:pStyle w:val="TableParagraph"/>
              <w:spacing w:before="38"/>
              <w:ind w:left="70"/>
              <w:rPr>
                <w:rFonts w:ascii="Arial" w:hAnsi="Arial"/>
                <w:sz w:val="16"/>
              </w:rPr>
            </w:pPr>
            <w:r>
              <w:rPr>
                <w:rFonts w:ascii="Arial" w:hAnsi="Arial"/>
                <w:color w:val="1C1C1A"/>
                <w:w w:val="89"/>
                <w:sz w:val="16"/>
              </w:rPr>
              <w:t>–</w:t>
            </w:r>
          </w:p>
        </w:tc>
      </w:tr>
      <w:tr>
        <w:trPr>
          <w:trHeight w:val="259" w:hRule="atLeast"/>
        </w:trPr>
        <w:tc>
          <w:tcPr>
            <w:tcW w:w="3379" w:type="dxa"/>
            <w:vMerge w:val="restart"/>
            <w:tcBorders>
              <w:left w:val="nil"/>
            </w:tcBorders>
            <w:shd w:val="clear" w:color="auto" w:fill="E6E1D2"/>
          </w:tcPr>
          <w:p>
            <w:pPr>
              <w:pStyle w:val="TableParagraph"/>
              <w:spacing w:before="29"/>
              <w:ind w:left="249"/>
              <w:rPr>
                <w:sz w:val="16"/>
              </w:rPr>
            </w:pPr>
            <w:r>
              <w:rPr>
                <w:color w:val="1C1C1A"/>
                <w:sz w:val="16"/>
              </w:rPr>
              <w:t>Não</w:t>
            </w:r>
          </w:p>
        </w:tc>
        <w:tc>
          <w:tcPr>
            <w:tcW w:w="3379" w:type="dxa"/>
            <w:vMerge w:val="restart"/>
            <w:shd w:val="clear" w:color="auto" w:fill="E6E1D2"/>
          </w:tcPr>
          <w:p>
            <w:pPr>
              <w:pStyle w:val="TableParagraph"/>
              <w:spacing w:before="29"/>
              <w:rPr>
                <w:sz w:val="16"/>
              </w:rPr>
            </w:pPr>
            <w:r>
              <w:rPr>
                <w:color w:val="1C1C1A"/>
                <w:sz w:val="16"/>
              </w:rPr>
              <w:t>Mức độ ý thức</w:t>
            </w:r>
          </w:p>
        </w:tc>
        <w:tc>
          <w:tcPr>
            <w:tcW w:w="3379" w:type="dxa"/>
            <w:shd w:val="clear" w:color="auto" w:fill="E6E1D2"/>
          </w:tcPr>
          <w:p>
            <w:pPr>
              <w:pStyle w:val="TableParagraph"/>
              <w:spacing w:before="29"/>
              <w:ind w:left="66"/>
              <w:rPr>
                <w:sz w:val="16"/>
              </w:rPr>
            </w:pPr>
            <w:r>
              <w:rPr>
                <w:sz w:val="16"/>
              </w:rPr>
              <w:t>Đầu dò điện cực oxy mô</w:t>
            </w:r>
          </w:p>
        </w:tc>
      </w:tr>
      <w:tr>
        <w:trPr>
          <w:trHeight w:val="259" w:hRule="atLeast"/>
        </w:trPr>
        <w:tc>
          <w:tcPr>
            <w:tcW w:w="3379" w:type="dxa"/>
            <w:vMerge/>
            <w:tcBorders>
              <w:top w:val="nil"/>
              <w:left w:val="nil"/>
            </w:tcBorders>
            <w:shd w:val="clear" w:color="auto" w:fill="E6E1D2"/>
          </w:tcPr>
          <w:p>
            <w:pPr>
              <w:rPr>
                <w:sz w:val="2"/>
                <w:szCs w:val="2"/>
              </w:rPr>
            </w:pPr>
          </w:p>
        </w:tc>
        <w:tc>
          <w:tcPr>
            <w:tcW w:w="3379" w:type="dxa"/>
            <w:vMerge/>
            <w:tcBorders>
              <w:top w:val="nil"/>
            </w:tcBorders>
            <w:shd w:val="clear" w:color="auto" w:fill="E6E1D2"/>
          </w:tcPr>
          <w:p>
            <w:pPr>
              <w:rPr>
                <w:sz w:val="2"/>
                <w:szCs w:val="2"/>
              </w:rPr>
            </w:pPr>
          </w:p>
        </w:tc>
        <w:tc>
          <w:tcPr>
            <w:tcW w:w="3379" w:type="dxa"/>
            <w:shd w:val="clear" w:color="auto" w:fill="E6E1D2"/>
          </w:tcPr>
          <w:p>
            <w:pPr>
              <w:pStyle w:val="TableParagraph"/>
              <w:spacing w:before="29"/>
              <w:ind w:left="70"/>
              <w:rPr>
                <w:sz w:val="16"/>
              </w:rPr>
            </w:pPr>
            <w:r>
              <w:rPr>
                <w:color w:val="1C1C1A"/>
                <w:sz w:val="16"/>
              </w:rPr>
              <w:t>Quang phổ cận hồng ngoại</w:t>
            </w:r>
          </w:p>
        </w:tc>
      </w:tr>
    </w:tbl>
    <w:p>
      <w:pPr>
        <w:pStyle w:val="BodyText"/>
        <w:spacing w:before="3"/>
        <w:rPr>
          <w:sz w:val="10"/>
        </w:rPr>
      </w:pPr>
      <w:r>
        <w:rPr/>
        <w:pict>
          <v:shape style="position:absolute;margin-left:50.945999pt;margin-top:8.1pt;width:507.45pt;height:.1pt;mso-position-horizontal-relative:page;mso-position-vertical-relative:paragraph;z-index:-15724544;mso-wrap-distance-left:0;mso-wrap-distance-right:0" coordorigin="1019,162" coordsize="10149,0" path="m1019,162l11167,162e" filled="false" stroked="true" strokeweight=".5pt" strokecolor="#745ba2">
            <v:path arrowok="t"/>
            <v:stroke dashstyle="solid"/>
            <w10:wrap type="topAndBottom"/>
          </v:shape>
        </w:pict>
      </w:r>
    </w:p>
    <w:p>
      <w:pPr>
        <w:spacing w:before="36"/>
        <w:ind w:left="1018" w:right="0" w:firstLine="0"/>
        <w:jc w:val="left"/>
        <w:rPr>
          <w:sz w:val="16"/>
        </w:rPr>
      </w:pPr>
      <w:r>
        <w:rPr>
          <w:b/>
          <w:color w:val="755BA3"/>
          <w:sz w:val="16"/>
        </w:rPr>
        <w:t>Christian Johann Doppler</w:t>
      </w:r>
      <w:r>
        <w:rPr>
          <w:color w:val="575757"/>
          <w:sz w:val="16"/>
        </w:rPr>
        <w:t>, 1803–1853, Giáo sư Vật lý thực nghiêm, Vienna, Áo, pháp minh nguyên lý Doppler năm 1842.</w:t>
      </w:r>
    </w:p>
    <w:p>
      <w:pPr>
        <w:spacing w:after="0"/>
        <w:jc w:val="left"/>
        <w:rPr>
          <w:sz w:val="16"/>
        </w:rPr>
        <w:sectPr>
          <w:type w:val="continuous"/>
          <w:pgSz w:w="12070" w:h="15650"/>
          <w:pgMar w:top="0" w:bottom="280" w:left="0" w:right="0"/>
        </w:sectPr>
      </w:pPr>
    </w:p>
    <w:p>
      <w:pPr>
        <w:pStyle w:val="BodyText"/>
        <w:spacing w:before="9"/>
        <w:rPr>
          <w:sz w:val="26"/>
        </w:rPr>
      </w:pPr>
    </w:p>
    <w:p>
      <w:pPr>
        <w:spacing w:after="0"/>
        <w:rPr>
          <w:sz w:val="26"/>
        </w:rPr>
        <w:sectPr>
          <w:pgSz w:w="12070" w:h="15650"/>
          <w:pgMar w:header="0" w:footer="0" w:top="960" w:bottom="280" w:left="0" w:right="0"/>
        </w:sectPr>
      </w:pPr>
    </w:p>
    <w:p>
      <w:pPr>
        <w:pStyle w:val="BodyText"/>
        <w:spacing w:line="218" w:lineRule="auto" w:before="109"/>
        <w:ind w:left="905" w:right="125" w:firstLine="283"/>
      </w:pPr>
      <w:bookmarkStart w:name="_bookmark2" w:id="3"/>
      <w:bookmarkEnd w:id="3"/>
      <w:r>
        <w:rPr/>
      </w:r>
      <w:r>
        <w:rPr>
          <w:color w:val="1C1C1A"/>
        </w:rPr>
        <w:t>Bệnh nhân nhiễm trùng huyết nên có độ bão hòa oxy tĩnh mạch trộn trên 70%; dưới mức này, họ không chỉ bị sốc nhiễm trùng mà còn ở tình trạng giảm thể tích tuần hoàn hoặc </w:t>
      </w:r>
      <w:r>
        <w:rPr>
          <w:color w:val="1C1C1A"/>
          <w:position w:val="1"/>
        </w:rPr>
        <w:t>sốc tim. Mặc dù mức S</w:t>
      </w:r>
      <w:r>
        <w:rPr>
          <w:color w:val="1C1C1A"/>
          <w:sz w:val="13"/>
        </w:rPr>
        <w:t>v</w:t>
      </w:r>
      <w:r>
        <w:rPr>
          <w:color w:val="1C1C1A"/>
          <w:position w:val="1"/>
        </w:rPr>
        <w:t>O</w:t>
      </w:r>
      <w:r>
        <w:rPr>
          <w:color w:val="1C1C1A"/>
          <w:sz w:val="13"/>
        </w:rPr>
        <w:t>2 </w:t>
      </w:r>
      <w:r>
        <w:rPr>
          <w:color w:val="1C1C1A"/>
          <w:position w:val="1"/>
        </w:rPr>
        <w:t>trong phạm vi 'bình thường', nó lại </w:t>
      </w:r>
      <w:r>
        <w:rPr>
          <w:color w:val="1C1C1A"/>
        </w:rPr>
        <w:t>thấp so với trạng thái nhiễm trùng và oxy cung cấp không đủ cho các tế bào cũng như các tế bào không thể sử dụng oxy hiệu quả. Điều này phải được khắc phục nhanh chóng. Hạ thể tích tuần hoàn nên được điều chỉnh bằng liệu pháp truyền dịch, và cung lượng tim thấp do suy tim hoặc suy cơ tim nên được điều trị bằng thuốc tăng co (dobutamine), để đạt được độ bão hòa oxy tĩnh mạch trên 70% (bình thường đối với tình trạng nhiễm trùng).</w:t>
      </w:r>
    </w:p>
    <w:p>
      <w:pPr>
        <w:pStyle w:val="BodyText"/>
        <w:spacing w:line="218" w:lineRule="auto" w:before="2"/>
        <w:ind w:left="905" w:right="125" w:firstLine="283"/>
      </w:pPr>
      <w:r>
        <w:rPr>
          <w:color w:val="1C1C1A"/>
        </w:rPr>
        <w:t>Các phương pháp mới để theo dõi tưới máu từng khu vực và oxy hóa đang dần trở nên khả thi, hứa hẹn nhất là các đầu dò oxy trong mô, quang phổ cận hồng ngoại và đo khí máu dưới lưỡi. Trong khi các kỹ thuật này cung cấp thông tin liên quan đến việc tưới máu cho các mô cụ thể, vẫn chưa chắc chắn liệu các kết quả có phản ảnh tình trạng giảm tưới máu toàn thân (thâm hụt base, lactate).</w:t>
      </w:r>
    </w:p>
    <w:p>
      <w:pPr>
        <w:pStyle w:val="BodyText"/>
        <w:spacing w:before="10"/>
        <w:rPr>
          <w:sz w:val="32"/>
        </w:rPr>
      </w:pPr>
    </w:p>
    <w:p>
      <w:pPr>
        <w:pStyle w:val="Heading2"/>
        <w:spacing w:before="1"/>
      </w:pPr>
      <w:r>
        <w:rPr>
          <w:color w:val="7E8597"/>
        </w:rPr>
        <w:t>Điểm kết thúc của hồi sức</w:t>
      </w:r>
    </w:p>
    <w:p>
      <w:pPr>
        <w:pStyle w:val="BodyText"/>
        <w:spacing w:line="218" w:lineRule="auto" w:before="81"/>
        <w:ind w:left="905" w:right="15"/>
      </w:pPr>
      <w:r>
        <w:rPr>
          <w:color w:val="1C1C1A"/>
        </w:rPr>
        <w:t>Biết khi nào bắt đầu hồi sức dễ hơn nhiều so với khi nào dừng. Trước đây, bệnh nhân được hồi sức cho đến khi mạch, huyết áp và lượng nước tiểu bình thường. Tuy nhiên, các thông số này chỉ đang phản ánh các hệ thống cơ quan mà lưu lượng</w:t>
      </w:r>
      <w:r>
        <w:rPr>
          <w:color w:val="1C1C1A"/>
          <w:spacing w:val="-20"/>
        </w:rPr>
        <w:t> </w:t>
      </w:r>
      <w:r>
        <w:rPr>
          <w:color w:val="1C1C1A"/>
        </w:rPr>
        <w:t>máu được bảo đảm cho đến cuối giai đoạn của sốc. Một bệnh nhân có thể được hồi sức để phục hồi tưới máu trung tâm đến não, phổi và thận nhưng vẫn tiếp tục tưới máu kém hiệu quả ở ruột và cơ. Do đó, việc kích hoạt phản ứng viêm và đông máu có thể tiếp diễn và dẫn đến tổn thương tái tưới máu khi các cơ quan này được tưới máu, và cuối cùng là suy đa</w:t>
      </w:r>
      <w:r>
        <w:rPr>
          <w:color w:val="1C1C1A"/>
          <w:spacing w:val="-11"/>
        </w:rPr>
        <w:t> </w:t>
      </w:r>
      <w:r>
        <w:rPr>
          <w:color w:val="1C1C1A"/>
        </w:rPr>
        <w:t>tạng.</w:t>
      </w:r>
    </w:p>
    <w:p>
      <w:pPr>
        <w:pStyle w:val="BodyText"/>
        <w:spacing w:line="218" w:lineRule="auto" w:before="1"/>
        <w:ind w:left="905" w:right="7" w:firstLine="283"/>
      </w:pPr>
      <w:r>
        <w:rPr>
          <w:color w:val="1C1C1A"/>
        </w:rPr>
        <w:t>Trạng thái có các dấu hiệu sinh tồn bình thường và tiếp tục thiếu tưới máu được gọi là 'giảm tưới máu thể ẩn'. Với kỹ thuật theo dõi hiện tại, nó chỉ biểu hiện bằng tình trạng nhiễm toan lactic dai dẳng và độ bão hòa oxy tĩnh mạch trộn thấp. Thời gian những bệnh nhân trong trạng thái giảm tưới máu này có ảnh hưởng lớn đến kết quả hồi sức. Bệnh nhân bị giảm tưới máu hơn 12 giờ có tỷ lệ tử vong cao gấp 2-3 lần bệnh nhân bị sốc trong thời gian ngắn.</w:t>
      </w:r>
    </w:p>
    <w:p>
      <w:pPr>
        <w:pStyle w:val="BodyText"/>
        <w:spacing w:line="218" w:lineRule="auto" w:before="1"/>
        <w:ind w:left="905" w:right="83" w:firstLine="283"/>
      </w:pPr>
      <w:r>
        <w:rPr>
          <w:color w:val="1C1C1A"/>
        </w:rPr>
        <w:t>Các nghiên cứu hướng tới việc điều chỉnh thời điểm kết thúc hồi sức khi có tưới máu toàn thân (base thâm hụt, lactate, độ bão oxy tĩnh mạch trộn) thay vì kết thúc như truyền thống để cải thiện tỷ lệ tử vong và biến chứng ở bệnh nhân phẫu thuật. Tuy nhiên, rõ ràng là, dù cải tiến các phương pháp điều trị, một số bệnh nhân không thể hồi phục về các thông số bình thường trong vòng 12 giờ chỉ bằng hồi sức với dịch truyền.</w:t>
      </w:r>
    </w:p>
    <w:p>
      <w:pPr>
        <w:pStyle w:val="BodyText"/>
        <w:spacing w:line="218" w:lineRule="auto" w:before="2"/>
        <w:ind w:left="905"/>
      </w:pPr>
      <w:r>
        <w:rPr>
          <w:color w:val="1C1C1A"/>
        </w:rPr>
        <w:t>Nhiều nghiên cứu thêm đang được tiến hành để xác định sinh lý bệnh đằng sau điều này và giúp lựa chọn các phương án</w:t>
      </w:r>
      <w:r>
        <w:rPr>
          <w:color w:val="1C1C1A"/>
          <w:spacing w:val="-15"/>
        </w:rPr>
        <w:t> </w:t>
      </w:r>
      <w:r>
        <w:rPr>
          <w:color w:val="1C1C1A"/>
        </w:rPr>
        <w:t>điều trị</w:t>
      </w:r>
      <w:r>
        <w:rPr>
          <w:color w:val="1C1C1A"/>
          <w:spacing w:val="-2"/>
        </w:rPr>
        <w:t> </w:t>
      </w:r>
      <w:r>
        <w:rPr>
          <w:color w:val="1C1C1A"/>
        </w:rPr>
        <w:t>mới.</w:t>
      </w:r>
    </w:p>
    <w:p>
      <w:pPr>
        <w:pStyle w:val="BodyText"/>
        <w:spacing w:before="10"/>
        <w:rPr>
          <w:sz w:val="22"/>
        </w:rPr>
      </w:pPr>
    </w:p>
    <w:p>
      <w:pPr>
        <w:pStyle w:val="Heading1"/>
        <w:ind w:left="907"/>
      </w:pPr>
      <w:r>
        <w:rPr>
          <w:color w:val="697487"/>
        </w:rPr>
        <w:t>XUẤT HUYẾT</w:t>
      </w:r>
    </w:p>
    <w:p>
      <w:pPr>
        <w:pStyle w:val="BodyText"/>
        <w:spacing w:line="218" w:lineRule="auto" w:before="55"/>
        <w:ind w:left="905"/>
      </w:pPr>
      <w:r>
        <w:rPr>
          <w:color w:val="1C1C1A"/>
        </w:rPr>
        <w:t>Tình trạng xuất huyết phải được phát hiện và xử trí tích cực để giảm mức độ nghiêm trọng và thời gian sốc, tránh tử vong và/hoặc suy đa tạng. Xuất huyết được điều trị bằng cách cầm máu - không phải bằng hồi sức cấp cứu hoặc truyền máu. Mặc dù các biện pháp hỗ trợ để duy trì tưới máu cơ quan là</w:t>
      </w:r>
    </w:p>
    <w:p>
      <w:pPr>
        <w:pStyle w:val="BodyText"/>
        <w:spacing w:line="216" w:lineRule="auto" w:before="111"/>
        <w:ind w:left="96" w:right="1207"/>
      </w:pPr>
      <w:r>
        <w:rPr/>
        <w:br w:type="column"/>
      </w:r>
      <w:r>
        <w:rPr>
          <w:color w:val="1C1C1A"/>
        </w:rPr>
        <w:t>cần thiết, việc cố gắng hồi sức cho bệnh nhân bị xuất huyết do chảy máu sẽ dẫn đến suy kiệt (rối loạn đông máu, nhiễm toan, hạ thân nhiệt) và sau đó tử</w:t>
      </w:r>
      <w:r>
        <w:rPr>
          <w:color w:val="1C1C1A"/>
          <w:spacing w:val="-8"/>
        </w:rPr>
        <w:t> </w:t>
      </w:r>
      <w:r>
        <w:rPr>
          <w:color w:val="1C1C1A"/>
        </w:rPr>
        <w:t>vong.</w:t>
      </w:r>
    </w:p>
    <w:p>
      <w:pPr>
        <w:pStyle w:val="BodyText"/>
        <w:spacing w:before="5"/>
        <w:rPr>
          <w:sz w:val="24"/>
        </w:rPr>
      </w:pPr>
    </w:p>
    <w:p>
      <w:pPr>
        <w:pStyle w:val="Heading2"/>
        <w:ind w:left="97"/>
      </w:pPr>
      <w:r>
        <w:rPr>
          <w:color w:val="7E8597"/>
        </w:rPr>
        <w:t>Sinh lý bệnh</w:t>
      </w:r>
    </w:p>
    <w:p>
      <w:pPr>
        <w:pStyle w:val="BodyText"/>
        <w:spacing w:line="216" w:lineRule="auto" w:before="82"/>
        <w:ind w:left="96" w:right="1090"/>
      </w:pPr>
      <w:r>
        <w:rPr>
          <w:color w:val="1C1C1A"/>
        </w:rPr>
        <w:t>Xuất huyết dẫn đến tình trạng sốc giảm thể tích. Sự kết hợp của chấn thương mô và sốc giảm thể tích dẫn đến tình trạng rối loạn đông máu nội sinh hay còn gọi là rối loạn đông máu cấp sau chấn thương (ATC - acute traumatic coagulopathy). Có đến 25% bệnh nhân chấn thương tiến triển ATC trong vòng vài phút sau khi bị thương và khiến tỷ lệ tử vong tăng lên 4 lần. Có khả năng ATC tồn tại bất cứ khi nào có sự kết hợp của sốc và chấn thương mô (ví dụ đại phẫu). ATC là một thành phần của rối loạn đông máu do chấn thương (TIC</w:t>
      </w:r>
    </w:p>
    <w:p>
      <w:pPr>
        <w:pStyle w:val="BodyText"/>
        <w:spacing w:line="216" w:lineRule="exact"/>
        <w:ind w:left="346" w:hanging="250"/>
      </w:pPr>
      <w:r>
        <w:rPr>
          <w:color w:val="1C1C1A"/>
          <w:position w:val="1"/>
        </w:rPr>
        <w:t>- trauma induced coagulopathy), với nhiều yếu tố </w:t>
      </w:r>
      <w:r>
        <w:rPr>
          <w:b/>
          <w:color w:val="755BA3"/>
        </w:rPr>
        <w:t>(</w:t>
      </w:r>
      <w:r>
        <w:rPr>
          <w:b/>
          <w:color w:val="0000FF"/>
        </w:rPr>
        <w:t>Hình 2.1</w:t>
      </w:r>
      <w:r>
        <w:rPr>
          <w:b/>
          <w:color w:val="755BA3"/>
        </w:rPr>
        <w:t>)</w:t>
      </w:r>
      <w:r>
        <w:rPr>
          <w:color w:val="1C1C1A"/>
        </w:rPr>
        <w:t>.</w:t>
      </w:r>
    </w:p>
    <w:p>
      <w:pPr>
        <w:pStyle w:val="BodyText"/>
        <w:spacing w:line="216" w:lineRule="auto" w:before="2"/>
        <w:ind w:left="96" w:right="877" w:firstLine="250"/>
      </w:pPr>
      <w:r>
        <w:rPr>
          <w:color w:val="1C1C1A"/>
        </w:rPr>
        <w:t>Chảy máu liên tục khi hồi sức truyền dịch và hồng cầu dẫn đến sự pha loãng các yếu tố đông máu và làm trầm trọng hơn rối loạn đông máu. Ngoài ra, tình trạng nhiễm toan gây ra bởi giảm tưới máu dẫn đến giảm chức năng của các protease đông máu, gây rối loạn đông máu và xuất huyết thêm. Giảm tưới máu mô bao gồm giảm cung cấp máu cho mô cơ. Cơ bắp không được cung cấp máu đầy đủ không thể tạo nhiệt và hạ thân nhiệt sau đó. Chức năng đông máu kém ở nhiệt độ thấp và xuất huyết nhiều hơn, giảm tưới máu hơn nữa và làm trầm trọng thêm tình trạng nhiễm toan và hạ thân nhiệt. Ba yếu tố này tạo thành một vòng xoáy bệnh lý dẫn đến suy kiệt và tử vong </w:t>
      </w:r>
      <w:r>
        <w:rPr>
          <w:b/>
          <w:color w:val="755BA3"/>
        </w:rPr>
        <w:t>(</w:t>
      </w:r>
      <w:r>
        <w:rPr>
          <w:b/>
          <w:color w:val="0000FF"/>
        </w:rPr>
        <w:t>Hình 2.1</w:t>
      </w:r>
      <w:r>
        <w:rPr>
          <w:b/>
          <w:color w:val="755BA3"/>
        </w:rPr>
        <w:t>)</w:t>
      </w:r>
      <w:r>
        <w:rPr>
          <w:color w:val="1C1C1A"/>
        </w:rPr>
        <w:t>.</w:t>
      </w:r>
    </w:p>
    <w:p>
      <w:pPr>
        <w:pStyle w:val="BodyText"/>
        <w:spacing w:line="186" w:lineRule="exact"/>
        <w:ind w:left="380"/>
      </w:pPr>
      <w:r>
        <w:rPr>
          <w:color w:val="1C1C1A"/>
        </w:rPr>
        <w:t>Liệu pháp truyền dịch có xu hướng làm trầm trọng thêm</w:t>
      </w:r>
    </w:p>
    <w:p>
      <w:pPr>
        <w:pStyle w:val="BodyText"/>
        <w:spacing w:line="216" w:lineRule="auto" w:before="7"/>
        <w:ind w:left="96" w:right="876"/>
      </w:pPr>
      <w:r>
        <w:rPr/>
        <w:pict>
          <v:group style="position:absolute;margin-left:328.963501pt;margin-top:124.553329pt;width:140.450pt;height:37.7pt;mso-position-horizontal-relative:page;mso-position-vertical-relative:paragraph;z-index:-16425984" coordorigin="6579,2491" coordsize="2809,754">
            <v:line style="position:absolute" from="7304,2629" to="8767,2629" stroked="true" strokeweight="7.271pt" strokecolor="#745ba2">
              <v:stroke dashstyle="solid"/>
            </v:line>
            <v:line style="position:absolute" from="8027,2629" to="8027,2968" stroked="true" strokeweight="7.271pt" strokecolor="#745ba2">
              <v:stroke dashstyle="solid"/>
            </v:line>
            <v:rect style="position:absolute;left:7293;top:2504;width:14;height:231" filled="true" fillcolor="#1c1c1a" stroked="false">
              <v:fill type="solid"/>
            </v:rect>
            <v:shape style="position:absolute;left:7798;top:2975;width:457;height:262" type="#_x0000_t202" filled="false" stroked="true" strokeweight=".681pt" strokecolor="#1c1c1a">
              <v:textbox inset="0,0,0,0">
                <w:txbxContent>
                  <w:p>
                    <w:pPr>
                      <w:spacing w:before="26"/>
                      <w:ind w:left="57" w:right="0" w:firstLine="0"/>
                      <w:jc w:val="left"/>
                      <w:rPr>
                        <w:sz w:val="16"/>
                      </w:rPr>
                    </w:pPr>
                    <w:r>
                      <w:rPr>
                        <w:sz w:val="16"/>
                      </w:rPr>
                      <w:t>ATC</w:t>
                    </w:r>
                  </w:p>
                </w:txbxContent>
              </v:textbox>
              <v:stroke dashstyle="solid"/>
              <w10:wrap type="none"/>
            </v:shape>
            <v:shape style="position:absolute;left:8776;top:2497;width:605;height:244" type="#_x0000_t202" filled="false" stroked="true" strokeweight=".682pt" strokecolor="#1c1c1a">
              <v:textbox inset="0,0,0,0">
                <w:txbxContent>
                  <w:p>
                    <w:pPr>
                      <w:spacing w:line="199" w:lineRule="exact" w:before="0"/>
                      <w:ind w:left="37" w:right="0" w:firstLine="0"/>
                      <w:jc w:val="left"/>
                      <w:rPr>
                        <w:sz w:val="18"/>
                      </w:rPr>
                    </w:pPr>
                    <w:r>
                      <w:rPr>
                        <w:color w:val="1C1C1A"/>
                        <w:sz w:val="18"/>
                      </w:rPr>
                      <w:t>Sốc</w:t>
                    </w:r>
                  </w:p>
                </w:txbxContent>
              </v:textbox>
              <v:stroke dashstyle="solid"/>
              <w10:wrap type="none"/>
            </v:shape>
            <v:shape style="position:absolute;left:6586;top:2497;width:714;height:244" type="#_x0000_t202" filled="false" stroked="true" strokeweight=".682pt" strokecolor="#1c1c1a">
              <v:textbox inset="0,0,0,0">
                <w:txbxContent>
                  <w:p>
                    <w:pPr>
                      <w:spacing w:before="58"/>
                      <w:ind w:left="17" w:right="0" w:firstLine="0"/>
                      <w:jc w:val="left"/>
                      <w:rPr>
                        <w:sz w:val="12"/>
                      </w:rPr>
                    </w:pPr>
                    <w:r>
                      <w:rPr>
                        <w:sz w:val="12"/>
                      </w:rPr>
                      <w:t>Chấn thương</w:t>
                    </w:r>
                  </w:p>
                </w:txbxContent>
              </v:textbox>
              <v:stroke dashstyle="solid"/>
              <w10:wrap type="none"/>
            </v:shape>
            <w10:wrap type="none"/>
          </v:group>
        </w:pict>
      </w:r>
      <w:r>
        <w:rPr/>
        <w:pict>
          <v:line style="position:absolute;mso-position-horizontal-relative:page;mso-position-vertical-relative:paragraph;z-index:15734272" from="343.598999pt,137.414337pt" to="343.598999pt,175.749337pt" stroked="true" strokeweight="1.818pt" strokecolor="#745ba2">
            <v:stroke dashstyle="solid"/>
            <w10:wrap type="none"/>
          </v:line>
        </w:pict>
      </w:r>
      <w:r>
        <w:rPr/>
        <w:pict>
          <v:line style="position:absolute;mso-position-horizontal-relative:page;mso-position-vertical-relative:paragraph;z-index:15734784" from="350.697998pt,137.414337pt" to="350.697998pt,175.749337pt" stroked="true" strokeweight="1.818pt" strokecolor="#745ba2">
            <v:stroke dashstyle="solid"/>
            <w10:wrap type="none"/>
          </v:line>
        </w:pict>
      </w:r>
      <w:r>
        <w:rPr/>
        <w:pict>
          <v:line style="position:absolute;mso-position-horizontal-relative:page;mso-position-vertical-relative:paragraph;z-index:15735296" from="450.38501pt,137.414337pt" to="450.38501pt,175.749337pt" stroked="true" strokeweight="1.818pt" strokecolor="#745ba2">
            <v:stroke dashstyle="solid"/>
            <w10:wrap type="none"/>
          </v:line>
        </w:pict>
      </w:r>
      <w:r>
        <w:rPr>
          <w:color w:val="1C1C1A"/>
        </w:rPr>
        <w:t>tình trạng này. Máu và dịch trong tĩnh mạch bị lạnh và làm trầm trọng thêm tình trạng hạ thân nhiệt</w:t>
      </w:r>
      <w:hyperlink w:history="true" w:anchor="_bookmark2">
        <w:r>
          <w:rPr>
            <w:color w:val="1C1C1A"/>
          </w:rPr>
          <w:t>. Nhiệt </w:t>
        </w:r>
      </w:hyperlink>
      <w:r>
        <w:rPr>
          <w:color w:val="1C1C1A"/>
        </w:rPr>
        <w:t>bị mất thêm do mở các khoang trong cơ thể khi phẫu thuật. Phẫu thuật thường dẫn đến chảy máu nhiều hơn và nhiều dịch tinh thể có tính acid (ví dụ nước muối sinh lý thông thường có độ pH là 6,7). Do đó, mọi nỗ lực phải được thực hiện nhanh chóng để xác định và làm ngừng xuất huyết để tránh (tốt nhất) hoặc hạn chế suy kiệt do rối loạn đông máu, nhiễm toan và hạ thân</w:t>
      </w:r>
      <w:r>
        <w:rPr>
          <w:color w:val="1C1C1A"/>
          <w:spacing w:val="-8"/>
        </w:rPr>
        <w:t> </w:t>
      </w:r>
      <w:r>
        <w:rPr>
          <w:color w:val="1C1C1A"/>
        </w:rPr>
        <w:t>nhiệt.</w:t>
      </w:r>
    </w:p>
    <w:p>
      <w:pPr>
        <w:pStyle w:val="BodyText"/>
      </w:pPr>
    </w:p>
    <w:p>
      <w:pPr>
        <w:pStyle w:val="BodyText"/>
      </w:pPr>
    </w:p>
    <w:p>
      <w:pPr>
        <w:pStyle w:val="BodyText"/>
        <w:spacing w:before="10"/>
        <w:rPr>
          <w:sz w:val="26"/>
        </w:rPr>
      </w:pPr>
      <w:r>
        <w:rPr/>
        <w:pict>
          <v:group style="position:absolute;margin-left:306.063995pt;margin-top:17.399630pt;width:246.65pt;height:114.45pt;mso-position-horizontal-relative:page;mso-position-vertical-relative:paragraph;z-index:-15724032;mso-wrap-distance-left:0;mso-wrap-distance-right:0" coordorigin="6121,348" coordsize="4933,2289">
            <v:line style="position:absolute" from="10118,1285" to="9330,2073" stroked="true" strokeweight="1.818pt" strokecolor="#745ba2">
              <v:stroke dashstyle="solid"/>
            </v:line>
            <v:shape style="position:absolute;left:9265;top:2015;width:123;height:123" coordorigin="9266,2015" coordsize="123,123" path="m9299,2015l9266,2138,9389,2105,9299,2015xe" filled="true" fillcolor="#745ba2" stroked="false">
              <v:path arrowok="t"/>
              <v:fill type="solid"/>
            </v:shape>
            <v:line style="position:absolute" from="9008,1619" to="9008,2046" stroked="true" strokeweight="1.818pt" strokecolor="#745ba2">
              <v:stroke dashstyle="solid"/>
            </v:line>
            <v:shape style="position:absolute;left:8944;top:2027;width:127;height:110" coordorigin="8945,2028" coordsize="127,110" path="m9072,2028l8945,2028,9008,2137,9072,2028xe" filled="true" fillcolor="#745ba2" stroked="false">
              <v:path arrowok="t"/>
              <v:fill type="solid"/>
            </v:shape>
            <v:line style="position:absolute" from="9150,1619" to="9150,2046" stroked="true" strokeweight="1.818pt" strokecolor="#745ba2">
              <v:stroke dashstyle="solid"/>
            </v:line>
            <v:shape style="position:absolute;left:9086;top:2027;width:127;height:110" coordorigin="9087,2028" coordsize="127,110" path="m9213,2028l9087,2028,9150,2137,9213,2028xe" filled="true" fillcolor="#745ba2" stroked="false">
              <v:path arrowok="t"/>
              <v:fill type="solid"/>
            </v:shape>
            <v:line style="position:absolute" from="9150,626" to="9150,1393" stroked="true" strokeweight="1.818pt" strokecolor="#745ba2">
              <v:stroke dashstyle="solid"/>
            </v:line>
            <v:shape style="position:absolute;left:9302;top:1529;width:1232;height:859" coordorigin="9302,1529" coordsize="1232,859" path="m9302,2388l10534,2388,10534,1529e" filled="false" stroked="true" strokeweight="7.271pt" strokecolor="#745ba2">
              <v:path arrowok="t"/>
              <v:stroke dashstyle="solid"/>
            </v:shape>
            <v:shape style="position:absolute;left:10373;top:1299;width:320;height:277" coordorigin="10373,1300" coordsize="320,277" path="m10533,1300l10373,1576,10692,1576,10533,1300xe" filled="true" fillcolor="#745ba2" stroked="false">
              <v:path arrowok="t"/>
              <v:fill type="solid"/>
            </v:shape>
            <v:shape style="position:absolute;left:9615;top:506;width:919;height:557" coordorigin="9615,507" coordsize="919,557" path="m10534,1063l10534,507,9615,507e" filled="false" stroked="true" strokeweight="7.271pt" strokecolor="#745ba2">
              <v:path arrowok="t"/>
              <v:stroke dashstyle="solid"/>
            </v:shape>
            <v:shape style="position:absolute;left:9385;top:348;width:277;height:320" coordorigin="9385,348" coordsize="277,320" path="m9662,348l9385,507,9662,667,9662,348xe" filled="true" fillcolor="#745ba2" stroked="false">
              <v:path arrowok="t"/>
              <v:fill type="solid"/>
            </v:shape>
            <v:shape style="position:absolute;left:9367;top:1069;width:1680;height:836" coordorigin="9367,1070" coordsize="1680,836" path="m10288,1680l9367,1680,9367,1906,10288,1906,10288,1680xm11047,1070l10036,1070,10036,1295,11047,1295,11047,1070xe" filled="true" fillcolor="#ffffff" stroked="false">
              <v:path arrowok="t"/>
              <v:fill type="solid"/>
            </v:shape>
            <v:line style="position:absolute" from="8027,1119" to="8027,1908" stroked="true" strokeweight="7.271pt" strokecolor="#745ba2">
              <v:stroke dashstyle="solid"/>
            </v:line>
            <v:shape style="position:absolute;left:7868;top:1861;width:320;height:277" coordorigin="7868,1861" coordsize="320,277" path="m8187,1861l7868,1861,8028,2137,8187,1861xe" filled="true" fillcolor="#745ba2" stroked="false">
              <v:path arrowok="t"/>
              <v:fill type="solid"/>
            </v:shape>
            <v:line style="position:absolute" from="6872,1619" to="6872,2049" stroked="true" strokeweight="1.818pt" strokecolor="#745ba2">
              <v:stroke dashstyle="solid"/>
            </v:line>
            <v:shape style="position:absolute;left:6808;top:2029;width:127;height:110" coordorigin="6809,2030" coordsize="127,110" path="m6936,2030l6809,2030,6872,2140,6936,2030xe" filled="true" fillcolor="#745ba2" stroked="false">
              <v:path arrowok="t"/>
              <v:fill type="solid"/>
            </v:shape>
            <v:line style="position:absolute" from="7014,1619" to="7014,2049" stroked="true" strokeweight="1.818pt" strokecolor="#745ba2">
              <v:stroke dashstyle="solid"/>
            </v:line>
            <v:shape style="position:absolute;left:6950;top:2029;width:127;height:110" coordorigin="6951,2030" coordsize="127,110" path="m7078,2030l6951,2030,7014,2140,7078,2030xe" filled="true" fillcolor="#745ba2" stroked="false">
              <v:path arrowok="t"/>
              <v:fill type="solid"/>
            </v:shape>
            <v:line style="position:absolute" from="7443,1910" to="7443,2049" stroked="true" strokeweight="1.818pt" strokecolor="#745ba2">
              <v:stroke dashstyle="solid"/>
            </v:line>
            <v:shape style="position:absolute;left:7380;top:2029;width:127;height:110" coordorigin="7380,2030" coordsize="127,110" path="m7507,2030l7380,2030,7444,2140,7507,2030xe" filled="true" fillcolor="#745ba2" stroked="false">
              <v:path arrowok="t"/>
              <v:fill type="solid"/>
            </v:shape>
            <v:rect style="position:absolute;left:6758;top:2146;width:2538;height:484" filled="true" fillcolor="#c5bbdd" stroked="false">
              <v:fill type="solid"/>
            </v:rect>
            <v:rect style="position:absolute;left:9121;top:1392;width:765;height:226" filled="true" fillcolor="#ffffff" stroked="false">
              <v:fill type="solid"/>
            </v:rect>
            <v:shape style="position:absolute;left:9115;top:1386;width:778;height:240" coordorigin="9115,1386" coordsize="778,240" path="m9893,1386l9115,1386,9115,1400,9115,1612,9115,1626,9893,1626,9893,1612,9129,1612,9129,1400,9879,1400,9879,1612,9893,1612,9893,1400,9893,1400,9893,1386xe" filled="true" fillcolor="#1c1c1a" stroked="false">
              <v:path arrowok="t"/>
              <v:fill type="solid"/>
            </v:shape>
            <v:shape style="position:absolute;left:6758;top:2146;width:2538;height:483" type="#_x0000_t202" filled="false" stroked="true" strokeweight=".681pt" strokecolor="#1c1c1a">
              <v:textbox inset="0,0,0,0">
                <w:txbxContent>
                  <w:p>
                    <w:pPr>
                      <w:spacing w:line="218" w:lineRule="auto" w:before="32"/>
                      <w:ind w:left="201" w:right="74" w:firstLine="124"/>
                      <w:jc w:val="left"/>
                      <w:rPr>
                        <w:sz w:val="18"/>
                      </w:rPr>
                    </w:pPr>
                    <w:r>
                      <w:rPr>
                        <w:color w:val="1C1C1A"/>
                        <w:sz w:val="18"/>
                      </w:rPr>
                      <w:t>RỐI LOẠN ĐÔNG MÁU DO CHẤN THƯƠNG (TIC)</w:t>
                    </w:r>
                  </w:p>
                </w:txbxContent>
              </v:textbox>
              <v:stroke dashstyle="solid"/>
              <w10:wrap type="none"/>
            </v:shape>
            <v:shape style="position:absolute;left:10036;top:1069;width:1011;height:226" type="#_x0000_t202" filled="false" stroked="true" strokeweight=".682pt" strokecolor="#1c1c1a">
              <v:textbox inset="0,0,0,0">
                <w:txbxContent>
                  <w:p>
                    <w:pPr>
                      <w:spacing w:before="12"/>
                      <w:ind w:left="51" w:right="0" w:firstLine="0"/>
                      <w:jc w:val="left"/>
                      <w:rPr>
                        <w:sz w:val="14"/>
                      </w:rPr>
                    </w:pPr>
                    <w:r>
                      <w:rPr>
                        <w:color w:val="1C1C1A"/>
                        <w:w w:val="105"/>
                        <w:sz w:val="14"/>
                      </w:rPr>
                      <w:t>Xuất huyết</w:t>
                    </w:r>
                  </w:p>
                </w:txbxContent>
              </v:textbox>
              <v:stroke dashstyle="solid"/>
              <w10:wrap type="none"/>
            </v:shape>
            <v:shape style="position:absolute;left:9149;top:1392;width:737;height:226" type="#_x0000_t202" filled="false" stroked="true" strokeweight=".681pt" strokecolor="#1c1c1a">
              <v:textbox inset="0,0,0,0">
                <w:txbxContent>
                  <w:p>
                    <w:pPr>
                      <w:spacing w:before="9"/>
                      <w:ind w:left="15" w:right="0" w:firstLine="0"/>
                      <w:jc w:val="left"/>
                      <w:rPr>
                        <w:sz w:val="14"/>
                      </w:rPr>
                    </w:pPr>
                    <w:r>
                      <w:rPr>
                        <w:color w:val="1C1C1A"/>
                        <w:w w:val="105"/>
                        <w:sz w:val="14"/>
                      </w:rPr>
                      <w:t>Acid máu</w:t>
                    </w:r>
                  </w:p>
                </w:txbxContent>
              </v:textbox>
              <v:stroke dashstyle="solid"/>
              <w10:wrap type="none"/>
            </v:shape>
            <v:shape style="position:absolute;left:8121;top:1392;width:887;height:226" type="#_x0000_t202" filled="false" stroked="true" strokeweight=".681pt" strokecolor="#1c1c1a">
              <v:textbox inset="0,0,0,0">
                <w:txbxContent>
                  <w:p>
                    <w:pPr>
                      <w:spacing w:before="9"/>
                      <w:ind w:left="43" w:right="0" w:firstLine="0"/>
                      <w:jc w:val="left"/>
                      <w:rPr>
                        <w:sz w:val="14"/>
                      </w:rPr>
                    </w:pPr>
                    <w:r>
                      <w:rPr>
                        <w:w w:val="105"/>
                        <w:sz w:val="14"/>
                      </w:rPr>
                      <w:t>Hạ thân nhiệt</w:t>
                    </w:r>
                  </w:p>
                </w:txbxContent>
              </v:textbox>
              <v:stroke dashstyle="solid"/>
              <w10:wrap type="none"/>
            </v:shape>
            <v:shape style="position:absolute;left:7013;top:1392;width:917;height:226" type="#_x0000_t202" filled="false" stroked="true" strokeweight=".681pt" strokecolor="#1c1c1a">
              <v:textbox inset="0,0,0,0">
                <w:txbxContent>
                  <w:p>
                    <w:pPr>
                      <w:spacing w:before="9"/>
                      <w:ind w:left="75" w:right="0" w:firstLine="0"/>
                      <w:jc w:val="left"/>
                      <w:rPr>
                        <w:sz w:val="14"/>
                      </w:rPr>
                    </w:pPr>
                    <w:r>
                      <w:rPr>
                        <w:color w:val="1C1C1A"/>
                        <w:w w:val="105"/>
                        <w:sz w:val="14"/>
                      </w:rPr>
                      <w:t>Viêm</w:t>
                    </w:r>
                  </w:p>
                </w:txbxContent>
              </v:textbox>
              <v:stroke dashstyle="solid"/>
              <w10:wrap type="none"/>
            </v:shape>
            <v:shape style="position:absolute;left:6128;top:1392;width:744;height:226" type="#_x0000_t202" filled="false" stroked="true" strokeweight=".681pt" strokecolor="#1c1c1a">
              <v:textbox inset="0,0,0,0">
                <w:txbxContent>
                  <w:p>
                    <w:pPr>
                      <w:spacing w:before="24"/>
                      <w:ind w:left="26" w:right="0" w:firstLine="0"/>
                      <w:jc w:val="left"/>
                      <w:rPr>
                        <w:sz w:val="12"/>
                      </w:rPr>
                    </w:pPr>
                    <w:r>
                      <w:rPr>
                        <w:color w:val="1C1C1A"/>
                        <w:sz w:val="12"/>
                      </w:rPr>
                      <w:t>Tiêu sợi huyết</w:t>
                    </w:r>
                  </w:p>
                </w:txbxContent>
              </v:textbox>
              <v:stroke dashstyle="solid"/>
              <w10:wrap type="none"/>
            </v:shape>
            <v:shape style="position:absolute;left:7128;top:1680;width:631;height:226" type="#_x0000_t202" filled="false" stroked="true" strokeweight=".682pt" strokecolor="#1c1c1a">
              <v:textbox inset="0,0,0,0">
                <w:txbxContent>
                  <w:p>
                    <w:pPr>
                      <w:spacing w:line="179" w:lineRule="exact" w:before="0"/>
                      <w:ind w:left="8" w:right="0" w:firstLine="0"/>
                      <w:jc w:val="left"/>
                      <w:rPr>
                        <w:sz w:val="16"/>
                      </w:rPr>
                    </w:pPr>
                    <w:r>
                      <w:rPr>
                        <w:sz w:val="16"/>
                      </w:rPr>
                      <w:t>Di truyền</w:t>
                    </w:r>
                  </w:p>
                </w:txbxContent>
              </v:textbox>
              <v:stroke dashstyle="solid"/>
              <w10:wrap type="none"/>
            </v:shape>
            <v:shape style="position:absolute;left:9367;top:1680;width:922;height:226" type="#_x0000_t202" filled="false" stroked="true" strokeweight=".682pt" strokecolor="#1c1c1a">
              <v:textbox inset="0,0,0,0">
                <w:txbxContent>
                  <w:p>
                    <w:pPr>
                      <w:spacing w:before="32"/>
                      <w:ind w:left="22" w:right="0" w:firstLine="0"/>
                      <w:jc w:val="left"/>
                      <w:rPr>
                        <w:sz w:val="14"/>
                      </w:rPr>
                    </w:pPr>
                    <w:r>
                      <w:rPr>
                        <w:sz w:val="14"/>
                      </w:rPr>
                      <w:t>Mất, pha loãng</w:t>
                    </w:r>
                  </w:p>
                </w:txbxContent>
              </v:textbox>
              <v:stroke dashstyle="solid"/>
              <w10:wrap type="none"/>
            </v:shape>
            <w10:wrap type="topAndBottom"/>
          </v:group>
        </w:pict>
      </w:r>
    </w:p>
    <w:p>
      <w:pPr>
        <w:spacing w:before="66"/>
        <w:ind w:left="96" w:right="0" w:firstLine="0"/>
        <w:jc w:val="left"/>
        <w:rPr>
          <w:sz w:val="16"/>
        </w:rPr>
      </w:pPr>
      <w:r>
        <w:rPr>
          <w:b/>
          <w:color w:val="8772B3"/>
          <w:sz w:val="16"/>
        </w:rPr>
        <w:t>Hình 2.1 </w:t>
      </w:r>
      <w:r>
        <w:rPr>
          <w:color w:val="4B4B49"/>
          <w:sz w:val="16"/>
        </w:rPr>
        <w:t>Rối loạn đông máu do chấn thương.</w:t>
      </w:r>
    </w:p>
    <w:p>
      <w:pPr>
        <w:pStyle w:val="BodyText"/>
        <w:rPr>
          <w:sz w:val="18"/>
        </w:rPr>
      </w:pPr>
    </w:p>
    <w:p>
      <w:pPr>
        <w:pStyle w:val="Heading2"/>
        <w:spacing w:before="142"/>
        <w:ind w:left="97"/>
      </w:pPr>
      <w:r>
        <w:rPr>
          <w:color w:val="7E8597"/>
        </w:rPr>
        <w:t>Định nghĩa</w:t>
      </w:r>
    </w:p>
    <w:p>
      <w:pPr>
        <w:pStyle w:val="Heading3"/>
        <w:spacing w:before="72"/>
        <w:ind w:left="97"/>
        <w:rPr>
          <w:i/>
        </w:rPr>
      </w:pPr>
      <w:r>
        <w:rPr>
          <w:i/>
          <w:color w:val="8C91A1"/>
        </w:rPr>
        <w:t>Xuất huyết rõ ràng và thể ẩn</w:t>
      </w:r>
    </w:p>
    <w:p>
      <w:pPr>
        <w:pStyle w:val="BodyText"/>
        <w:spacing w:line="216" w:lineRule="auto" w:before="28"/>
        <w:ind w:left="96" w:right="1192"/>
      </w:pPr>
      <w:r>
        <w:rPr>
          <w:color w:val="1C1C1A"/>
        </w:rPr>
        <w:t>Xuất huyết có thể được phát hiện dễ dàng hoặc ẩn đi. Xuất huyết rõ ràng là xuất huyết quan sát rõ bên ngoài, chẳng hạn như xuất huyết từ vết thương hở động mạch hoặc từ khối lượng lớn máu nôn ra do loét dạ dày.</w:t>
      </w:r>
    </w:p>
    <w:p>
      <w:pPr>
        <w:pStyle w:val="BodyText"/>
        <w:spacing w:line="216" w:lineRule="auto" w:before="5"/>
        <w:ind w:left="96" w:right="1252" w:firstLine="283"/>
      </w:pPr>
      <w:r>
        <w:rPr>
          <w:color w:val="1C1C1A"/>
        </w:rPr>
        <w:t>Xuất huyết thể ẩn xảy ra trong khoang cơ thể, cần nghi ngờ, tìm kiếm và kiểm soát tích cực.</w:t>
      </w:r>
    </w:p>
    <w:p>
      <w:pPr>
        <w:spacing w:after="0" w:line="216" w:lineRule="auto"/>
        <w:sectPr>
          <w:type w:val="continuous"/>
          <w:pgSz w:w="12070" w:h="15650"/>
          <w:pgMar w:top="0" w:bottom="280" w:left="0" w:right="0"/>
          <w:cols w:num="2" w:equalWidth="0">
            <w:col w:w="5985" w:space="40"/>
            <w:col w:w="6045"/>
          </w:cols>
        </w:sectPr>
      </w:pPr>
    </w:p>
    <w:p>
      <w:pPr>
        <w:pStyle w:val="BodyText"/>
      </w:pPr>
    </w:p>
    <w:p>
      <w:pPr>
        <w:pStyle w:val="BodyText"/>
      </w:pPr>
    </w:p>
    <w:p>
      <w:pPr>
        <w:pStyle w:val="BodyText"/>
      </w:pPr>
    </w:p>
    <w:p>
      <w:pPr>
        <w:pStyle w:val="BodyText"/>
      </w:pPr>
    </w:p>
    <w:p>
      <w:pPr>
        <w:pStyle w:val="BodyText"/>
      </w:pPr>
    </w:p>
    <w:p>
      <w:pPr>
        <w:spacing w:after="0"/>
        <w:sectPr>
          <w:headerReference w:type="default" r:id="rId8"/>
          <w:pgSz w:w="12070" w:h="15650"/>
          <w:pgMar w:header="0" w:footer="0" w:top="0" w:bottom="280" w:left="0" w:right="0"/>
        </w:sectPr>
      </w:pPr>
    </w:p>
    <w:p>
      <w:pPr>
        <w:pStyle w:val="BodyText"/>
        <w:spacing w:before="5"/>
        <w:rPr>
          <w:sz w:val="19"/>
        </w:rPr>
      </w:pPr>
    </w:p>
    <w:p>
      <w:pPr>
        <w:pStyle w:val="BodyText"/>
        <w:spacing w:line="218" w:lineRule="auto"/>
        <w:ind w:left="1018" w:right="246"/>
      </w:pPr>
      <w:r>
        <w:rPr/>
        <w:pict>
          <v:group style="position:absolute;margin-left:0pt;margin-top:-68.978294pt;width:603.1pt;height:48.15pt;mso-position-horizontal-relative:page;mso-position-vertical-relative:paragraph;z-index:15735808" coordorigin="0,-1380" coordsize="12062,963">
            <v:shape style="position:absolute;left:0;top:-730;width:12062;height:312" type="#_x0000_t202" filled="true" fillcolor="#dfdfe4" stroked="false">
              <v:textbox inset="0,0,0,0">
                <w:txbxContent>
                  <w:p>
                    <w:pPr>
                      <w:spacing w:before="44"/>
                      <w:ind w:left="0" w:right="338" w:firstLine="0"/>
                      <w:jc w:val="right"/>
                      <w:rPr>
                        <w:rFonts w:ascii="Arial" w:hAnsi="Arial"/>
                        <w:b/>
                        <w:sz w:val="18"/>
                      </w:rPr>
                    </w:pPr>
                    <w:r>
                      <w:rPr>
                        <w:color w:val="575757"/>
                        <w:sz w:val="18"/>
                      </w:rPr>
                      <w:t>Xuất huyết </w:t>
                    </w:r>
                    <w:r>
                      <w:rPr>
                        <w:rFonts w:ascii="Arial" w:hAnsi="Arial"/>
                        <w:b/>
                        <w:color w:val="1C1C1A"/>
                        <w:sz w:val="18"/>
                      </w:rPr>
                      <w:t>19</w:t>
                    </w:r>
                  </w:p>
                </w:txbxContent>
              </v:textbox>
              <v:fill type="solid"/>
              <w10:wrap type="none"/>
            </v:shape>
            <v:shape style="position:absolute;left:0;top:-1380;width:12062;height:651" type="#_x0000_t202" filled="true" fillcolor="#745ba2" stroked="false">
              <v:textbox inset="0,0,0,0">
                <w:txbxContent>
                  <w:p>
                    <w:pPr>
                      <w:spacing w:line="240" w:lineRule="auto" w:before="7"/>
                      <w:rPr>
                        <w:sz w:val="30"/>
                      </w:rPr>
                    </w:pPr>
                  </w:p>
                  <w:p>
                    <w:pPr>
                      <w:spacing w:before="0"/>
                      <w:ind w:left="0" w:right="447" w:firstLine="0"/>
                      <w:jc w:val="right"/>
                      <w:rPr>
                        <w:rFonts w:ascii="Arial" w:hAnsi="Arial"/>
                        <w:sz w:val="20"/>
                      </w:rPr>
                    </w:pPr>
                    <w:r>
                      <w:rPr>
                        <w:rFonts w:ascii="Arial" w:hAnsi="Arial"/>
                        <w:b/>
                        <w:color w:val="FFFFFF"/>
                        <w:sz w:val="20"/>
                      </w:rPr>
                      <w:t>PHẦN 1 </w:t>
                    </w:r>
                    <w:r>
                      <w:rPr>
                        <w:rFonts w:ascii="Arial" w:hAnsi="Arial"/>
                        <w:color w:val="FFFFFF"/>
                        <w:sz w:val="20"/>
                      </w:rPr>
                      <w:t>| NGUYÊN TẮC CƠ BẢN</w:t>
                    </w:r>
                  </w:p>
                </w:txbxContent>
              </v:textbox>
              <v:fill type="solid"/>
              <w10:wrap type="none"/>
            </v:shape>
            <w10:wrap type="none"/>
          </v:group>
        </w:pict>
      </w:r>
      <w:bookmarkStart w:name="_bookmark3" w:id="4"/>
      <w:bookmarkEnd w:id="4"/>
      <w:r>
        <w:rPr/>
      </w:r>
      <w:r>
        <w:rPr>
          <w:color w:val="1C1C1A"/>
        </w:rPr>
        <w:t>Trong chấn thương, xuất huyết có thể bị ẩn đi trong ngực, bụng,</w:t>
      </w:r>
      <w:r>
        <w:rPr>
          <w:color w:val="1C1C1A"/>
          <w:spacing w:val="-10"/>
        </w:rPr>
        <w:t> </w:t>
      </w:r>
      <w:r>
        <w:rPr>
          <w:color w:val="1C1C1A"/>
        </w:rPr>
        <w:t>xương</w:t>
      </w:r>
      <w:r>
        <w:rPr>
          <w:color w:val="1C1C1A"/>
          <w:spacing w:val="-10"/>
        </w:rPr>
        <w:t> </w:t>
      </w:r>
      <w:r>
        <w:rPr>
          <w:color w:val="1C1C1A"/>
        </w:rPr>
        <w:t>chậu,</w:t>
      </w:r>
      <w:r>
        <w:rPr>
          <w:color w:val="1C1C1A"/>
          <w:spacing w:val="-10"/>
        </w:rPr>
        <w:t> </w:t>
      </w:r>
      <w:r>
        <w:rPr>
          <w:color w:val="1C1C1A"/>
        </w:rPr>
        <w:t>sau</w:t>
      </w:r>
      <w:r>
        <w:rPr>
          <w:color w:val="1C1C1A"/>
          <w:spacing w:val="-10"/>
        </w:rPr>
        <w:t> </w:t>
      </w:r>
      <w:r>
        <w:rPr>
          <w:color w:val="1C1C1A"/>
        </w:rPr>
        <w:t>phúc</w:t>
      </w:r>
      <w:r>
        <w:rPr>
          <w:color w:val="1C1C1A"/>
          <w:spacing w:val="-11"/>
        </w:rPr>
        <w:t> </w:t>
      </w:r>
      <w:r>
        <w:rPr>
          <w:color w:val="1C1C1A"/>
        </w:rPr>
        <w:t>mạc</w:t>
      </w:r>
      <w:r>
        <w:rPr>
          <w:color w:val="1C1C1A"/>
          <w:spacing w:val="-11"/>
        </w:rPr>
        <w:t> </w:t>
      </w:r>
      <w:r>
        <w:rPr>
          <w:color w:val="1C1C1A"/>
        </w:rPr>
        <w:t>hoặc</w:t>
      </w:r>
      <w:r>
        <w:rPr>
          <w:color w:val="1C1C1A"/>
          <w:spacing w:val="-10"/>
        </w:rPr>
        <w:t> </w:t>
      </w:r>
      <w:r>
        <w:rPr>
          <w:color w:val="1C1C1A"/>
        </w:rPr>
        <w:t>các</w:t>
      </w:r>
      <w:r>
        <w:rPr>
          <w:color w:val="1C1C1A"/>
          <w:spacing w:val="-11"/>
        </w:rPr>
        <w:t> </w:t>
      </w:r>
      <w:r>
        <w:rPr>
          <w:color w:val="1C1C1A"/>
        </w:rPr>
        <w:t>chi</w:t>
      </w:r>
      <w:r>
        <w:rPr>
          <w:color w:val="1C1C1A"/>
          <w:spacing w:val="-11"/>
        </w:rPr>
        <w:t> </w:t>
      </w:r>
      <w:r>
        <w:rPr>
          <w:color w:val="1C1C1A"/>
        </w:rPr>
        <w:t>có</w:t>
      </w:r>
      <w:r>
        <w:rPr>
          <w:color w:val="1C1C1A"/>
          <w:spacing w:val="-10"/>
        </w:rPr>
        <w:t> </w:t>
      </w:r>
      <w:r>
        <w:rPr>
          <w:color w:val="1C1C1A"/>
        </w:rPr>
        <w:t>tổn</w:t>
      </w:r>
      <w:r>
        <w:rPr>
          <w:color w:val="1C1C1A"/>
          <w:spacing w:val="-10"/>
        </w:rPr>
        <w:t> </w:t>
      </w:r>
      <w:r>
        <w:rPr>
          <w:color w:val="1C1C1A"/>
        </w:rPr>
        <w:t>thương mạch</w:t>
      </w:r>
      <w:r>
        <w:rPr>
          <w:color w:val="1C1C1A"/>
          <w:spacing w:val="-11"/>
        </w:rPr>
        <w:t> </w:t>
      </w:r>
      <w:r>
        <w:rPr>
          <w:color w:val="1C1C1A"/>
        </w:rPr>
        <w:t>máu</w:t>
      </w:r>
      <w:r>
        <w:rPr>
          <w:color w:val="1C1C1A"/>
          <w:spacing w:val="-10"/>
        </w:rPr>
        <w:t> </w:t>
      </w:r>
      <w:r>
        <w:rPr>
          <w:color w:val="1C1C1A"/>
        </w:rPr>
        <w:t>hoặc</w:t>
      </w:r>
      <w:r>
        <w:rPr>
          <w:color w:val="1C1C1A"/>
          <w:spacing w:val="-9"/>
        </w:rPr>
        <w:t> </w:t>
      </w:r>
      <w:r>
        <w:rPr>
          <w:color w:val="1C1C1A"/>
        </w:rPr>
        <w:t>liên</w:t>
      </w:r>
      <w:r>
        <w:rPr>
          <w:color w:val="1C1C1A"/>
          <w:spacing w:val="-10"/>
        </w:rPr>
        <w:t> </w:t>
      </w:r>
      <w:r>
        <w:rPr>
          <w:color w:val="1C1C1A"/>
        </w:rPr>
        <w:t>quan</w:t>
      </w:r>
      <w:r>
        <w:rPr>
          <w:color w:val="1C1C1A"/>
          <w:spacing w:val="-9"/>
        </w:rPr>
        <w:t> </w:t>
      </w:r>
      <w:r>
        <w:rPr>
          <w:color w:val="1C1C1A"/>
        </w:rPr>
        <w:t>đến</w:t>
      </w:r>
      <w:r>
        <w:rPr>
          <w:color w:val="1C1C1A"/>
          <w:spacing w:val="-9"/>
        </w:rPr>
        <w:t> </w:t>
      </w:r>
      <w:r>
        <w:rPr>
          <w:color w:val="1C1C1A"/>
        </w:rPr>
        <w:t>gãy</w:t>
      </w:r>
      <w:r>
        <w:rPr>
          <w:color w:val="1C1C1A"/>
          <w:spacing w:val="-10"/>
        </w:rPr>
        <w:t> </w:t>
      </w:r>
      <w:r>
        <w:rPr>
          <w:color w:val="1C1C1A"/>
        </w:rPr>
        <w:t>xương</w:t>
      </w:r>
      <w:r>
        <w:rPr>
          <w:color w:val="1C1C1A"/>
          <w:spacing w:val="-10"/>
        </w:rPr>
        <w:t> </w:t>
      </w:r>
      <w:r>
        <w:rPr>
          <w:color w:val="1C1C1A"/>
        </w:rPr>
        <w:t>dài.</w:t>
      </w:r>
      <w:r>
        <w:rPr>
          <w:color w:val="1C1C1A"/>
          <w:spacing w:val="-8"/>
        </w:rPr>
        <w:t> </w:t>
      </w:r>
      <w:r>
        <w:rPr>
          <w:color w:val="1C1C1A"/>
        </w:rPr>
        <w:t>Các</w:t>
      </w:r>
      <w:r>
        <w:rPr>
          <w:color w:val="1C1C1A"/>
          <w:spacing w:val="-9"/>
        </w:rPr>
        <w:t> </w:t>
      </w:r>
      <w:r>
        <w:rPr>
          <w:color w:val="1C1C1A"/>
        </w:rPr>
        <w:t>ví</w:t>
      </w:r>
      <w:r>
        <w:rPr>
          <w:color w:val="1C1C1A"/>
          <w:spacing w:val="-9"/>
        </w:rPr>
        <w:t> </w:t>
      </w:r>
      <w:r>
        <w:rPr>
          <w:color w:val="1C1C1A"/>
        </w:rPr>
        <w:t>dụ</w:t>
      </w:r>
      <w:r>
        <w:rPr>
          <w:color w:val="1C1C1A"/>
          <w:spacing w:val="-10"/>
        </w:rPr>
        <w:t> </w:t>
      </w:r>
      <w:r>
        <w:rPr>
          <w:color w:val="1C1C1A"/>
        </w:rPr>
        <w:t>xuất huyết</w:t>
      </w:r>
      <w:r>
        <w:rPr>
          <w:color w:val="1C1C1A"/>
          <w:spacing w:val="-10"/>
        </w:rPr>
        <w:t> </w:t>
      </w:r>
      <w:r>
        <w:rPr>
          <w:color w:val="1C1C1A"/>
        </w:rPr>
        <w:t>không</w:t>
      </w:r>
      <w:r>
        <w:rPr>
          <w:color w:val="1C1C1A"/>
          <w:spacing w:val="-8"/>
        </w:rPr>
        <w:t> </w:t>
      </w:r>
      <w:r>
        <w:rPr>
          <w:color w:val="1C1C1A"/>
        </w:rPr>
        <w:t>do</w:t>
      </w:r>
      <w:r>
        <w:rPr>
          <w:color w:val="1C1C1A"/>
          <w:spacing w:val="-9"/>
        </w:rPr>
        <w:t> </w:t>
      </w:r>
      <w:r>
        <w:rPr>
          <w:color w:val="1C1C1A"/>
        </w:rPr>
        <w:t>chấn</w:t>
      </w:r>
      <w:r>
        <w:rPr>
          <w:color w:val="1C1C1A"/>
          <w:spacing w:val="-9"/>
        </w:rPr>
        <w:t> </w:t>
      </w:r>
      <w:r>
        <w:rPr>
          <w:color w:val="1C1C1A"/>
        </w:rPr>
        <w:t>thương</w:t>
      </w:r>
      <w:r>
        <w:rPr>
          <w:color w:val="1C1C1A"/>
          <w:spacing w:val="-8"/>
        </w:rPr>
        <w:t> </w:t>
      </w:r>
      <w:r>
        <w:rPr>
          <w:color w:val="1C1C1A"/>
        </w:rPr>
        <w:t>như</w:t>
      </w:r>
      <w:r>
        <w:rPr>
          <w:color w:val="1C1C1A"/>
          <w:spacing w:val="-9"/>
        </w:rPr>
        <w:t> </w:t>
      </w:r>
      <w:r>
        <w:rPr>
          <w:color w:val="1C1C1A"/>
        </w:rPr>
        <w:t>xuất</w:t>
      </w:r>
      <w:r>
        <w:rPr>
          <w:color w:val="1C1C1A"/>
          <w:spacing w:val="-10"/>
        </w:rPr>
        <w:t> </w:t>
      </w:r>
      <w:r>
        <w:rPr>
          <w:color w:val="1C1C1A"/>
        </w:rPr>
        <w:t>huyết</w:t>
      </w:r>
      <w:r>
        <w:rPr>
          <w:color w:val="1C1C1A"/>
          <w:spacing w:val="-9"/>
        </w:rPr>
        <w:t> </w:t>
      </w:r>
      <w:r>
        <w:rPr>
          <w:color w:val="1C1C1A"/>
        </w:rPr>
        <w:t>tiêu</w:t>
      </w:r>
      <w:r>
        <w:rPr>
          <w:color w:val="1C1C1A"/>
          <w:spacing w:val="-9"/>
        </w:rPr>
        <w:t> </w:t>
      </w:r>
      <w:r>
        <w:rPr>
          <w:color w:val="1C1C1A"/>
        </w:rPr>
        <w:t>hóa</w:t>
      </w:r>
      <w:r>
        <w:rPr>
          <w:color w:val="1C1C1A"/>
          <w:spacing w:val="-9"/>
        </w:rPr>
        <w:t> </w:t>
      </w:r>
      <w:r>
        <w:rPr>
          <w:color w:val="1C1C1A"/>
        </w:rPr>
        <w:t>thể</w:t>
      </w:r>
      <w:r>
        <w:rPr>
          <w:color w:val="1C1C1A"/>
          <w:spacing w:val="-10"/>
        </w:rPr>
        <w:t> </w:t>
      </w:r>
      <w:r>
        <w:rPr>
          <w:color w:val="1C1C1A"/>
        </w:rPr>
        <w:t>ẩn hoặc phình vỡ động mạch</w:t>
      </w:r>
      <w:r>
        <w:rPr>
          <w:color w:val="1C1C1A"/>
          <w:spacing w:val="-12"/>
        </w:rPr>
        <w:t> </w:t>
      </w:r>
      <w:r>
        <w:rPr>
          <w:color w:val="1C1C1A"/>
        </w:rPr>
        <w:t>chủ.</w:t>
      </w:r>
    </w:p>
    <w:p>
      <w:pPr>
        <w:pStyle w:val="BodyText"/>
        <w:rPr>
          <w:sz w:val="24"/>
        </w:rPr>
      </w:pPr>
    </w:p>
    <w:p>
      <w:pPr>
        <w:spacing w:line="237" w:lineRule="auto" w:before="0"/>
        <w:ind w:left="1018" w:right="159" w:firstLine="0"/>
        <w:jc w:val="left"/>
        <w:rPr>
          <w:sz w:val="20"/>
        </w:rPr>
      </w:pPr>
      <w:r>
        <w:rPr>
          <w:b/>
          <w:i/>
          <w:color w:val="8C91A1"/>
          <w:sz w:val="24"/>
        </w:rPr>
        <w:t>Xuất huyết nguyên phát, tái phát và thứ phát </w:t>
      </w:r>
      <w:r>
        <w:rPr>
          <w:color w:val="1C1C1A"/>
          <w:sz w:val="20"/>
        </w:rPr>
        <w:t>Xuất huyết nguyên phát là xuất huyết xảy ra ngay lập tức do chấn thương (hoặc phẫu thuật). Xuất huyết tái phát là xuất</w:t>
      </w:r>
    </w:p>
    <w:p>
      <w:pPr>
        <w:pStyle w:val="BodyText"/>
        <w:spacing w:line="218" w:lineRule="auto"/>
        <w:ind w:left="1018" w:right="170"/>
      </w:pPr>
      <w:r>
        <w:rPr>
          <w:color w:val="1C1C1A"/>
        </w:rPr>
        <w:t>huyết muộn (trong vòng 24 giờ) và thường do tan cục máu đông bằng hồi sức, huyết áp trở lại bình thường và giãn mạch. Xuất huyết tái phát có thể do lỗi kỹ thuật, chẳng hạn như dây truyền bị tuột.</w:t>
      </w:r>
    </w:p>
    <w:p>
      <w:pPr>
        <w:pStyle w:val="BodyText"/>
        <w:spacing w:line="218" w:lineRule="auto"/>
        <w:ind w:left="1018" w:right="136" w:firstLine="283"/>
      </w:pPr>
      <w:r>
        <w:rPr>
          <w:color w:val="1C1C1A"/>
        </w:rPr>
        <w:t>Xuất huyết thứ phát là do thành mạch bị bong tróc. Nó thường xảy ra từ 7-14 ngày sau khi bị thương và kết thúc trở thành nhiễm trùng, hoại tử do tiếp xúc (chẳng hạn như đặt dẫn lưu) hoặc bệnh lý ác tính.</w:t>
      </w:r>
    </w:p>
    <w:p>
      <w:pPr>
        <w:pStyle w:val="BodyText"/>
        <w:spacing w:before="8"/>
        <w:rPr>
          <w:sz w:val="23"/>
        </w:rPr>
      </w:pPr>
    </w:p>
    <w:p>
      <w:pPr>
        <w:pStyle w:val="Heading3"/>
        <w:rPr>
          <w:i/>
        </w:rPr>
      </w:pPr>
      <w:r>
        <w:rPr>
          <w:i/>
          <w:color w:val="8C91A1"/>
        </w:rPr>
        <w:t>Xuất huyết phẫu thuật và không phẫu thuật</w:t>
      </w:r>
    </w:p>
    <w:p>
      <w:pPr>
        <w:pStyle w:val="BodyText"/>
        <w:spacing w:line="218" w:lineRule="auto" w:before="33"/>
        <w:ind w:left="1018" w:right="-2"/>
      </w:pPr>
      <w:r>
        <w:rPr>
          <w:color w:val="1C1C1A"/>
        </w:rPr>
        <w:t>Xuất huyết phẫu thuật là xuất huyết do chấn thương trực tiếp và có thể kiểm soát nhờ phẫu thuật (hoặc các kỹ thuật khác như thắt mạch máu). Xuất huyết không phẫu thuật là dịch rỉ nói chung từ tất cả các bề mặt do rối loạn đông máu và không thể dừng lại bằng phương pháp phẫu thuật (trừ băng bó). Điều trị yêu cầu điều chỉnh các bất thường về đông máu.</w:t>
      </w:r>
    </w:p>
    <w:p>
      <w:pPr>
        <w:pStyle w:val="BodyText"/>
        <w:rPr>
          <w:sz w:val="22"/>
        </w:rPr>
      </w:pPr>
    </w:p>
    <w:p>
      <w:pPr>
        <w:pStyle w:val="Heading2"/>
        <w:spacing w:before="155"/>
        <w:ind w:left="1018"/>
      </w:pPr>
      <w:r>
        <w:rPr>
          <w:color w:val="7E8597"/>
        </w:rPr>
        <w:t>Cấp độ và phân loại</w:t>
      </w:r>
    </w:p>
    <w:p>
      <w:pPr>
        <w:pStyle w:val="BodyText"/>
        <w:spacing w:line="230" w:lineRule="auto" w:before="73"/>
        <w:ind w:left="1018"/>
      </w:pPr>
      <w:r>
        <w:rPr>
          <w:color w:val="1C1C1A"/>
        </w:rPr>
        <w:t>Người trưởng thành có khoảng 5 lít máu (70 mL/kg trẻ em và người lớn, 80 mL/kg trẻ sơ sinh). Việc ước tính lượng máu đã mất rất khó, không chính xác và thường được đánh giá thấp hơn so với thực tế.</w:t>
      </w:r>
    </w:p>
    <w:p>
      <w:pPr>
        <w:pStyle w:val="BodyText"/>
        <w:spacing w:line="218" w:lineRule="auto"/>
        <w:ind w:left="1018" w:right="149" w:firstLine="283"/>
      </w:pPr>
      <w:r>
        <w:rPr>
          <w:color w:val="1C1C1A"/>
        </w:rPr>
        <w:t>Xuất huyết bên ngoài quan sát rõ ràng, nhưng có thể khó ước tính lượng bị mất thực sự. Trong phòng mổ, có thể đo lượng máu mất trong máy hút và cân băng gạc thấm máu.</w:t>
      </w:r>
    </w:p>
    <w:p>
      <w:pPr>
        <w:pStyle w:val="BodyText"/>
        <w:spacing w:line="218" w:lineRule="auto" w:before="2"/>
        <w:ind w:left="1018" w:right="-15" w:firstLine="283"/>
      </w:pPr>
      <w:r>
        <w:rPr>
          <w:color w:val="1C1C1A"/>
        </w:rPr>
        <w:t>Mức độ haemoglobin là một chỉ số kém rõ ràng về mức độ xuất huyết vì nó thể hiện nồng độ chứ không thể hiện một số lượng tuyệt đối. Trong giai đoạn đầu của quá trình xuất huyết nhanh, nồng độ haemoglobin không thay đổi (vì mất máu </w:t>
      </w:r>
      <w:r>
        <w:rPr>
          <w:color w:val="1C1C1A"/>
          <w:spacing w:val="-4"/>
        </w:rPr>
        <w:t>toàn </w:t>
      </w:r>
      <w:r>
        <w:rPr>
          <w:color w:val="1C1C1A"/>
        </w:rPr>
        <w:t>phần). Sau đó, khi dịch được chuyển từ nội bào và khoảng kẽ vào mạch máu, nồng độ haemoglobin và haematocrit sẽ giảm xuống.</w:t>
      </w:r>
    </w:p>
    <w:p>
      <w:pPr>
        <w:pStyle w:val="BodyText"/>
        <w:spacing w:line="218" w:lineRule="auto" w:before="34"/>
        <w:ind w:left="1018" w:right="10" w:firstLine="283"/>
      </w:pPr>
      <w:r>
        <w:rPr>
          <w:color w:val="1C1C1A"/>
        </w:rPr>
        <w:t>Lượng máu xuất huyết có thể được phân từ 1-4 cấp độ</w:t>
      </w:r>
      <w:r>
        <w:rPr>
          <w:color w:val="1C1C1A"/>
          <w:spacing w:val="-19"/>
        </w:rPr>
        <w:t> </w:t>
      </w:r>
      <w:r>
        <w:rPr>
          <w:color w:val="1C1C1A"/>
        </w:rPr>
        <w:t>dựa trên lượng máu ước tính đã mất đi cần bù đắp thay thế (</w:t>
      </w:r>
      <w:r>
        <w:rPr>
          <w:i/>
          <w:color w:val="0000FF"/>
        </w:rPr>
        <w:t>Bảng </w:t>
      </w:r>
      <w:r>
        <w:rPr>
          <w:i/>
          <w:color w:val="0000FF"/>
        </w:rPr>
        <w:t>2.4</w:t>
      </w:r>
      <w:r>
        <w:rPr>
          <w:color w:val="1C1C1A"/>
        </w:rPr>
        <w:t>). Mặc dù rõ ràng về khái niệm, có sự khác biệt giữa các độ tuổi (trẻ bù lại tốt, già rất kém), khác</w:t>
      </w:r>
      <w:r>
        <w:rPr>
          <w:color w:val="1C1C1A"/>
          <w:spacing w:val="-8"/>
        </w:rPr>
        <w:t> </w:t>
      </w:r>
      <w:r>
        <w:rPr>
          <w:color w:val="1C1C1A"/>
        </w:rPr>
        <w:t>biệt</w:t>
      </w:r>
    </w:p>
    <w:p>
      <w:pPr>
        <w:pStyle w:val="BodyText"/>
        <w:spacing w:before="7"/>
        <w:rPr>
          <w:sz w:val="19"/>
        </w:rPr>
      </w:pPr>
      <w:r>
        <w:rPr/>
        <w:br w:type="column"/>
      </w:r>
      <w:r>
        <w:rPr>
          <w:sz w:val="19"/>
        </w:rPr>
      </w:r>
    </w:p>
    <w:p>
      <w:pPr>
        <w:pStyle w:val="BodyText"/>
        <w:spacing w:line="216" w:lineRule="auto" w:before="1"/>
        <w:ind w:left="184" w:right="1004"/>
      </w:pPr>
      <w:r>
        <w:rPr>
          <w:color w:val="1C1C1A"/>
        </w:rPr>
        <w:t>giữa các cá nhân (ví dụ vận động viên so với người béo phì) và sự khác biệt do các yếu tố gây nhiễu (ví dụ dùng thuốc, đau).</w:t>
      </w:r>
    </w:p>
    <w:p>
      <w:pPr>
        <w:pStyle w:val="BodyText"/>
        <w:spacing w:line="216" w:lineRule="auto" w:before="3"/>
        <w:ind w:left="184" w:right="963" w:firstLine="283"/>
      </w:pPr>
      <w:r>
        <w:rPr>
          <w:color w:val="1C1C1A"/>
        </w:rPr>
        <w:t>Việc điều trị theo đó phải xem xét trên mức độ sốc giảm thể tích dựa vào các dấu hiệu sinh tồn, đánh giá tiền gánh, tình trạng thâm hụt base và quan trọng nhất là đáp ứng động với liệu pháp truyền dịch. Bệnh nhân 'không đáp ứng' hoặc 'đáp ứng tạm thời' vẫn đang chảy máu phải xác định và kiểm soát vị trí xuất huyết.</w:t>
      </w:r>
    </w:p>
    <w:p>
      <w:pPr>
        <w:pStyle w:val="BodyText"/>
        <w:spacing w:before="8"/>
        <w:rPr>
          <w:sz w:val="27"/>
        </w:rPr>
      </w:pPr>
    </w:p>
    <w:p>
      <w:pPr>
        <w:pStyle w:val="Heading2"/>
        <w:ind w:left="183"/>
      </w:pPr>
      <w:r>
        <w:rPr>
          <w:color w:val="7E8597"/>
        </w:rPr>
        <w:t>Kiểm soát</w:t>
      </w:r>
    </w:p>
    <w:p>
      <w:pPr>
        <w:pStyle w:val="Heading3"/>
        <w:spacing w:before="67"/>
        <w:ind w:left="183"/>
        <w:rPr>
          <w:i/>
        </w:rPr>
      </w:pPr>
      <w:r>
        <w:rPr>
          <w:i/>
          <w:color w:val="8C91A1"/>
        </w:rPr>
        <w:t>Xác định xuất huyết</w:t>
      </w:r>
    </w:p>
    <w:p>
      <w:pPr>
        <w:pStyle w:val="BodyText"/>
        <w:spacing w:line="216" w:lineRule="auto" w:before="34"/>
        <w:ind w:left="184" w:right="1001"/>
      </w:pPr>
      <w:r>
        <w:rPr>
          <w:color w:val="1C1C1A"/>
        </w:rPr>
        <w:t>Xuất huyết bên ngoài có thể quan sát được, nhưng khó để chẩn đoán xuất huyết thể ẩn. Bất kỳ tình trạng sốc nào cũng nên được coi là giảm thể cho đến khi chứng minh được điều ngược lại và tương tự, giảm thể tích máu nên được được giả định là do xuất huyết cho đến khi điều này được loại trừ.</w:t>
      </w:r>
    </w:p>
    <w:p>
      <w:pPr>
        <w:pStyle w:val="Heading3"/>
        <w:spacing w:before="189"/>
        <w:ind w:left="183"/>
        <w:rPr>
          <w:i/>
        </w:rPr>
      </w:pPr>
      <w:r>
        <w:rPr>
          <w:i/>
          <w:color w:val="8C91A1"/>
        </w:rPr>
        <w:t>Thực hiện hồi sức ngay lập tức</w:t>
      </w:r>
    </w:p>
    <w:p>
      <w:pPr>
        <w:pStyle w:val="BodyText"/>
        <w:spacing w:line="216" w:lineRule="auto" w:before="33"/>
        <w:ind w:left="184" w:right="939"/>
      </w:pPr>
      <w:r>
        <w:rPr>
          <w:color w:val="1C1C1A"/>
        </w:rPr>
        <w:t>Gây áp lực trực tiếp trên vị trí xuất huyết bên ngoài. Đánh giá và kiểm soát đường thở, nhịp thở khi cần thiết. Tiến hành tiếp cận tĩnh mạch lớn, lấy máu làm phù hợp chéo</w:t>
      </w:r>
      <w:r>
        <w:rPr>
          <w:color w:val="1C1C1A"/>
          <w:spacing w:val="-17"/>
        </w:rPr>
        <w:t> </w:t>
      </w:r>
      <w:r>
        <w:rPr>
          <w:color w:val="1C1C1A"/>
        </w:rPr>
        <w:t>(xem</w:t>
      </w:r>
    </w:p>
    <w:p>
      <w:pPr>
        <w:pStyle w:val="BodyText"/>
        <w:spacing w:line="216" w:lineRule="auto" w:before="3"/>
        <w:ind w:left="184" w:right="1282"/>
      </w:pPr>
      <w:r>
        <w:rPr>
          <w:b/>
          <w:color w:val="1C1C1A"/>
        </w:rPr>
        <w:t>Phù hợp chéo </w:t>
      </w:r>
      <w:r>
        <w:rPr>
          <w:color w:val="1C1C1A"/>
        </w:rPr>
        <w:t>bên dưới). Khẩn cấp lấy máu nếu mức độ sốc và tình trạng xuất huyết liên tục.</w:t>
      </w:r>
    </w:p>
    <w:p>
      <w:pPr>
        <w:pStyle w:val="Heading3"/>
        <w:spacing w:before="186"/>
        <w:ind w:left="183"/>
        <w:rPr>
          <w:i/>
        </w:rPr>
      </w:pPr>
      <w:r>
        <w:rPr>
          <w:i/>
          <w:color w:val="8C91A1"/>
        </w:rPr>
        <w:t>Xác định vị trí xuất huyết</w:t>
      </w:r>
    </w:p>
    <w:p>
      <w:pPr>
        <w:pStyle w:val="BodyText"/>
        <w:spacing w:line="216" w:lineRule="auto" w:before="33"/>
        <w:ind w:left="184" w:right="1063"/>
        <w:jc w:val="both"/>
      </w:pPr>
      <w:r>
        <w:rPr>
          <w:color w:val="1C1C1A"/>
        </w:rPr>
        <w:t>Khi kiểm soát xuất huyết, phải nhanh chóng xác định vị trí xuất huyết. Lưu ý việc này không xác định vị trí chính xác ngay lập tức, mà đúng hơn là xác định bước tiếp theo trong kiểm soát xuất huyết (phẫu thuật, thắt mạch máu, kiểm soát nội soi).</w:t>
      </w:r>
    </w:p>
    <w:p>
      <w:pPr>
        <w:pStyle w:val="BodyText"/>
        <w:spacing w:line="216" w:lineRule="auto" w:before="5"/>
        <w:ind w:left="184" w:right="893" w:firstLine="283"/>
      </w:pPr>
      <w:r>
        <w:rPr>
          <w:color w:val="1C1C1A"/>
        </w:rPr>
        <w:t>Các dấu hiệu gợi ý có thể có trong tiền sử (các đợt điều trị trước, phình động mạch đã biết, liệu pháp non-steroid cho xuất huyết tiêu hóa [GI]) hoặc khám (tính chất của máu - tươi, phân đen; đau bụng, v.v.). Đối với những bệnh nhân bị sốc chấn thương, các dấu hiệu bên ngoài của chấn thương có thể gợi ý xuất huyết bên trong, nhưng xuất huyết vào khoang cơ thể (lồng ngực, bụng) thì phải được loại trừ bằng các thăm dò nhanh (chụp x-quang ngực và chậu, siêu âm ổ bụng hoặc chọc hút phúc mạc chẩn</w:t>
      </w:r>
      <w:r>
        <w:rPr>
          <w:color w:val="1C1C1A"/>
          <w:spacing w:val="-4"/>
        </w:rPr>
        <w:t> </w:t>
      </w:r>
      <w:r>
        <w:rPr>
          <w:color w:val="1C1C1A"/>
        </w:rPr>
        <w:t>đoán).</w:t>
      </w:r>
    </w:p>
    <w:p>
      <w:pPr>
        <w:pStyle w:val="BodyText"/>
        <w:spacing w:line="216" w:lineRule="auto" w:before="9"/>
        <w:ind w:left="184" w:right="1006" w:firstLine="283"/>
      </w:pPr>
      <w:r>
        <w:rPr>
          <w:color w:val="1C1C1A"/>
        </w:rPr>
        <w:t>Việc phát hiện mất máu phải phù hợp với tình trạng của bệnh nhân. Kiểm tra nhanh chóng tại chỗ thích hợp cho các trường hợp xuất huyết nặng hơn là chụp cắt lớp vi tính (CT) vốn tốn nhiều thời gian. Những bệnh nhân không cầm máu tích cực có thể cần phương pháp kiểm soát cẩn thận và dứt khoát hơn.</w:t>
      </w:r>
    </w:p>
    <w:p>
      <w:pPr>
        <w:pStyle w:val="Heading3"/>
        <w:spacing w:before="190"/>
        <w:ind w:left="183"/>
        <w:rPr>
          <w:i/>
        </w:rPr>
      </w:pPr>
      <w:r>
        <w:rPr>
          <w:i/>
          <w:color w:val="8C91A1"/>
        </w:rPr>
        <w:t>Kiểm soát xuất huyết</w:t>
      </w:r>
    </w:p>
    <w:p>
      <w:pPr>
        <w:pStyle w:val="BodyText"/>
        <w:spacing w:line="216" w:lineRule="auto" w:before="34"/>
        <w:ind w:left="184" w:right="859"/>
      </w:pPr>
      <w:r>
        <w:rPr>
          <w:color w:val="1C1C1A"/>
        </w:rPr>
        <w:t>Bệnh nhân sốc mất máu phải được nhanh chóng chuyển đến nơi có thể kiểm soát xuất huyết. Thường là phòng mổ cũng có thể là phòng chụp mạch hoặc phòng nội soi. Những bệnh nhân này cần được hỗ trợ phẫu thuật, gây mê và giám sát đầy đủ với các trang thiết bị sẵn</w:t>
      </w:r>
      <w:r>
        <w:rPr>
          <w:color w:val="1C1C1A"/>
          <w:spacing w:val="-4"/>
        </w:rPr>
        <w:t> </w:t>
      </w:r>
      <w:r>
        <w:rPr>
          <w:color w:val="1C1C1A"/>
        </w:rPr>
        <w:t>có.</w:t>
      </w:r>
    </w:p>
    <w:p>
      <w:pPr>
        <w:pStyle w:val="BodyText"/>
        <w:spacing w:line="216" w:lineRule="auto" w:before="5"/>
        <w:ind w:left="184" w:right="875" w:firstLine="283"/>
      </w:pPr>
      <w:r>
        <w:rPr/>
        <w:pict>
          <v:shape style="position:absolute;margin-left:50.945999pt;margin-top:14.791347pt;width:247.15pt;height:79.1pt;mso-position-horizontal-relative:page;mso-position-vertical-relative:paragraph;z-index:15736320" type="#_x0000_t202" filled="false" stroked="false">
            <v:textbox inset="0,0,0,0">
              <w:txbxContent>
                <w:tbl>
                  <w:tblPr>
                    <w:tblW w:w="0" w:type="auto"/>
                    <w:jc w:val="left"/>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658"/>
                    <w:gridCol w:w="816"/>
                    <w:gridCol w:w="816"/>
                    <w:gridCol w:w="816"/>
                    <w:gridCol w:w="816"/>
                  </w:tblGrid>
                  <w:tr>
                    <w:trPr>
                      <w:trHeight w:val="533" w:hRule="atLeast"/>
                    </w:trPr>
                    <w:tc>
                      <w:tcPr>
                        <w:tcW w:w="4922" w:type="dxa"/>
                        <w:gridSpan w:val="5"/>
                        <w:tcBorders>
                          <w:top w:val="nil"/>
                          <w:left w:val="nil"/>
                        </w:tcBorders>
                        <w:shd w:val="clear" w:color="auto" w:fill="C5BBDD"/>
                      </w:tcPr>
                      <w:p>
                        <w:pPr>
                          <w:pStyle w:val="TableParagraph"/>
                          <w:spacing w:before="81"/>
                          <w:ind w:left="79"/>
                          <w:rPr>
                            <w:sz w:val="18"/>
                          </w:rPr>
                        </w:pPr>
                        <w:r>
                          <w:rPr>
                            <w:b/>
                            <w:color w:val="755BA3"/>
                            <w:sz w:val="18"/>
                          </w:rPr>
                          <w:t>BẢNG 2.4 </w:t>
                        </w:r>
                        <w:r>
                          <w:rPr>
                            <w:color w:val="1C1C1A"/>
                            <w:sz w:val="18"/>
                          </w:rPr>
                          <w:t>Phân loại theo cổ điển xuất huyết trong sốc.</w:t>
                        </w:r>
                      </w:p>
                    </w:tc>
                  </w:tr>
                  <w:tr>
                    <w:trPr>
                      <w:trHeight w:val="259" w:hRule="atLeast"/>
                    </w:trPr>
                    <w:tc>
                      <w:tcPr>
                        <w:tcW w:w="1658" w:type="dxa"/>
                        <w:vMerge w:val="restart"/>
                        <w:tcBorders>
                          <w:left w:val="nil"/>
                        </w:tcBorders>
                        <w:shd w:val="clear" w:color="auto" w:fill="C5BBDD"/>
                      </w:tcPr>
                      <w:p>
                        <w:pPr>
                          <w:pStyle w:val="TableParagraph"/>
                          <w:spacing w:before="0"/>
                          <w:ind w:left="0"/>
                          <w:rPr>
                            <w:sz w:val="20"/>
                          </w:rPr>
                        </w:pPr>
                      </w:p>
                    </w:tc>
                    <w:tc>
                      <w:tcPr>
                        <w:tcW w:w="3264" w:type="dxa"/>
                        <w:gridSpan w:val="4"/>
                        <w:shd w:val="clear" w:color="auto" w:fill="C5BBDD"/>
                      </w:tcPr>
                      <w:p>
                        <w:pPr>
                          <w:pStyle w:val="TableParagraph"/>
                          <w:ind w:left="1399" w:right="1520"/>
                          <w:jc w:val="center"/>
                          <w:rPr>
                            <w:b/>
                            <w:sz w:val="16"/>
                          </w:rPr>
                        </w:pPr>
                        <w:r>
                          <w:rPr>
                            <w:b/>
                            <w:color w:val="1C1C1A"/>
                            <w:sz w:val="16"/>
                          </w:rPr>
                          <w:t>Cấp</w:t>
                        </w:r>
                      </w:p>
                    </w:tc>
                  </w:tr>
                  <w:tr>
                    <w:trPr>
                      <w:trHeight w:val="259" w:hRule="atLeast"/>
                    </w:trPr>
                    <w:tc>
                      <w:tcPr>
                        <w:tcW w:w="1658" w:type="dxa"/>
                        <w:vMerge/>
                        <w:tcBorders>
                          <w:top w:val="nil"/>
                          <w:left w:val="nil"/>
                        </w:tcBorders>
                        <w:shd w:val="clear" w:color="auto" w:fill="C5BBDD"/>
                      </w:tcPr>
                      <w:p>
                        <w:pPr>
                          <w:rPr>
                            <w:sz w:val="2"/>
                            <w:szCs w:val="2"/>
                          </w:rPr>
                        </w:pPr>
                      </w:p>
                    </w:tc>
                    <w:tc>
                      <w:tcPr>
                        <w:tcW w:w="816" w:type="dxa"/>
                        <w:shd w:val="clear" w:color="auto" w:fill="C5BBDD"/>
                      </w:tcPr>
                      <w:p>
                        <w:pPr>
                          <w:pStyle w:val="TableParagraph"/>
                          <w:ind w:left="0" w:right="6"/>
                          <w:jc w:val="center"/>
                          <w:rPr>
                            <w:b/>
                            <w:sz w:val="16"/>
                          </w:rPr>
                        </w:pPr>
                        <w:r>
                          <w:rPr>
                            <w:b/>
                            <w:color w:val="1C1C1A"/>
                            <w:sz w:val="16"/>
                          </w:rPr>
                          <w:t>1</w:t>
                        </w:r>
                      </w:p>
                    </w:tc>
                    <w:tc>
                      <w:tcPr>
                        <w:tcW w:w="816" w:type="dxa"/>
                        <w:shd w:val="clear" w:color="auto" w:fill="C5BBDD"/>
                      </w:tcPr>
                      <w:p>
                        <w:pPr>
                          <w:pStyle w:val="TableParagraph"/>
                          <w:ind w:left="0" w:right="6"/>
                          <w:jc w:val="center"/>
                          <w:rPr>
                            <w:b/>
                            <w:sz w:val="16"/>
                          </w:rPr>
                        </w:pPr>
                        <w:r>
                          <w:rPr>
                            <w:b/>
                            <w:color w:val="1C1C1A"/>
                            <w:sz w:val="16"/>
                          </w:rPr>
                          <w:t>2</w:t>
                        </w:r>
                      </w:p>
                    </w:tc>
                    <w:tc>
                      <w:tcPr>
                        <w:tcW w:w="816" w:type="dxa"/>
                        <w:shd w:val="clear" w:color="auto" w:fill="C5BBDD"/>
                      </w:tcPr>
                      <w:p>
                        <w:pPr>
                          <w:pStyle w:val="TableParagraph"/>
                          <w:ind w:left="0" w:right="6"/>
                          <w:jc w:val="center"/>
                          <w:rPr>
                            <w:b/>
                            <w:sz w:val="16"/>
                          </w:rPr>
                        </w:pPr>
                        <w:r>
                          <w:rPr>
                            <w:b/>
                            <w:color w:val="1C1C1A"/>
                            <w:sz w:val="16"/>
                          </w:rPr>
                          <w:t>3</w:t>
                        </w:r>
                      </w:p>
                    </w:tc>
                    <w:tc>
                      <w:tcPr>
                        <w:tcW w:w="816" w:type="dxa"/>
                        <w:shd w:val="clear" w:color="auto" w:fill="C5BBDD"/>
                      </w:tcPr>
                      <w:p>
                        <w:pPr>
                          <w:pStyle w:val="TableParagraph"/>
                          <w:ind w:left="0" w:right="6"/>
                          <w:jc w:val="center"/>
                          <w:rPr>
                            <w:b/>
                            <w:sz w:val="16"/>
                          </w:rPr>
                        </w:pPr>
                        <w:r>
                          <w:rPr>
                            <w:b/>
                            <w:color w:val="1C1C1A"/>
                            <w:sz w:val="16"/>
                          </w:rPr>
                          <w:t>4</w:t>
                        </w:r>
                      </w:p>
                    </w:tc>
                  </w:tr>
                  <w:tr>
                    <w:trPr>
                      <w:trHeight w:val="449" w:hRule="atLeast"/>
                    </w:trPr>
                    <w:tc>
                      <w:tcPr>
                        <w:tcW w:w="1658" w:type="dxa"/>
                        <w:tcBorders>
                          <w:left w:val="nil"/>
                        </w:tcBorders>
                        <w:shd w:val="clear" w:color="auto" w:fill="E6E1D2"/>
                      </w:tcPr>
                      <w:p>
                        <w:pPr>
                          <w:pStyle w:val="TableParagraph"/>
                          <w:spacing w:line="235" w:lineRule="auto" w:before="33"/>
                          <w:ind w:left="79" w:right="244"/>
                          <w:rPr>
                            <w:sz w:val="16"/>
                          </w:rPr>
                        </w:pPr>
                        <w:r>
                          <w:rPr>
                            <w:color w:val="1C1C1A"/>
                            <w:sz w:val="16"/>
                          </w:rPr>
                          <w:t>Phần trăm máu mất trên tổng lượng máu</w:t>
                        </w:r>
                      </w:p>
                    </w:tc>
                    <w:tc>
                      <w:tcPr>
                        <w:tcW w:w="816" w:type="dxa"/>
                        <w:shd w:val="clear" w:color="auto" w:fill="E6E1D2"/>
                      </w:tcPr>
                      <w:p>
                        <w:pPr>
                          <w:pStyle w:val="TableParagraph"/>
                          <w:spacing w:before="125"/>
                          <w:ind w:left="81" w:right="129"/>
                          <w:jc w:val="center"/>
                          <w:rPr>
                            <w:sz w:val="16"/>
                          </w:rPr>
                        </w:pPr>
                        <w:r>
                          <w:rPr>
                            <w:color w:val="1C1C1A"/>
                            <w:sz w:val="16"/>
                          </w:rPr>
                          <w:t>&lt;15%</w:t>
                        </w:r>
                      </w:p>
                    </w:tc>
                    <w:tc>
                      <w:tcPr>
                        <w:tcW w:w="816" w:type="dxa"/>
                        <w:shd w:val="clear" w:color="auto" w:fill="E6E1D2"/>
                      </w:tcPr>
                      <w:p>
                        <w:pPr>
                          <w:pStyle w:val="TableParagraph"/>
                          <w:spacing w:before="125"/>
                          <w:ind w:left="81" w:right="141"/>
                          <w:jc w:val="center"/>
                          <w:rPr>
                            <w:sz w:val="16"/>
                          </w:rPr>
                        </w:pPr>
                        <w:r>
                          <w:rPr>
                            <w:color w:val="1C1C1A"/>
                            <w:sz w:val="16"/>
                          </w:rPr>
                          <w:t>15–30%</w:t>
                        </w:r>
                      </w:p>
                    </w:tc>
                    <w:tc>
                      <w:tcPr>
                        <w:tcW w:w="816" w:type="dxa"/>
                        <w:shd w:val="clear" w:color="auto" w:fill="E6E1D2"/>
                      </w:tcPr>
                      <w:p>
                        <w:pPr>
                          <w:pStyle w:val="TableParagraph"/>
                          <w:spacing w:before="125"/>
                          <w:ind w:left="81" w:right="141"/>
                          <w:jc w:val="center"/>
                          <w:rPr>
                            <w:sz w:val="16"/>
                          </w:rPr>
                        </w:pPr>
                        <w:r>
                          <w:rPr>
                            <w:color w:val="1C1C1A"/>
                            <w:sz w:val="16"/>
                          </w:rPr>
                          <w:t>30–40%</w:t>
                        </w:r>
                      </w:p>
                    </w:tc>
                    <w:tc>
                      <w:tcPr>
                        <w:tcW w:w="816" w:type="dxa"/>
                        <w:shd w:val="clear" w:color="auto" w:fill="E6E1D2"/>
                      </w:tcPr>
                      <w:p>
                        <w:pPr>
                          <w:pStyle w:val="TableParagraph"/>
                          <w:spacing w:before="125"/>
                          <w:ind w:left="81" w:right="129"/>
                          <w:jc w:val="center"/>
                          <w:rPr>
                            <w:sz w:val="16"/>
                          </w:rPr>
                        </w:pPr>
                        <w:r>
                          <w:rPr>
                            <w:color w:val="1C1C1A"/>
                            <w:sz w:val="16"/>
                          </w:rPr>
                          <w:t>&gt;40%</w:t>
                        </w:r>
                      </w:p>
                    </w:tc>
                  </w:tr>
                </w:tbl>
                <w:p>
                  <w:pPr>
                    <w:pStyle w:val="BodyText"/>
                  </w:pPr>
                </w:p>
              </w:txbxContent>
            </v:textbox>
            <w10:wrap type="none"/>
          </v:shape>
        </w:pict>
      </w:r>
      <w:r>
        <w:rPr>
          <w:color w:val="1C1C1A"/>
        </w:rPr>
        <w:t>Việc kiểm soát xuất huyết phải tiến hành nhanh chóng để tránh cho bệnh nhân bước vào tam chứng rối loạn đông máu - nhiễm toan - hạ thân nhiệt và suy kiệt. Không trì hoãn để kiểm tra hoặc tiến hành những việc không cần thiết trước khi kiểm soát</w:t>
      </w:r>
    </w:p>
    <w:p>
      <w:pPr>
        <w:spacing w:after="0" w:line="216" w:lineRule="auto"/>
        <w:sectPr>
          <w:type w:val="continuous"/>
          <w:pgSz w:w="12070" w:h="15650"/>
          <w:pgMar w:top="0" w:bottom="280" w:left="0" w:right="0"/>
          <w:cols w:num="2" w:equalWidth="0">
            <w:col w:w="6011" w:space="40"/>
            <w:col w:w="6019"/>
          </w:cols>
        </w:sectPr>
      </w:pPr>
    </w:p>
    <w:p>
      <w:pPr>
        <w:pStyle w:val="BodyText"/>
        <w:spacing w:before="1"/>
        <w:rPr>
          <w:sz w:val="25"/>
        </w:rPr>
      </w:pPr>
    </w:p>
    <w:p>
      <w:pPr>
        <w:spacing w:after="0"/>
        <w:rPr>
          <w:sz w:val="25"/>
        </w:rPr>
        <w:sectPr>
          <w:headerReference w:type="even" r:id="rId9"/>
          <w:pgSz w:w="12070" w:h="15650"/>
          <w:pgMar w:header="0" w:footer="0" w:top="960" w:bottom="280" w:left="0" w:right="0"/>
          <w:pgNumType w:start="20"/>
        </w:sectPr>
      </w:pPr>
    </w:p>
    <w:p>
      <w:pPr>
        <w:pStyle w:val="BodyText"/>
        <w:spacing w:line="216" w:lineRule="auto" w:before="130"/>
        <w:ind w:left="905" w:right="94"/>
      </w:pPr>
      <w:bookmarkStart w:name="_bookmark4" w:id="5"/>
      <w:bookmarkEnd w:id="5"/>
      <w:r>
        <w:rPr/>
      </w:r>
      <w:r>
        <w:rPr>
          <w:color w:val="1C1C1A"/>
        </w:rPr>
        <w:t>được xuất huyết mục đích để giảm thời gian và mức độ nghiêm trọng của sốc. Việc này bao gồm cả việc hồi sức tăng thể tích tuần hoàn cho bệnh nhân trước phẫu thuật nhưng nó cũng dẫn đến hạ thân nhiệt và làm loãng các yếu tố đông máu cho đến khi cầm máu. Chú ý nên điều chỉnh rối loạn đông</w:t>
      </w:r>
      <w:r>
        <w:rPr>
          <w:color w:val="1C1C1A"/>
          <w:spacing w:val="-19"/>
        </w:rPr>
        <w:t> </w:t>
      </w:r>
      <w:r>
        <w:rPr>
          <w:color w:val="1C1C1A"/>
        </w:rPr>
        <w:t>máu bằng truyền các thành phần máu hỗ trợ kiểm soát xuất huyết trong phẫu</w:t>
      </w:r>
      <w:r>
        <w:rPr>
          <w:color w:val="1C1C1A"/>
          <w:spacing w:val="-1"/>
        </w:rPr>
        <w:t> </w:t>
      </w:r>
      <w:r>
        <w:rPr>
          <w:color w:val="1C1C1A"/>
        </w:rPr>
        <w:t>thuật.</w:t>
      </w:r>
    </w:p>
    <w:p>
      <w:pPr>
        <w:pStyle w:val="BodyText"/>
        <w:spacing w:line="216" w:lineRule="auto" w:before="8"/>
        <w:ind w:left="905" w:right="47" w:firstLine="283"/>
      </w:pPr>
      <w:r>
        <w:rPr>
          <w:color w:val="1C1C1A"/>
        </w:rPr>
        <w:t>Phẫu thuật ở mức độ can thiệp tối thiểu để cầm máu và kiểm soát nhiễm trùng có thể cần thiết. Việc điều trị dứt điểm có thể bị trì hoãn cho đến khi bệnh nhân duy trì ổn định về huyết động và sinh lý. Khái niệm điều chỉnh hoạt động phù hợp với sinh lý và các quy trình ngăn ngừa tình trạng suy kiệt</w:t>
      </w:r>
      <w:r>
        <w:rPr>
          <w:color w:val="1C1C1A"/>
          <w:spacing w:val="-22"/>
        </w:rPr>
        <w:t> </w:t>
      </w:r>
      <w:r>
        <w:rPr>
          <w:color w:val="1C1C1A"/>
        </w:rPr>
        <w:t>ở bệnh nhân được gọi là 'phẫu thuật kiểm soát thương tổn'</w:t>
      </w:r>
      <w:r>
        <w:rPr>
          <w:color w:val="1C1C1A"/>
          <w:spacing w:val="-17"/>
        </w:rPr>
        <w:t> </w:t>
      </w:r>
      <w:r>
        <w:rPr>
          <w:color w:val="1C1C1A"/>
        </w:rPr>
        <w:t>-</w:t>
      </w:r>
    </w:p>
    <w:p>
      <w:pPr>
        <w:pStyle w:val="BodyText"/>
        <w:spacing w:line="216" w:lineRule="auto" w:before="6"/>
        <w:ind w:left="905" w:right="47"/>
      </w:pPr>
      <w:r>
        <w:rPr>
          <w:color w:val="1C1C1A"/>
        </w:rPr>
        <w:t>một thuật ngữ được mượn từ quân đội để đảm bảo hoạt động của một con tàu bị hư hỏng trước khi tiến hành sửa chữa hoàn toàn.</w:t>
      </w:r>
    </w:p>
    <w:p>
      <w:pPr>
        <w:pStyle w:val="BodyText"/>
        <w:spacing w:line="216" w:lineRule="auto" w:before="3"/>
        <w:ind w:left="905" w:right="-8" w:firstLine="283"/>
      </w:pPr>
      <w:r>
        <w:rPr>
          <w:color w:val="1C1C1A"/>
        </w:rPr>
        <w:t>Khi tình trạng xuất huyết được kiểm soát, bệnh nhân cần được hồi sức tích cực, ủ ấm và điều chỉnh rối loạn đông máu. Cần chú ý đến khả năng đáp ứng động với dịch và điểm cuối của hồi sức để đảm bảo rằng bệnh nhân được hồi sức hoàn</w:t>
      </w:r>
      <w:r>
        <w:rPr>
          <w:color w:val="1C1C1A"/>
          <w:spacing w:val="-15"/>
        </w:rPr>
        <w:t> </w:t>
      </w:r>
      <w:r>
        <w:rPr>
          <w:color w:val="1C1C1A"/>
        </w:rPr>
        <w:t>toàn, giảm tỷ lệ mắc và mức độ nghiêm trọng của suy đa</w:t>
      </w:r>
      <w:r>
        <w:rPr>
          <w:color w:val="1C1C1A"/>
          <w:spacing w:val="-15"/>
        </w:rPr>
        <w:t> </w:t>
      </w:r>
      <w:r>
        <w:rPr>
          <w:color w:val="1C1C1A"/>
        </w:rPr>
        <w:t>tạng.</w:t>
      </w:r>
    </w:p>
    <w:p>
      <w:pPr>
        <w:pStyle w:val="BodyText"/>
      </w:pPr>
    </w:p>
    <w:p>
      <w:pPr>
        <w:pStyle w:val="BodyText"/>
      </w:pPr>
    </w:p>
    <w:p>
      <w:pPr>
        <w:pStyle w:val="BodyText"/>
        <w:rPr>
          <w:sz w:val="19"/>
        </w:rPr>
      </w:pPr>
      <w:r>
        <w:rPr/>
        <w:pict>
          <v:group style="position:absolute;margin-left:45.276001pt;margin-top:12.909631pt;width:248.4pt;height:88.5pt;mso-position-horizontal-relative:page;mso-position-vertical-relative:paragraph;z-index:-15720448;mso-wrap-distance-left:0;mso-wrap-distance-right:0" coordorigin="906,258" coordsize="4968,1770">
            <v:shape style="position:absolute;left:905;top:258;width:4933;height:1770" coordorigin="906,258" coordsize="4933,1770" path="m5554,258l906,258,906,1744,910,1788,941,1886,1025,1983,1189,2027,5838,2027,5838,542,5833,497,5802,400,5718,302,5554,258xe" filled="true" fillcolor="#e2ddee" stroked="false">
              <v:path arrowok="t"/>
              <v:fill type="solid"/>
            </v:shape>
            <v:shape style="position:absolute;left:905;top:258;width:4968;height:1770" type="#_x0000_t202" filled="false" stroked="false">
              <v:textbox inset="0,0,0,0">
                <w:txbxContent>
                  <w:p>
                    <w:pPr>
                      <w:spacing w:line="204" w:lineRule="exact" w:before="86"/>
                      <w:ind w:left="127" w:right="0" w:firstLine="0"/>
                      <w:jc w:val="left"/>
                      <w:rPr>
                        <w:b/>
                        <w:sz w:val="20"/>
                      </w:rPr>
                    </w:pPr>
                    <w:r>
                      <w:rPr>
                        <w:b/>
                        <w:color w:val="755BA3"/>
                        <w:sz w:val="20"/>
                      </w:rPr>
                      <w:t>Bảng tổng kết 2.4</w:t>
                    </w:r>
                  </w:p>
                  <w:p>
                    <w:pPr>
                      <w:tabs>
                        <w:tab w:pos="4967" w:val="left" w:leader="none"/>
                      </w:tabs>
                      <w:spacing w:line="158" w:lineRule="exact" w:before="0"/>
                      <w:ind w:left="0" w:right="0" w:firstLine="0"/>
                      <w:jc w:val="left"/>
                      <w:rPr>
                        <w:sz w:val="16"/>
                      </w:rPr>
                    </w:pPr>
                    <w:r>
                      <w:rPr>
                        <w:color w:val="1C1C1A"/>
                        <w:sz w:val="16"/>
                        <w:u w:val="thick" w:color="FFFFFF"/>
                      </w:rPr>
                      <w:t> </w:t>
                      <w:tab/>
                    </w:r>
                  </w:p>
                  <w:p>
                    <w:pPr>
                      <w:spacing w:before="74"/>
                      <w:ind w:left="127" w:right="0" w:firstLine="0"/>
                      <w:jc w:val="left"/>
                      <w:rPr>
                        <w:sz w:val="19"/>
                      </w:rPr>
                    </w:pPr>
                    <w:r>
                      <w:rPr>
                        <w:color w:val="755BA3"/>
                        <w:sz w:val="19"/>
                      </w:rPr>
                      <w:t>Phẫu thuật kiểm soát thương tổn</w:t>
                    </w:r>
                  </w:p>
                  <w:p>
                    <w:pPr>
                      <w:spacing w:before="48"/>
                      <w:ind w:left="127" w:right="0" w:firstLine="0"/>
                      <w:jc w:val="lef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w:t>
                    </w:r>
                    <w:r>
                      <w:rPr>
                        <w:rFonts w:ascii="Arial" w:hAnsi="Arial"/>
                        <w:color w:val="745BA2"/>
                        <w:spacing w:val="8"/>
                        <w:position w:val="1"/>
                        <w:sz w:val="10"/>
                      </w:rPr>
                      <w:t> </w:t>
                    </w:r>
                    <w:r>
                      <w:rPr>
                        <w:color w:val="1C1C1A"/>
                        <w:w w:val="99"/>
                        <w:sz w:val="16"/>
                      </w:rPr>
                      <w:t>C</w:t>
                    </w:r>
                    <w:r>
                      <w:rPr>
                        <w:color w:val="1C1C1A"/>
                        <w:spacing w:val="-1"/>
                        <w:sz w:val="16"/>
                      </w:rPr>
                      <w:t>ầ</w:t>
                    </w:r>
                    <w:r>
                      <w:rPr>
                        <w:color w:val="1C1C1A"/>
                        <w:w w:val="99"/>
                        <w:sz w:val="16"/>
                      </w:rPr>
                      <w:t>m</w:t>
                    </w:r>
                    <w:r>
                      <w:rPr>
                        <w:color w:val="1C1C1A"/>
                        <w:sz w:val="16"/>
                      </w:rPr>
                      <w:t> </w:t>
                    </w:r>
                    <w:r>
                      <w:rPr>
                        <w:color w:val="1C1C1A"/>
                        <w:w w:val="99"/>
                        <w:sz w:val="16"/>
                      </w:rPr>
                      <w:t>má</w:t>
                    </w:r>
                    <w:r>
                      <w:rPr>
                        <w:color w:val="1C1C1A"/>
                        <w:sz w:val="16"/>
                      </w:rPr>
                      <w:t>u</w:t>
                    </w:r>
                  </w:p>
                  <w:p>
                    <w:pPr>
                      <w:spacing w:before="39"/>
                      <w:ind w:left="127" w:right="0" w:firstLine="0"/>
                      <w:jc w:val="left"/>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w:t>
                    </w:r>
                    <w:r>
                      <w:rPr>
                        <w:rFonts w:ascii="Arial" w:hAnsi="Arial"/>
                        <w:color w:val="745BA2"/>
                        <w:spacing w:val="8"/>
                        <w:sz w:val="10"/>
                      </w:rPr>
                      <w:t> </w:t>
                    </w:r>
                    <w:r>
                      <w:rPr>
                        <w:color w:val="1C1C1A"/>
                        <w:w w:val="99"/>
                        <w:sz w:val="16"/>
                      </w:rPr>
                      <w:t>Ki</w:t>
                    </w:r>
                    <w:r>
                      <w:rPr>
                        <w:color w:val="1C1C1A"/>
                        <w:spacing w:val="-1"/>
                        <w:sz w:val="16"/>
                      </w:rPr>
                      <w:t>ể</w:t>
                    </w:r>
                    <w:r>
                      <w:rPr>
                        <w:color w:val="1C1C1A"/>
                        <w:w w:val="99"/>
                        <w:sz w:val="16"/>
                      </w:rPr>
                      <w:t>m</w:t>
                    </w:r>
                    <w:r>
                      <w:rPr>
                        <w:color w:val="1C1C1A"/>
                        <w:sz w:val="16"/>
                      </w:rPr>
                      <w:t> </w:t>
                    </w:r>
                    <w:r>
                      <w:rPr>
                        <w:color w:val="1C1C1A"/>
                        <w:w w:val="99"/>
                        <w:sz w:val="16"/>
                      </w:rPr>
                      <w:t>so</w:t>
                    </w:r>
                    <w:r>
                      <w:rPr>
                        <w:color w:val="1C1C1A"/>
                        <w:w w:val="99"/>
                        <w:sz w:val="16"/>
                      </w:rPr>
                      <w:t>át</w:t>
                    </w:r>
                    <w:r>
                      <w:rPr>
                        <w:color w:val="1C1C1A"/>
                        <w:sz w:val="16"/>
                      </w:rPr>
                      <w:t> </w:t>
                    </w:r>
                    <w:r>
                      <w:rPr>
                        <w:color w:val="1C1C1A"/>
                        <w:w w:val="99"/>
                        <w:sz w:val="16"/>
                      </w:rPr>
                      <w:t>nhi</w:t>
                    </w:r>
                    <w:r>
                      <w:rPr>
                        <w:color w:val="1C1C1A"/>
                        <w:spacing w:val="-1"/>
                        <w:sz w:val="16"/>
                      </w:rPr>
                      <w:t>ễ</w:t>
                    </w:r>
                    <w:r>
                      <w:rPr>
                        <w:color w:val="1C1C1A"/>
                        <w:w w:val="99"/>
                        <w:sz w:val="16"/>
                      </w:rPr>
                      <w:t>m</w:t>
                    </w:r>
                    <w:r>
                      <w:rPr>
                        <w:color w:val="1C1C1A"/>
                        <w:sz w:val="16"/>
                      </w:rPr>
                      <w:t> </w:t>
                    </w:r>
                    <w:r>
                      <w:rPr>
                        <w:color w:val="1C1C1A"/>
                        <w:w w:val="99"/>
                        <w:sz w:val="16"/>
                      </w:rPr>
                      <w:t>trùng</w:t>
                    </w:r>
                  </w:p>
                  <w:p>
                    <w:pPr>
                      <w:spacing w:before="36"/>
                      <w:ind w:left="127" w:right="0" w:firstLine="0"/>
                      <w:jc w:val="left"/>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w:t>
                    </w:r>
                    <w:r>
                      <w:rPr>
                        <w:rFonts w:ascii="Arial" w:hAnsi="Arial"/>
                        <w:color w:val="745BA2"/>
                        <w:spacing w:val="8"/>
                        <w:sz w:val="10"/>
                      </w:rPr>
                      <w:t> </w:t>
                    </w:r>
                    <w:r>
                      <w:rPr>
                        <w:color w:val="1C1C1A"/>
                        <w:spacing w:val="-1"/>
                        <w:position w:val="1"/>
                        <w:sz w:val="16"/>
                      </w:rPr>
                      <w:t>Trán</w:t>
                    </w:r>
                    <w:r>
                      <w:rPr>
                        <w:color w:val="1C1C1A"/>
                        <w:position w:val="1"/>
                        <w:sz w:val="16"/>
                      </w:rPr>
                      <w:t>h </w:t>
                    </w:r>
                    <w:r>
                      <w:rPr>
                        <w:color w:val="1C1C1A"/>
                        <w:spacing w:val="-1"/>
                        <w:position w:val="1"/>
                        <w:sz w:val="16"/>
                      </w:rPr>
                      <w:t>thươ</w:t>
                    </w:r>
                    <w:r>
                      <w:rPr>
                        <w:color w:val="1C1C1A"/>
                        <w:position w:val="1"/>
                        <w:sz w:val="16"/>
                      </w:rPr>
                      <w:t>ng tổn </w:t>
                    </w:r>
                    <w:r>
                      <w:rPr>
                        <w:color w:val="1C1C1A"/>
                        <w:w w:val="99"/>
                        <w:position w:val="1"/>
                        <w:sz w:val="16"/>
                      </w:rPr>
                      <w:t>thêm</w:t>
                    </w:r>
                  </w:p>
                  <w:p>
                    <w:pPr>
                      <w:spacing w:before="35"/>
                      <w:ind w:left="127" w:right="0" w:firstLine="0"/>
                      <w:jc w:val="lef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w:t>
                    </w:r>
                    <w:r>
                      <w:rPr>
                        <w:rFonts w:ascii="Arial" w:hAnsi="Arial"/>
                        <w:color w:val="745BA2"/>
                        <w:spacing w:val="8"/>
                        <w:position w:val="-1"/>
                        <w:sz w:val="10"/>
                      </w:rPr>
                      <w:t> </w:t>
                    </w:r>
                    <w:r>
                      <w:rPr>
                        <w:color w:val="1C1C1A"/>
                        <w:w w:val="99"/>
                        <w:sz w:val="16"/>
                      </w:rPr>
                      <w:t>Các</w:t>
                    </w:r>
                    <w:r>
                      <w:rPr>
                        <w:color w:val="1C1C1A"/>
                        <w:sz w:val="16"/>
                      </w:rPr>
                      <w:t> </w:t>
                    </w:r>
                    <w:r>
                      <w:rPr>
                        <w:color w:val="1C1C1A"/>
                        <w:w w:val="99"/>
                        <w:sz w:val="16"/>
                      </w:rPr>
                      <w:t>công</w:t>
                    </w:r>
                    <w:r>
                      <w:rPr>
                        <w:color w:val="1C1C1A"/>
                        <w:sz w:val="16"/>
                      </w:rPr>
                      <w:t> </w:t>
                    </w:r>
                    <w:r>
                      <w:rPr>
                        <w:color w:val="1C1C1A"/>
                        <w:w w:val="99"/>
                        <w:sz w:val="16"/>
                      </w:rPr>
                      <w:t>vi</w:t>
                    </w:r>
                    <w:r>
                      <w:rPr>
                        <w:color w:val="1C1C1A"/>
                        <w:spacing w:val="-1"/>
                        <w:sz w:val="16"/>
                      </w:rPr>
                      <w:t>ệ</w:t>
                    </w:r>
                    <w:r>
                      <w:rPr>
                        <w:color w:val="1C1C1A"/>
                        <w:sz w:val="16"/>
                      </w:rPr>
                      <w:t>c</w:t>
                    </w:r>
                    <w:r>
                      <w:rPr>
                        <w:color w:val="1C1C1A"/>
                        <w:spacing w:val="-1"/>
                        <w:sz w:val="16"/>
                      </w:rPr>
                      <w:t> </w:t>
                    </w:r>
                    <w:r>
                      <w:rPr>
                        <w:color w:val="1C1C1A"/>
                        <w:sz w:val="16"/>
                      </w:rPr>
                      <w:t>khác</w:t>
                    </w:r>
                  </w:p>
                </w:txbxContent>
              </v:textbox>
              <w10:wrap type="none"/>
            </v:shape>
            <w10:wrap type="topAndBottom"/>
          </v:group>
        </w:pict>
      </w:r>
    </w:p>
    <w:p>
      <w:pPr>
        <w:pStyle w:val="BodyText"/>
        <w:rPr>
          <w:sz w:val="22"/>
        </w:rPr>
      </w:pPr>
    </w:p>
    <w:p>
      <w:pPr>
        <w:pStyle w:val="Heading3"/>
        <w:spacing w:before="130"/>
        <w:ind w:left="905"/>
        <w:rPr>
          <w:i/>
        </w:rPr>
      </w:pPr>
      <w:r>
        <w:rPr>
          <w:i/>
          <w:color w:val="8C91A1"/>
        </w:rPr>
        <w:t>Hồi sức kiểm soát thương tổn</w:t>
      </w:r>
    </w:p>
    <w:p>
      <w:pPr>
        <w:pStyle w:val="BodyText"/>
        <w:spacing w:line="216" w:lineRule="auto" w:before="33"/>
        <w:ind w:left="905" w:right="230"/>
      </w:pPr>
      <w:r>
        <w:rPr>
          <w:color w:val="1C1C1A"/>
        </w:rPr>
        <w:t>Những khái niệm sau được kết hợp thành một mô hình mới để kiểm soát các bệnh nhân chấn thương có xuất huyết được gọi là hồi sức tích cực kiểm soát thương tổn (DCR - damage control resuscitation). Bốn nhiệm vụ quan trọng của DCR là:</w:t>
      </w:r>
    </w:p>
    <w:p>
      <w:pPr>
        <w:pStyle w:val="ListParagraph"/>
        <w:numPr>
          <w:ilvl w:val="0"/>
          <w:numId w:val="3"/>
        </w:numPr>
        <w:tabs>
          <w:tab w:pos="1178" w:val="left" w:leader="none"/>
        </w:tabs>
        <w:spacing w:line="219" w:lineRule="exact" w:before="100" w:after="0"/>
        <w:ind w:left="1177" w:right="0" w:hanging="273"/>
        <w:jc w:val="left"/>
        <w:rPr>
          <w:sz w:val="20"/>
        </w:rPr>
      </w:pPr>
      <w:r>
        <w:rPr>
          <w:color w:val="1C1C1A"/>
          <w:sz w:val="20"/>
        </w:rPr>
        <w:t>Dự phòng và điều trị rối loạn đông máu sau chấn</w:t>
      </w:r>
      <w:r>
        <w:rPr>
          <w:color w:val="1C1C1A"/>
          <w:spacing w:val="-13"/>
          <w:sz w:val="20"/>
        </w:rPr>
        <w:t> </w:t>
      </w:r>
      <w:r>
        <w:rPr>
          <w:color w:val="1C1C1A"/>
          <w:sz w:val="20"/>
        </w:rPr>
        <w:t>thương.</w:t>
      </w:r>
    </w:p>
    <w:p>
      <w:pPr>
        <w:pStyle w:val="ListParagraph"/>
        <w:numPr>
          <w:ilvl w:val="0"/>
          <w:numId w:val="3"/>
        </w:numPr>
        <w:tabs>
          <w:tab w:pos="1178" w:val="left" w:leader="none"/>
        </w:tabs>
        <w:spacing w:line="208" w:lineRule="exact" w:before="0" w:after="0"/>
        <w:ind w:left="1177" w:right="0" w:hanging="273"/>
        <w:jc w:val="left"/>
        <w:rPr>
          <w:sz w:val="20"/>
        </w:rPr>
      </w:pPr>
      <w:r>
        <w:rPr>
          <w:color w:val="1C1C1A"/>
          <w:sz w:val="20"/>
        </w:rPr>
        <w:t>Cho phép hạ huyết áp đến khi kiểm soát được suất</w:t>
      </w:r>
      <w:r>
        <w:rPr>
          <w:color w:val="1C1C1A"/>
          <w:spacing w:val="-7"/>
          <w:sz w:val="20"/>
        </w:rPr>
        <w:t> </w:t>
      </w:r>
      <w:r>
        <w:rPr>
          <w:color w:val="1C1C1A"/>
          <w:sz w:val="20"/>
        </w:rPr>
        <w:t>huyết.</w:t>
      </w:r>
    </w:p>
    <w:p>
      <w:pPr>
        <w:pStyle w:val="ListParagraph"/>
        <w:numPr>
          <w:ilvl w:val="0"/>
          <w:numId w:val="3"/>
        </w:numPr>
        <w:tabs>
          <w:tab w:pos="1178" w:val="left" w:leader="none"/>
        </w:tabs>
        <w:spacing w:line="216" w:lineRule="auto" w:before="8" w:after="0"/>
        <w:ind w:left="1189" w:right="247" w:hanging="284"/>
        <w:jc w:val="left"/>
        <w:rPr>
          <w:sz w:val="20"/>
        </w:rPr>
      </w:pPr>
      <w:r>
        <w:rPr>
          <w:color w:val="1C1C1A"/>
          <w:sz w:val="20"/>
        </w:rPr>
        <w:t>Hạn chế truyền dịch tinh thể và dịch keo để tránh rối</w:t>
      </w:r>
      <w:r>
        <w:rPr>
          <w:color w:val="1C1C1A"/>
          <w:spacing w:val="-19"/>
          <w:sz w:val="20"/>
        </w:rPr>
        <w:t> </w:t>
      </w:r>
      <w:r>
        <w:rPr>
          <w:color w:val="1C1C1A"/>
          <w:sz w:val="20"/>
        </w:rPr>
        <w:t>loạn đông máu do pha</w:t>
      </w:r>
      <w:r>
        <w:rPr>
          <w:color w:val="1C1C1A"/>
          <w:spacing w:val="-1"/>
          <w:sz w:val="20"/>
        </w:rPr>
        <w:t> </w:t>
      </w:r>
      <w:r>
        <w:rPr>
          <w:color w:val="1C1C1A"/>
          <w:sz w:val="20"/>
        </w:rPr>
        <w:t>loãng.</w:t>
      </w:r>
    </w:p>
    <w:p>
      <w:pPr>
        <w:pStyle w:val="ListParagraph"/>
        <w:numPr>
          <w:ilvl w:val="0"/>
          <w:numId w:val="3"/>
        </w:numPr>
        <w:tabs>
          <w:tab w:pos="1178" w:val="left" w:leader="none"/>
        </w:tabs>
        <w:spacing w:line="202" w:lineRule="exact" w:before="0" w:after="0"/>
        <w:ind w:left="1177" w:right="0" w:hanging="273"/>
        <w:jc w:val="left"/>
        <w:rPr>
          <w:sz w:val="20"/>
        </w:rPr>
      </w:pPr>
      <w:r>
        <w:rPr>
          <w:color w:val="1C1C1A"/>
          <w:sz w:val="20"/>
        </w:rPr>
        <w:t>Phẫu thuật kiểm soát thương tổn để kiểm soát xuất</w:t>
      </w:r>
      <w:r>
        <w:rPr>
          <w:color w:val="1C1C1A"/>
          <w:spacing w:val="-15"/>
          <w:sz w:val="20"/>
        </w:rPr>
        <w:t> </w:t>
      </w:r>
      <w:r>
        <w:rPr>
          <w:color w:val="1C1C1A"/>
          <w:sz w:val="20"/>
        </w:rPr>
        <w:t>huyết</w:t>
      </w:r>
    </w:p>
    <w:p>
      <w:pPr>
        <w:pStyle w:val="BodyText"/>
        <w:spacing w:line="219" w:lineRule="exact"/>
        <w:ind w:left="1189"/>
      </w:pPr>
      <w:r>
        <w:rPr>
          <w:color w:val="1C1C1A"/>
        </w:rPr>
        <w:t>và đảm bảo hoạt động sinh lý.</w:t>
      </w:r>
    </w:p>
    <w:p>
      <w:pPr>
        <w:pStyle w:val="BodyText"/>
        <w:spacing w:line="216" w:lineRule="auto" w:before="112"/>
        <w:ind w:left="905" w:right="47" w:firstLine="283"/>
      </w:pPr>
      <w:r>
        <w:rPr>
          <w:color w:val="1C1C1A"/>
        </w:rPr>
        <w:t>Hồi sức kiểm soát thương tổn đã được chứng minh là làm giảm tỷ lệ tử vong và tỷ lệ mắc bệnh ở những bệnh nhân bị chấn thương và có thể áp dụng trong các dạng xuất huyết cấp tính khác.</w:t>
      </w:r>
    </w:p>
    <w:p>
      <w:pPr>
        <w:pStyle w:val="BodyText"/>
        <w:rPr>
          <w:sz w:val="22"/>
        </w:rPr>
      </w:pPr>
    </w:p>
    <w:p>
      <w:pPr>
        <w:pStyle w:val="Heading1"/>
        <w:ind w:left="907"/>
      </w:pPr>
      <w:r>
        <w:rPr>
          <w:color w:val="697487"/>
        </w:rPr>
        <w:t>TRUYỀN MÁU</w:t>
      </w:r>
    </w:p>
    <w:p>
      <w:pPr>
        <w:pStyle w:val="BodyText"/>
        <w:spacing w:line="216" w:lineRule="auto" w:before="56"/>
        <w:ind w:left="905" w:right="230"/>
      </w:pPr>
      <w:r>
        <w:rPr>
          <w:color w:val="1C1C1A"/>
        </w:rPr>
        <w:t>Truyền máu và các chế phẩm từ máu đã trở nên phổ biến kể từ lần đầu tiên truyền máu thành công vào năm 1818.</w:t>
      </w:r>
    </w:p>
    <w:p>
      <w:pPr>
        <w:pStyle w:val="BodyText"/>
        <w:spacing w:line="213" w:lineRule="exact"/>
        <w:ind w:left="905"/>
      </w:pPr>
      <w:r>
        <w:rPr>
          <w:color w:val="1C1C1A"/>
        </w:rPr>
        <w:t>Mặc dù tỷ lệ phản ứng nghiêm trọng trong truyền máu và</w:t>
      </w:r>
    </w:p>
    <w:p>
      <w:pPr>
        <w:pStyle w:val="BodyText"/>
        <w:spacing w:line="216" w:lineRule="auto" w:before="110"/>
        <w:ind w:left="49" w:right="1070"/>
        <w:rPr>
          <w:i/>
        </w:rPr>
      </w:pPr>
      <w:r>
        <w:rPr/>
        <w:br w:type="column"/>
      </w:r>
      <w:r>
        <w:rPr>
          <w:color w:val="1C1C1A"/>
        </w:rPr>
        <w:t>tỷ lệ nhiễm trùng hiện nay thấp, trong những năm gần đây người ta thấy rõ ràng rằng có một đáp ứng miễn dịch từ việc truyền khác nhóm máu, dẫn đến tỷ lệ bệnh và giảm khả năng sống sót ở một số nhóm người (chấn thương, bệnh ác tính). Nguồn cung cấp hạn chế, và do đó việc sử dụng máu và các sản phẩm từ máu phải luôn luôn thận trọng và hợp lý với nhu cầu lâm sàng (</w:t>
      </w:r>
      <w:r>
        <w:rPr>
          <w:i/>
          <w:color w:val="0000FF"/>
        </w:rPr>
        <w:t>Bảng</w:t>
      </w:r>
      <w:r>
        <w:rPr>
          <w:i/>
          <w:color w:val="0000FF"/>
          <w:spacing w:val="-4"/>
        </w:rPr>
        <w:t> </w:t>
      </w:r>
      <w:r>
        <w:rPr>
          <w:i/>
          <w:color w:val="0000FF"/>
        </w:rPr>
        <w:t>2.5</w:t>
      </w:r>
      <w:r>
        <w:rPr>
          <w:i/>
        </w:rPr>
        <w:t>).</w:t>
      </w:r>
    </w:p>
    <w:p>
      <w:pPr>
        <w:pStyle w:val="BodyText"/>
        <w:rPr>
          <w:i/>
        </w:rPr>
      </w:pPr>
    </w:p>
    <w:p>
      <w:pPr>
        <w:pStyle w:val="BodyText"/>
        <w:spacing w:before="3"/>
        <w:rPr>
          <w:i/>
          <w:sz w:val="17"/>
        </w:rPr>
      </w:pPr>
    </w:p>
    <w:tbl>
      <w:tblPr>
        <w:tblW w:w="0" w:type="auto"/>
        <w:jc w:val="left"/>
        <w:tblInd w:w="5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822"/>
        <w:gridCol w:w="4100"/>
      </w:tblGrid>
      <w:tr>
        <w:trPr>
          <w:trHeight w:val="333" w:hRule="atLeast"/>
        </w:trPr>
        <w:tc>
          <w:tcPr>
            <w:tcW w:w="4922" w:type="dxa"/>
            <w:gridSpan w:val="2"/>
            <w:tcBorders>
              <w:top w:val="nil"/>
              <w:left w:val="nil"/>
            </w:tcBorders>
            <w:shd w:val="clear" w:color="auto" w:fill="C5BBDD"/>
          </w:tcPr>
          <w:p>
            <w:pPr>
              <w:pStyle w:val="TableParagraph"/>
              <w:spacing w:before="81"/>
              <w:ind w:left="82"/>
              <w:rPr>
                <w:sz w:val="18"/>
              </w:rPr>
            </w:pPr>
            <w:r>
              <w:rPr>
                <w:b/>
                <w:color w:val="755BA3"/>
                <w:sz w:val="18"/>
              </w:rPr>
              <w:t>BẢNG 2.5 </w:t>
            </w:r>
            <w:r>
              <w:rPr>
                <w:color w:val="1C1C1A"/>
                <w:sz w:val="18"/>
              </w:rPr>
              <w:t>Lịch sử của truyền máu</w:t>
            </w:r>
          </w:p>
        </w:tc>
      </w:tr>
      <w:tr>
        <w:trPr>
          <w:trHeight w:val="829" w:hRule="atLeast"/>
        </w:trPr>
        <w:tc>
          <w:tcPr>
            <w:tcW w:w="822" w:type="dxa"/>
            <w:tcBorders>
              <w:left w:val="nil"/>
            </w:tcBorders>
            <w:shd w:val="clear" w:color="auto" w:fill="E6E1D2"/>
          </w:tcPr>
          <w:p>
            <w:pPr>
              <w:pStyle w:val="TableParagraph"/>
              <w:ind w:left="79"/>
              <w:rPr>
                <w:sz w:val="16"/>
              </w:rPr>
            </w:pPr>
            <w:r>
              <w:rPr>
                <w:color w:val="1C1C1A"/>
                <w:sz w:val="16"/>
              </w:rPr>
              <w:t>1492</w:t>
            </w:r>
          </w:p>
        </w:tc>
        <w:tc>
          <w:tcPr>
            <w:tcW w:w="4100" w:type="dxa"/>
            <w:shd w:val="clear" w:color="auto" w:fill="E6E1D2"/>
          </w:tcPr>
          <w:p>
            <w:pPr>
              <w:pStyle w:val="TableParagraph"/>
              <w:spacing w:line="235" w:lineRule="auto" w:before="33"/>
              <w:ind w:right="400"/>
              <w:rPr>
                <w:sz w:val="16"/>
              </w:rPr>
            </w:pPr>
            <w:r>
              <w:rPr>
                <w:color w:val="1C1C1A"/>
                <w:sz w:val="16"/>
              </w:rPr>
              <w:t>Giáo hoàng Innocent VIII bị đột quỵ và được truyền máu từ ba cậu bé 10 tuổi (mỗi cậu bé đều được trả tiền). Cả ba cậu bé đều chết, giáo hoàng cũng chết vào cuối năm đó.</w:t>
            </w:r>
          </w:p>
        </w:tc>
      </w:tr>
      <w:tr>
        <w:trPr>
          <w:trHeight w:val="449" w:hRule="atLeast"/>
        </w:trPr>
        <w:tc>
          <w:tcPr>
            <w:tcW w:w="822" w:type="dxa"/>
            <w:tcBorders>
              <w:left w:val="nil"/>
            </w:tcBorders>
            <w:shd w:val="clear" w:color="auto" w:fill="E6E1D2"/>
          </w:tcPr>
          <w:p>
            <w:pPr>
              <w:pStyle w:val="TableParagraph"/>
              <w:ind w:left="79"/>
              <w:rPr>
                <w:sz w:val="16"/>
              </w:rPr>
            </w:pPr>
            <w:r>
              <w:rPr>
                <w:color w:val="1C1C1A"/>
                <w:sz w:val="16"/>
              </w:rPr>
              <w:t>1665</w:t>
            </w:r>
          </w:p>
        </w:tc>
        <w:tc>
          <w:tcPr>
            <w:tcW w:w="4100" w:type="dxa"/>
            <w:shd w:val="clear" w:color="auto" w:fill="E6E1D2"/>
          </w:tcPr>
          <w:p>
            <w:pPr>
              <w:pStyle w:val="TableParagraph"/>
              <w:spacing w:line="235" w:lineRule="auto" w:before="33"/>
              <w:ind w:right="400"/>
              <w:rPr>
                <w:sz w:val="16"/>
              </w:rPr>
            </w:pPr>
            <w:r>
              <w:rPr>
                <w:color w:val="1C1C1A"/>
                <w:sz w:val="16"/>
              </w:rPr>
              <w:t>Richard Lower ở Oxford tiến hành ca truyền máu chó đầu tiên thành công</w:t>
            </w:r>
          </w:p>
        </w:tc>
      </w:tr>
      <w:tr>
        <w:trPr>
          <w:trHeight w:val="449" w:hRule="atLeast"/>
        </w:trPr>
        <w:tc>
          <w:tcPr>
            <w:tcW w:w="822" w:type="dxa"/>
            <w:tcBorders>
              <w:left w:val="nil"/>
            </w:tcBorders>
            <w:shd w:val="clear" w:color="auto" w:fill="E6E1D2"/>
          </w:tcPr>
          <w:p>
            <w:pPr>
              <w:pStyle w:val="TableParagraph"/>
              <w:spacing w:before="29"/>
              <w:ind w:left="79"/>
              <w:rPr>
                <w:sz w:val="16"/>
              </w:rPr>
            </w:pPr>
            <w:r>
              <w:rPr>
                <w:color w:val="1C1C1A"/>
                <w:sz w:val="16"/>
              </w:rPr>
              <w:t>1667</w:t>
            </w:r>
          </w:p>
        </w:tc>
        <w:tc>
          <w:tcPr>
            <w:tcW w:w="4100" w:type="dxa"/>
            <w:shd w:val="clear" w:color="auto" w:fill="E6E1D2"/>
          </w:tcPr>
          <w:p>
            <w:pPr>
              <w:pStyle w:val="TableParagraph"/>
              <w:spacing w:line="235" w:lineRule="auto" w:before="38"/>
              <w:ind w:right="1092"/>
              <w:rPr>
                <w:sz w:val="16"/>
              </w:rPr>
            </w:pPr>
            <w:r>
              <w:rPr>
                <w:color w:val="1C1C1A"/>
                <w:sz w:val="16"/>
              </w:rPr>
              <w:t>Jean-Baptiste Denis báo cáo việc truyền máu cừu-người thành công</w:t>
            </w:r>
          </w:p>
        </w:tc>
      </w:tr>
      <w:tr>
        <w:trPr>
          <w:trHeight w:val="449" w:hRule="atLeast"/>
        </w:trPr>
        <w:tc>
          <w:tcPr>
            <w:tcW w:w="822" w:type="dxa"/>
            <w:tcBorders>
              <w:left w:val="nil"/>
            </w:tcBorders>
            <w:shd w:val="clear" w:color="auto" w:fill="E6E1D2"/>
          </w:tcPr>
          <w:p>
            <w:pPr>
              <w:pStyle w:val="TableParagraph"/>
              <w:spacing w:before="29"/>
              <w:ind w:left="79"/>
              <w:rPr>
                <w:sz w:val="16"/>
              </w:rPr>
            </w:pPr>
            <w:r>
              <w:rPr>
                <w:color w:val="1C1C1A"/>
                <w:sz w:val="16"/>
              </w:rPr>
              <w:t>1678</w:t>
            </w:r>
          </w:p>
        </w:tc>
        <w:tc>
          <w:tcPr>
            <w:tcW w:w="4100" w:type="dxa"/>
            <w:shd w:val="clear" w:color="auto" w:fill="E6E1D2"/>
          </w:tcPr>
          <w:p>
            <w:pPr>
              <w:pStyle w:val="TableParagraph"/>
              <w:spacing w:line="235" w:lineRule="auto" w:before="36"/>
              <w:ind w:right="533"/>
              <w:rPr>
                <w:sz w:val="16"/>
              </w:rPr>
            </w:pPr>
            <w:r>
              <w:rPr>
                <w:color w:val="1C1C1A"/>
                <w:sz w:val="16"/>
              </w:rPr>
              <w:t>Việc truyền máu từ động vật sang người bị cấm ở Pháp vì kết quả xấu</w:t>
            </w:r>
          </w:p>
        </w:tc>
      </w:tr>
      <w:tr>
        <w:trPr>
          <w:trHeight w:val="829" w:hRule="atLeast"/>
        </w:trPr>
        <w:tc>
          <w:tcPr>
            <w:tcW w:w="822" w:type="dxa"/>
            <w:tcBorders>
              <w:left w:val="nil"/>
            </w:tcBorders>
            <w:shd w:val="clear" w:color="auto" w:fill="E6E1D2"/>
          </w:tcPr>
          <w:p>
            <w:pPr>
              <w:pStyle w:val="TableParagraph"/>
              <w:spacing w:before="29"/>
              <w:ind w:left="79"/>
              <w:rPr>
                <w:sz w:val="16"/>
              </w:rPr>
            </w:pPr>
            <w:r>
              <w:rPr>
                <w:color w:val="1C1C1A"/>
                <w:sz w:val="16"/>
              </w:rPr>
              <w:t>1818</w:t>
            </w:r>
          </w:p>
        </w:tc>
        <w:tc>
          <w:tcPr>
            <w:tcW w:w="4100" w:type="dxa"/>
            <w:shd w:val="clear" w:color="auto" w:fill="E6E1D2"/>
          </w:tcPr>
          <w:p>
            <w:pPr>
              <w:pStyle w:val="TableParagraph"/>
              <w:spacing w:line="235" w:lineRule="auto" w:before="29"/>
              <w:ind w:right="499"/>
              <w:jc w:val="both"/>
              <w:rPr>
                <w:sz w:val="16"/>
              </w:rPr>
            </w:pPr>
            <w:r>
              <w:rPr>
                <w:color w:val="1C1C1A"/>
                <w:sz w:val="16"/>
              </w:rPr>
              <w:t>James Blundell thực hiện ca truyền máu đầu tiên</w:t>
            </w:r>
            <w:r>
              <w:rPr>
                <w:color w:val="1C1C1A"/>
                <w:spacing w:val="-23"/>
                <w:sz w:val="16"/>
              </w:rPr>
              <w:t> </w:t>
            </w:r>
            <w:r>
              <w:rPr>
                <w:color w:val="1C1C1A"/>
                <w:sz w:val="16"/>
              </w:rPr>
              <w:t>thành công được ghi nhận trên một phụ nữ bị băng huyết sau sinh. Cô ấy nhận máu từ chồng và sống</w:t>
            </w:r>
            <w:r>
              <w:rPr>
                <w:color w:val="1C1C1A"/>
                <w:spacing w:val="-13"/>
                <w:sz w:val="16"/>
              </w:rPr>
              <w:t> </w:t>
            </w:r>
            <w:r>
              <w:rPr>
                <w:color w:val="1C1C1A"/>
                <w:sz w:val="16"/>
              </w:rPr>
              <w:t>sót</w:t>
            </w:r>
          </w:p>
        </w:tc>
      </w:tr>
      <w:tr>
        <w:trPr>
          <w:trHeight w:val="294" w:hRule="atLeast"/>
        </w:trPr>
        <w:tc>
          <w:tcPr>
            <w:tcW w:w="822" w:type="dxa"/>
            <w:tcBorders>
              <w:left w:val="nil"/>
            </w:tcBorders>
            <w:shd w:val="clear" w:color="auto" w:fill="E6E1D2"/>
          </w:tcPr>
          <w:p>
            <w:pPr>
              <w:pStyle w:val="TableParagraph"/>
              <w:spacing w:before="29"/>
              <w:ind w:left="79"/>
              <w:rPr>
                <w:sz w:val="16"/>
              </w:rPr>
            </w:pPr>
            <w:r>
              <w:rPr>
                <w:color w:val="1C1C1A"/>
                <w:sz w:val="16"/>
              </w:rPr>
              <w:t>1901</w:t>
            </w:r>
          </w:p>
        </w:tc>
        <w:tc>
          <w:tcPr>
            <w:tcW w:w="4100" w:type="dxa"/>
            <w:shd w:val="clear" w:color="auto" w:fill="E6E1D2"/>
          </w:tcPr>
          <w:p>
            <w:pPr>
              <w:pStyle w:val="TableParagraph"/>
              <w:spacing w:before="46"/>
              <w:rPr>
                <w:sz w:val="16"/>
              </w:rPr>
            </w:pPr>
            <w:r>
              <w:rPr>
                <w:color w:val="1C1C1A"/>
                <w:sz w:val="16"/>
              </w:rPr>
              <w:t>Karl Landsteiner khám phá ra hệ thống ABO</w:t>
            </w:r>
          </w:p>
        </w:tc>
      </w:tr>
      <w:tr>
        <w:trPr>
          <w:trHeight w:val="639" w:hRule="atLeast"/>
        </w:trPr>
        <w:tc>
          <w:tcPr>
            <w:tcW w:w="822" w:type="dxa"/>
            <w:tcBorders>
              <w:left w:val="nil"/>
            </w:tcBorders>
            <w:shd w:val="clear" w:color="auto" w:fill="E6E1D2"/>
          </w:tcPr>
          <w:p>
            <w:pPr>
              <w:pStyle w:val="TableParagraph"/>
              <w:spacing w:before="29"/>
              <w:ind w:left="79"/>
              <w:rPr>
                <w:sz w:val="16"/>
              </w:rPr>
            </w:pPr>
            <w:r>
              <w:rPr>
                <w:color w:val="1C1C1A"/>
                <w:sz w:val="16"/>
              </w:rPr>
              <w:t>1914</w:t>
            </w:r>
          </w:p>
        </w:tc>
        <w:tc>
          <w:tcPr>
            <w:tcW w:w="4100" w:type="dxa"/>
            <w:shd w:val="clear" w:color="auto" w:fill="E6E1D2"/>
          </w:tcPr>
          <w:p>
            <w:pPr>
              <w:pStyle w:val="TableParagraph"/>
              <w:spacing w:line="235" w:lineRule="auto" w:before="33"/>
              <w:ind w:right="533"/>
              <w:rPr>
                <w:sz w:val="16"/>
              </w:rPr>
            </w:pPr>
            <w:r>
              <w:rPr>
                <w:color w:val="1C1C1A"/>
                <w:sz w:val="16"/>
              </w:rPr>
              <w:t>Bác sĩ người Bỉ Albert Hustin lần đầu tiên thực hiện máu không trực tiếp thành công, sử dụng natri citrate làm chất chống đông máu</w:t>
            </w:r>
          </w:p>
        </w:tc>
      </w:tr>
      <w:tr>
        <w:trPr>
          <w:trHeight w:val="449" w:hRule="atLeast"/>
        </w:trPr>
        <w:tc>
          <w:tcPr>
            <w:tcW w:w="822" w:type="dxa"/>
            <w:tcBorders>
              <w:left w:val="nil"/>
            </w:tcBorders>
            <w:shd w:val="clear" w:color="auto" w:fill="E6E1D2"/>
          </w:tcPr>
          <w:p>
            <w:pPr>
              <w:pStyle w:val="TableParagraph"/>
              <w:spacing w:before="29"/>
              <w:ind w:left="79"/>
              <w:rPr>
                <w:sz w:val="16"/>
              </w:rPr>
            </w:pPr>
            <w:r>
              <w:rPr>
                <w:color w:val="1C1C1A"/>
                <w:sz w:val="16"/>
              </w:rPr>
              <w:t>1926</w:t>
            </w:r>
          </w:p>
        </w:tc>
        <w:tc>
          <w:tcPr>
            <w:tcW w:w="4100" w:type="dxa"/>
            <w:shd w:val="clear" w:color="auto" w:fill="E6E1D2"/>
          </w:tcPr>
          <w:p>
            <w:pPr>
              <w:pStyle w:val="TableParagraph"/>
              <w:spacing w:line="235" w:lineRule="auto" w:before="29"/>
              <w:ind w:right="400"/>
              <w:rPr>
                <w:sz w:val="16"/>
              </w:rPr>
            </w:pPr>
            <w:r>
              <w:rPr>
                <w:color w:val="1C1C1A"/>
                <w:sz w:val="16"/>
              </w:rPr>
              <w:t>Hội Chữ thập đỏ Anh đã thiết lập dịch vụ truyền máu đầu tiên trên thế giới</w:t>
            </w:r>
          </w:p>
        </w:tc>
      </w:tr>
      <w:tr>
        <w:trPr>
          <w:trHeight w:val="449" w:hRule="atLeast"/>
        </w:trPr>
        <w:tc>
          <w:tcPr>
            <w:tcW w:w="822" w:type="dxa"/>
            <w:tcBorders>
              <w:left w:val="nil"/>
            </w:tcBorders>
            <w:shd w:val="clear" w:color="auto" w:fill="E6E1D2"/>
          </w:tcPr>
          <w:p>
            <w:pPr>
              <w:pStyle w:val="TableParagraph"/>
              <w:spacing w:before="29"/>
              <w:ind w:left="79"/>
              <w:rPr>
                <w:sz w:val="16"/>
              </w:rPr>
            </w:pPr>
            <w:r>
              <w:rPr>
                <w:color w:val="1C1C1A"/>
                <w:sz w:val="16"/>
              </w:rPr>
              <w:t>1939</w:t>
            </w:r>
          </w:p>
        </w:tc>
        <w:tc>
          <w:tcPr>
            <w:tcW w:w="4100" w:type="dxa"/>
            <w:shd w:val="clear" w:color="auto" w:fill="E6E1D2"/>
          </w:tcPr>
          <w:p>
            <w:pPr>
              <w:pStyle w:val="TableParagraph"/>
              <w:spacing w:line="235" w:lineRule="auto" w:before="32"/>
              <w:ind w:right="389"/>
              <w:rPr>
                <w:sz w:val="16"/>
              </w:rPr>
            </w:pPr>
            <w:r>
              <w:rPr>
                <w:color w:val="1C1C1A"/>
                <w:sz w:val="16"/>
              </w:rPr>
              <w:t>Hệ thống Rhesus được xác định và công nhận là nguyên nhân chính của các phản ứng truyền máu</w:t>
            </w:r>
          </w:p>
        </w:tc>
      </w:tr>
    </w:tbl>
    <w:p>
      <w:pPr>
        <w:pStyle w:val="BodyText"/>
        <w:spacing w:before="6"/>
        <w:rPr>
          <w:i/>
          <w:sz w:val="32"/>
        </w:rPr>
      </w:pPr>
    </w:p>
    <w:p>
      <w:pPr>
        <w:pStyle w:val="Heading2"/>
        <w:spacing w:before="1"/>
        <w:ind w:left="49"/>
      </w:pPr>
      <w:r>
        <w:rPr>
          <w:color w:val="7E8597"/>
        </w:rPr>
        <w:t>Máu và các chế phẩm từ máu</w:t>
      </w:r>
    </w:p>
    <w:p>
      <w:pPr>
        <w:pStyle w:val="BodyText"/>
        <w:spacing w:line="216" w:lineRule="auto" w:before="82"/>
        <w:ind w:left="49" w:right="1194"/>
      </w:pPr>
      <w:r>
        <w:rPr>
          <w:color w:val="1C1C1A"/>
        </w:rPr>
        <w:t>Máu được thu thập từ những người hiến tặng và được sàng lọc trước khi hiến, để loại trừ bất kỳ tác hại nào từ máu của người hiến cho bệnh nhân hoặc tác hại khôn lường mà việc hiến một đơn vị máu có thể ảnh hưởng tới người hiến. Ở Anh, tối đa mỗi đơn vị máu là 450 mL, tối đa được hiến ba lần mỗi năm. Mỗi đơn vị máu được xét nghiệm để</w:t>
      </w:r>
    </w:p>
    <w:p>
      <w:pPr>
        <w:pStyle w:val="BodyText"/>
        <w:spacing w:line="216" w:lineRule="auto" w:before="6"/>
        <w:ind w:left="49" w:right="971"/>
      </w:pPr>
      <w:r>
        <w:rPr>
          <w:color w:val="1C1C1A"/>
        </w:rPr>
        <w:t>tìm bằng chứng về viêm gan B, viêm gan C, HIV-1, HIV-2 và giang mai. Máu đã hiến được loại bỏ hết bạch cầu như một biện pháp để phòng ngừa bệnh Creutzfeldt-Jakob (điều này cũng có thể làm giảm khả năng sinh miễn dịch của việc truyền máu). Các nhóm máu ABO và rhesus D được xác định, cũng như sự hiện diện của các kháng thể kháng hồng cầu. Sau đó máu được xử lý thành các thành phần khác</w:t>
      </w:r>
      <w:r>
        <w:rPr>
          <w:color w:val="1C1C1A"/>
          <w:spacing w:val="-10"/>
        </w:rPr>
        <w:t> </w:t>
      </w:r>
      <w:r>
        <w:rPr>
          <w:color w:val="1C1C1A"/>
        </w:rPr>
        <w:t>nhau.</w:t>
      </w:r>
    </w:p>
    <w:p>
      <w:pPr>
        <w:pStyle w:val="Heading3"/>
        <w:spacing w:before="152"/>
        <w:ind w:left="49"/>
        <w:rPr>
          <w:i/>
        </w:rPr>
      </w:pPr>
      <w:r>
        <w:rPr>
          <w:i/>
          <w:color w:val="8C91A1"/>
        </w:rPr>
        <w:t>Máu toàn phần</w:t>
      </w:r>
    </w:p>
    <w:p>
      <w:pPr>
        <w:pStyle w:val="BodyText"/>
        <w:spacing w:line="216" w:lineRule="auto" w:before="34"/>
        <w:ind w:left="49" w:right="991"/>
      </w:pPr>
      <w:r>
        <w:rPr>
          <w:color w:val="1C1C1A"/>
        </w:rPr>
        <w:t>Máu toàn phần hiện nay hiếm khi có sẵn trong lâm sàng vì nó được xem là sử dụng không hiệu quả nguồn máu hạn chế.</w:t>
      </w:r>
    </w:p>
    <w:p>
      <w:pPr>
        <w:pStyle w:val="BodyText"/>
        <w:spacing w:line="216" w:lineRule="auto" w:before="2"/>
        <w:ind w:left="49" w:right="1010"/>
      </w:pPr>
      <w:r>
        <w:rPr>
          <w:color w:val="1C1C1A"/>
        </w:rPr>
        <w:t>Tuy nhiên, truyền máu toàn phần có những lợi ích đáng kể so với các khối tế bào máu vì nó giàu yếu tố đông máu và nếu còn tươi, có hoạt tính trao đổi cao hơn máu dự trữ.</w:t>
      </w:r>
    </w:p>
    <w:p>
      <w:pPr>
        <w:spacing w:after="0" w:line="216" w:lineRule="auto"/>
        <w:sectPr>
          <w:type w:val="continuous"/>
          <w:pgSz w:w="12070" w:h="15650"/>
          <w:pgMar w:top="0" w:bottom="280" w:left="0" w:right="0"/>
          <w:cols w:num="2" w:equalWidth="0">
            <w:col w:w="6032" w:space="40"/>
            <w:col w:w="5998"/>
          </w:cols>
        </w:sectPr>
      </w:pPr>
    </w:p>
    <w:p>
      <w:pPr>
        <w:pStyle w:val="BodyText"/>
      </w:pPr>
    </w:p>
    <w:p>
      <w:pPr>
        <w:pStyle w:val="BodyText"/>
        <w:spacing w:before="2" w:after="1"/>
        <w:rPr>
          <w:sz w:val="19"/>
        </w:rPr>
      </w:pPr>
    </w:p>
    <w:p>
      <w:pPr>
        <w:pStyle w:val="BodyText"/>
        <w:spacing w:line="20" w:lineRule="exact"/>
        <w:ind w:left="900"/>
        <w:rPr>
          <w:sz w:val="2"/>
        </w:rPr>
      </w:pPr>
      <w:r>
        <w:rPr>
          <w:sz w:val="2"/>
        </w:rPr>
        <w:pict>
          <v:group style="width:507.45pt;height:.5pt;mso-position-horizontal-relative:char;mso-position-vertical-relative:line" coordorigin="0,0" coordsize="10149,10">
            <v:line style="position:absolute" from="0,5" to="10148,5" stroked="true" strokeweight=".5pt" strokecolor="#745ba2">
              <v:stroke dashstyle="solid"/>
            </v:line>
          </v:group>
        </w:pict>
      </w:r>
      <w:r>
        <w:rPr>
          <w:sz w:val="2"/>
        </w:rPr>
      </w:r>
    </w:p>
    <w:p>
      <w:pPr>
        <w:spacing w:line="183" w:lineRule="exact" w:before="55"/>
        <w:ind w:left="905" w:right="0" w:firstLine="0"/>
        <w:jc w:val="left"/>
        <w:rPr>
          <w:sz w:val="16"/>
        </w:rPr>
      </w:pPr>
      <w:r>
        <w:rPr>
          <w:b/>
          <w:color w:val="755BA3"/>
          <w:sz w:val="16"/>
        </w:rPr>
        <w:t>Hans Gerhard Creutzfeldt</w:t>
      </w:r>
      <w:r>
        <w:rPr>
          <w:color w:val="575757"/>
          <w:sz w:val="16"/>
        </w:rPr>
        <w:t>, 1885–1946, nhà thần kinh học, Kiel, Đức.</w:t>
      </w:r>
    </w:p>
    <w:p>
      <w:pPr>
        <w:spacing w:line="182" w:lineRule="exact" w:before="0"/>
        <w:ind w:left="905" w:right="0" w:firstLine="0"/>
        <w:jc w:val="left"/>
        <w:rPr>
          <w:sz w:val="16"/>
        </w:rPr>
      </w:pPr>
      <w:r>
        <w:rPr>
          <w:b/>
          <w:color w:val="755BA3"/>
          <w:sz w:val="16"/>
        </w:rPr>
        <w:t>Alfons Maria Jakob</w:t>
      </w:r>
      <w:r>
        <w:rPr>
          <w:color w:val="575757"/>
          <w:sz w:val="16"/>
        </w:rPr>
        <w:t>, 1884–1931, nhà thần kinh học, Hamburg, Đức</w:t>
      </w:r>
    </w:p>
    <w:p>
      <w:pPr>
        <w:spacing w:before="0"/>
        <w:ind w:left="905" w:right="1355" w:firstLine="0"/>
        <w:jc w:val="left"/>
        <w:rPr>
          <w:sz w:val="16"/>
        </w:rPr>
      </w:pPr>
      <w:r>
        <w:rPr>
          <w:b/>
          <w:color w:val="755BA3"/>
          <w:sz w:val="16"/>
        </w:rPr>
        <w:t>Karl Landsteiner</w:t>
      </w:r>
      <w:r>
        <w:rPr>
          <w:color w:val="575757"/>
          <w:sz w:val="16"/>
        </w:rPr>
        <w:t>, 1868–1943, Giáo sư Giải phẫu bệnh, Đại học Vienna, Úc. Năm 1930, ông đã phân loại máu của con người thành các nhóm A, B, AB và O. Nhờ việc này ông được trao giải Nobel Sinh lý học và Y học năm 1930.</w:t>
      </w:r>
    </w:p>
    <w:p>
      <w:pPr>
        <w:spacing w:after="0"/>
        <w:jc w:val="left"/>
        <w:rPr>
          <w:sz w:val="16"/>
        </w:rPr>
        <w:sectPr>
          <w:type w:val="continuous"/>
          <w:pgSz w:w="12070" w:h="15650"/>
          <w:pgMar w:top="0" w:bottom="280" w:left="0" w:right="0"/>
        </w:sectPr>
      </w:pPr>
    </w:p>
    <w:p>
      <w:pPr>
        <w:pStyle w:val="BodyText"/>
      </w:pPr>
    </w:p>
    <w:p>
      <w:pPr>
        <w:pStyle w:val="BodyText"/>
      </w:pPr>
    </w:p>
    <w:p>
      <w:pPr>
        <w:pStyle w:val="BodyText"/>
      </w:pPr>
    </w:p>
    <w:p>
      <w:pPr>
        <w:pStyle w:val="BodyText"/>
      </w:pPr>
    </w:p>
    <w:p>
      <w:pPr>
        <w:pStyle w:val="BodyText"/>
      </w:pPr>
    </w:p>
    <w:p>
      <w:pPr>
        <w:spacing w:after="0"/>
        <w:sectPr>
          <w:headerReference w:type="default" r:id="rId10"/>
          <w:pgSz w:w="12070" w:h="15650"/>
          <w:pgMar w:header="0" w:footer="0" w:top="0" w:bottom="280" w:left="0" w:right="0"/>
        </w:sectPr>
      </w:pPr>
    </w:p>
    <w:p>
      <w:pPr>
        <w:pStyle w:val="Heading3"/>
        <w:spacing w:before="217"/>
        <w:rPr>
          <w:i/>
        </w:rPr>
      </w:pPr>
      <w:r>
        <w:rPr/>
        <w:pict>
          <v:group style="position:absolute;margin-left:0pt;margin-top:-57.798866pt;width:603.1pt;height:48.15pt;mso-position-horizontal-relative:page;mso-position-vertical-relative:paragraph;z-index:15737856" coordorigin="0,-1156" coordsize="12062,963">
            <v:shape style="position:absolute;left:0;top:-506;width:12062;height:312" type="#_x0000_t202" filled="true" fillcolor="#dfdfe4" stroked="false">
              <v:textbox inset="0,0,0,0">
                <w:txbxContent>
                  <w:p>
                    <w:pPr>
                      <w:spacing w:before="44"/>
                      <w:ind w:left="0" w:right="338" w:firstLine="0"/>
                      <w:jc w:val="right"/>
                      <w:rPr>
                        <w:rFonts w:ascii="Arial" w:hAnsi="Arial"/>
                        <w:b/>
                        <w:sz w:val="18"/>
                      </w:rPr>
                    </w:pPr>
                    <w:r>
                      <w:rPr>
                        <w:color w:val="575757"/>
                        <w:sz w:val="18"/>
                      </w:rPr>
                      <w:t>Truyền máu </w:t>
                    </w:r>
                    <w:r>
                      <w:rPr>
                        <w:rFonts w:ascii="Arial" w:hAnsi="Arial"/>
                        <w:b/>
                        <w:color w:val="1C1C1A"/>
                        <w:sz w:val="18"/>
                      </w:rPr>
                      <w:t>21</w:t>
                    </w:r>
                  </w:p>
                </w:txbxContent>
              </v:textbox>
              <v:fill type="solid"/>
              <w10:wrap type="none"/>
            </v:shape>
            <v:shape style="position:absolute;left:0;top:-1156;width:12062;height:651" type="#_x0000_t202" filled="true" fillcolor="#745ba2" stroked="false">
              <v:textbox inset="0,0,0,0">
                <w:txbxContent>
                  <w:p>
                    <w:pPr>
                      <w:spacing w:line="240" w:lineRule="auto" w:before="7"/>
                      <w:rPr>
                        <w:sz w:val="30"/>
                      </w:rPr>
                    </w:pPr>
                  </w:p>
                  <w:p>
                    <w:pPr>
                      <w:spacing w:before="0"/>
                      <w:ind w:left="0" w:right="447" w:firstLine="0"/>
                      <w:jc w:val="right"/>
                      <w:rPr>
                        <w:rFonts w:ascii="Arial" w:hAnsi="Arial"/>
                        <w:sz w:val="20"/>
                      </w:rPr>
                    </w:pPr>
                    <w:r>
                      <w:rPr>
                        <w:rFonts w:ascii="Arial" w:hAnsi="Arial"/>
                        <w:b/>
                        <w:color w:val="FFFFFF"/>
                        <w:sz w:val="20"/>
                      </w:rPr>
                      <w:t>PHẦN 1 </w:t>
                    </w:r>
                    <w:r>
                      <w:rPr>
                        <w:rFonts w:ascii="Arial" w:hAnsi="Arial"/>
                        <w:color w:val="FFFFFF"/>
                        <w:sz w:val="20"/>
                      </w:rPr>
                      <w:t>| NGUYÊN TẮC CƠ BẢN</w:t>
                    </w:r>
                  </w:p>
                </w:txbxContent>
              </v:textbox>
              <v:fill type="solid"/>
              <w10:wrap type="none"/>
            </v:shape>
            <w10:wrap type="none"/>
          </v:group>
        </w:pict>
      </w:r>
      <w:bookmarkStart w:name="_bookmark5" w:id="6"/>
      <w:bookmarkEnd w:id="6"/>
      <w:r>
        <w:rPr>
          <w:b w:val="0"/>
          <w:i w:val="0"/>
        </w:rPr>
      </w:r>
      <w:r>
        <w:rPr>
          <w:i/>
          <w:color w:val="8C91A1"/>
        </w:rPr>
        <w:t>Khối tế bào hồng cầu</w:t>
      </w:r>
    </w:p>
    <w:p>
      <w:pPr>
        <w:pStyle w:val="BodyText"/>
        <w:spacing w:line="218" w:lineRule="auto" w:before="32"/>
        <w:ind w:left="1018"/>
      </w:pPr>
      <w:r>
        <w:rPr>
          <w:color w:val="1C1C1A"/>
        </w:rPr>
        <w:t>Khối tế bào hồng cầu là những gói nhỏ và cô đặc của hồng cầu. Mỗi đơn vị khoảng 330 mL và có haematocrit từ 50-70%. Các khối tế bào được đóng gói bảo quản trong dung dịch SAGM (saline-adenine-glucose-mannitol) để tăng thời gian sử dụng</w:t>
      </w:r>
      <w:r>
        <w:rPr>
          <w:color w:val="1C1C1A"/>
          <w:spacing w:val="-15"/>
        </w:rPr>
        <w:t> </w:t>
      </w:r>
      <w:r>
        <w:rPr>
          <w:color w:val="1C1C1A"/>
        </w:rPr>
        <w:t>lên 5 tuần ở 2–6°C. (Cách bảo quản cũ hơn là bảo quản trong CPD: citrate-phosphate-dextrose, có thời gian sử dụng từ 2-3</w:t>
      </w:r>
      <w:r>
        <w:rPr>
          <w:color w:val="1C1C1A"/>
          <w:spacing w:val="-15"/>
        </w:rPr>
        <w:t> </w:t>
      </w:r>
      <w:r>
        <w:rPr>
          <w:color w:val="1C1C1A"/>
        </w:rPr>
        <w:t>tuần).</w:t>
      </w:r>
    </w:p>
    <w:p>
      <w:pPr>
        <w:pStyle w:val="BodyText"/>
        <w:spacing w:before="6"/>
        <w:rPr>
          <w:sz w:val="18"/>
        </w:rPr>
      </w:pPr>
    </w:p>
    <w:p>
      <w:pPr>
        <w:pStyle w:val="Heading3"/>
        <w:spacing w:line="275" w:lineRule="exact"/>
        <w:jc w:val="both"/>
        <w:rPr>
          <w:i/>
        </w:rPr>
      </w:pPr>
      <w:r>
        <w:rPr>
          <w:i/>
          <w:color w:val="8C91A1"/>
        </w:rPr>
        <w:t>Huyết tương tươi đông lạnh</w:t>
      </w:r>
    </w:p>
    <w:p>
      <w:pPr>
        <w:pStyle w:val="BodyText"/>
        <w:spacing w:line="208" w:lineRule="auto" w:before="24"/>
        <w:ind w:left="991" w:right="41"/>
        <w:jc w:val="both"/>
      </w:pPr>
      <w:r>
        <w:rPr>
          <w:color w:val="1C1C1A"/>
        </w:rPr>
        <w:t>Huyết tương tươi đông lạnh (FFP - Fresh frozen plasma) giàu các yếu tố đông máu được loại bỏ máu tươi và được bảo quản</w:t>
      </w:r>
      <w:r>
        <w:rPr>
          <w:color w:val="1C1C1A"/>
          <w:spacing w:val="-19"/>
        </w:rPr>
        <w:t> </w:t>
      </w:r>
      <w:r>
        <w:rPr>
          <w:color w:val="1C1C1A"/>
        </w:rPr>
        <w:t>ở</w:t>
      </w:r>
    </w:p>
    <w:p>
      <w:pPr>
        <w:pStyle w:val="BodyText"/>
        <w:spacing w:line="208" w:lineRule="auto" w:before="1"/>
        <w:ind w:left="991" w:right="168"/>
        <w:jc w:val="both"/>
      </w:pPr>
      <w:r>
        <w:rPr>
          <w:color w:val="1C1C1A"/>
        </w:rPr>
        <w:t>-40 đến -50 </w:t>
      </w:r>
      <w:r>
        <w:rPr>
          <w:color w:val="1C1C1A"/>
          <w:position w:val="6"/>
          <w:sz w:val="13"/>
        </w:rPr>
        <w:t>o</w:t>
      </w:r>
      <w:r>
        <w:rPr>
          <w:color w:val="1C1C1A"/>
        </w:rPr>
        <w:t>C với thời gian sử dụng 2 năm. Đây là chế phẩm đầu tay trong điều trị xuất huyết rối loạn đông máu (xem bên dưới</w:t>
      </w:r>
      <w:r>
        <w:rPr>
          <w:color w:val="1C1C1A"/>
          <w:spacing w:val="-14"/>
        </w:rPr>
        <w:t> </w:t>
      </w:r>
      <w:r>
        <w:rPr>
          <w:color w:val="1C1C1A"/>
        </w:rPr>
        <w:t>phần</w:t>
      </w:r>
      <w:r>
        <w:rPr>
          <w:color w:val="1C1C1A"/>
          <w:spacing w:val="-13"/>
        </w:rPr>
        <w:t> </w:t>
      </w:r>
      <w:r>
        <w:rPr>
          <w:b/>
          <w:color w:val="1C1C1A"/>
        </w:rPr>
        <w:t>Xử</w:t>
      </w:r>
      <w:r>
        <w:rPr>
          <w:b/>
          <w:color w:val="1C1C1A"/>
          <w:spacing w:val="-14"/>
        </w:rPr>
        <w:t> </w:t>
      </w:r>
      <w:r>
        <w:rPr>
          <w:b/>
          <w:color w:val="1C1C1A"/>
        </w:rPr>
        <w:t>trí</w:t>
      </w:r>
      <w:r>
        <w:rPr>
          <w:b/>
          <w:color w:val="1C1C1A"/>
          <w:spacing w:val="-14"/>
        </w:rPr>
        <w:t> </w:t>
      </w:r>
      <w:r>
        <w:rPr>
          <w:b/>
          <w:color w:val="1C1C1A"/>
        </w:rPr>
        <w:t>rối</w:t>
      </w:r>
      <w:r>
        <w:rPr>
          <w:b/>
          <w:color w:val="1C1C1A"/>
          <w:spacing w:val="-13"/>
        </w:rPr>
        <w:t> </w:t>
      </w:r>
      <w:r>
        <w:rPr>
          <w:b/>
          <w:color w:val="1C1C1A"/>
        </w:rPr>
        <w:t>loạn</w:t>
      </w:r>
      <w:r>
        <w:rPr>
          <w:b/>
          <w:color w:val="1C1C1A"/>
          <w:spacing w:val="-13"/>
        </w:rPr>
        <w:t> </w:t>
      </w:r>
      <w:r>
        <w:rPr>
          <w:b/>
          <w:color w:val="1C1C1A"/>
        </w:rPr>
        <w:t>đông</w:t>
      </w:r>
      <w:r>
        <w:rPr>
          <w:b/>
          <w:color w:val="1C1C1A"/>
          <w:spacing w:val="-13"/>
        </w:rPr>
        <w:t> </w:t>
      </w:r>
      <w:r>
        <w:rPr>
          <w:b/>
          <w:color w:val="1C1C1A"/>
        </w:rPr>
        <w:t>máu</w:t>
      </w:r>
      <w:r>
        <w:rPr>
          <w:color w:val="1C1C1A"/>
        </w:rPr>
        <w:t>).</w:t>
      </w:r>
      <w:r>
        <w:rPr>
          <w:color w:val="1C1C1A"/>
          <w:spacing w:val="-14"/>
        </w:rPr>
        <w:t> </w:t>
      </w:r>
      <w:r>
        <w:rPr>
          <w:color w:val="1C1C1A"/>
        </w:rPr>
        <w:t>Rhesus</w:t>
      </w:r>
      <w:r>
        <w:rPr>
          <w:color w:val="1C1C1A"/>
          <w:spacing w:val="-13"/>
        </w:rPr>
        <w:t> </w:t>
      </w:r>
      <w:r>
        <w:rPr>
          <w:color w:val="1C1C1A"/>
        </w:rPr>
        <w:t>D</w:t>
      </w:r>
      <w:r>
        <w:rPr>
          <w:color w:val="1C1C1A"/>
          <w:spacing w:val="-14"/>
        </w:rPr>
        <w:t> </w:t>
      </w:r>
      <w:r>
        <w:rPr>
          <w:color w:val="1C1C1A"/>
        </w:rPr>
        <w:t>dương</w:t>
      </w:r>
      <w:r>
        <w:rPr>
          <w:color w:val="1C1C1A"/>
          <w:spacing w:val="-13"/>
        </w:rPr>
        <w:t> </w:t>
      </w:r>
      <w:r>
        <w:rPr>
          <w:color w:val="1C1C1A"/>
        </w:rPr>
        <w:t>FFP</w:t>
      </w:r>
      <w:r>
        <w:rPr>
          <w:color w:val="1C1C1A"/>
          <w:spacing w:val="-13"/>
        </w:rPr>
        <w:t> </w:t>
      </w:r>
      <w:r>
        <w:rPr>
          <w:color w:val="1C1C1A"/>
        </w:rPr>
        <w:t>có thể được truyền cho phụ nữ rhesus D âm mặc dù có thể xảy ra phản ứng huyết thanh số lượng lớn do có sự hiện diện của các mảnh tế bào hồng cầu, cần cân nhắc tới Rh-D miễn</w:t>
      </w:r>
      <w:r>
        <w:rPr>
          <w:color w:val="1C1C1A"/>
          <w:spacing w:val="-16"/>
        </w:rPr>
        <w:t> </w:t>
      </w:r>
      <w:r>
        <w:rPr>
          <w:color w:val="1C1C1A"/>
        </w:rPr>
        <w:t>dịch.</w:t>
      </w:r>
    </w:p>
    <w:p>
      <w:pPr>
        <w:pStyle w:val="BodyText"/>
        <w:spacing w:before="8"/>
        <w:rPr>
          <w:sz w:val="18"/>
        </w:rPr>
      </w:pPr>
    </w:p>
    <w:p>
      <w:pPr>
        <w:pStyle w:val="Heading3"/>
        <w:rPr>
          <w:i/>
        </w:rPr>
      </w:pPr>
      <w:r>
        <w:rPr>
          <w:i/>
          <w:color w:val="8C91A1"/>
        </w:rPr>
        <w:t>Tủa đông</w:t>
      </w:r>
    </w:p>
    <w:p>
      <w:pPr>
        <w:pStyle w:val="BodyText"/>
        <w:spacing w:line="208" w:lineRule="auto" w:before="40"/>
        <w:ind w:left="1018" w:right="108"/>
      </w:pPr>
      <w:r>
        <w:rPr>
          <w:color w:val="1C1C1A"/>
        </w:rPr>
        <w:t>Tủa đông là kết tủa nổi trên mặt nước của FFP giàu yếu tố VIII và fibrinogen. Nó được bảo quản ở −30°C trong thời gian 2 năm. Nó được sử dụng trong trường hợp fibrinogen thấp hoặc thiếu yếu tố VIII.</w:t>
      </w:r>
    </w:p>
    <w:p>
      <w:pPr>
        <w:pStyle w:val="Heading3"/>
        <w:spacing w:line="253" w:lineRule="exact" w:before="196"/>
        <w:rPr>
          <w:i/>
        </w:rPr>
      </w:pPr>
      <w:r>
        <w:rPr>
          <w:i/>
          <w:color w:val="8C91A1"/>
        </w:rPr>
        <w:t>Tiểu cầu</w:t>
      </w:r>
    </w:p>
    <w:p>
      <w:pPr>
        <w:pStyle w:val="BodyText"/>
        <w:spacing w:line="200" w:lineRule="exact"/>
        <w:ind w:left="1018"/>
      </w:pPr>
      <w:r>
        <w:rPr>
          <w:color w:val="1C1C1A"/>
          <w:position w:val="1"/>
        </w:rPr>
        <w:t>Tiểu cầu được cung cấp dưới dạng tập trung chứa khoảng </w:t>
      </w:r>
      <w:r>
        <w:rPr>
          <w:color w:val="1C1C1A"/>
        </w:rPr>
        <w:t>250</w:t>
      </w:r>
    </w:p>
    <w:p>
      <w:pPr>
        <w:pStyle w:val="BodyText"/>
        <w:spacing w:line="206" w:lineRule="auto" w:before="10"/>
        <w:ind w:left="1018" w:right="18"/>
      </w:pPr>
      <w:r>
        <w:rPr>
          <w:color w:val="1C1C1A"/>
        </w:rPr>
        <w:t>× 10</w:t>
      </w:r>
      <w:r>
        <w:rPr>
          <w:color w:val="1C1C1A"/>
          <w:vertAlign w:val="superscript"/>
        </w:rPr>
        <w:t>9</w:t>
      </w:r>
      <w:r>
        <w:rPr>
          <w:color w:val="1C1C1A"/>
          <w:vertAlign w:val="baseline"/>
        </w:rPr>
        <w:t>/L. </w:t>
      </w:r>
      <w:r>
        <w:rPr>
          <w:color w:val="1C1C1A"/>
          <w:position w:val="1"/>
          <w:vertAlign w:val="baseline"/>
        </w:rPr>
        <w:t>Tiểu cầu lưu trữ trên máy khuấy ở 20–24°C và có thời </w:t>
      </w:r>
      <w:r>
        <w:rPr>
          <w:color w:val="1C1C1A"/>
          <w:vertAlign w:val="baseline"/>
        </w:rPr>
        <w:t>gian sử dụng là 5 ngày. Truyền tiểu cầu cho bệnh nhân giảm tiểu cầu hoặc bị rối loạn chức năng tiểu cầu đang chảy máu hoặc đang phẫu thuật.</w:t>
      </w:r>
    </w:p>
    <w:p>
      <w:pPr>
        <w:pStyle w:val="BodyText"/>
        <w:spacing w:line="218" w:lineRule="auto" w:before="29"/>
        <w:ind w:left="1018" w:right="147" w:firstLine="283"/>
      </w:pPr>
      <w:r>
        <w:rPr>
          <w:color w:val="1C1C1A"/>
        </w:rPr>
        <w:t>Ngày càng có nhiều bệnh nhân sử dụng thuốc chống tập trung tiểu cầu như aspirin hoặc clopidogrel để giảm nguy cơ tim mạch. Điều trị aspirin hiếm khi gây ra các vấn đề nhưng việc kiểm soát xuất huyết cực kỳ khó khăn nếu dùng thuốc ức chế tập trung tiểu cầu mạnh hơn. Bệnh nhân đang dùng clopidogrel chảy máu nhiều và trải qua đại phẫu có thể yêu cầu truyền tiểu cầu gần như liên tục trong suốt quá trình.</w:t>
      </w:r>
    </w:p>
    <w:p>
      <w:pPr>
        <w:pStyle w:val="BodyText"/>
        <w:spacing w:line="218" w:lineRule="auto"/>
        <w:ind w:left="1018"/>
      </w:pPr>
      <w:r>
        <w:rPr>
          <w:color w:val="1C1C1A"/>
        </w:rPr>
        <w:t>Arginine vasopressin hoặc các chất tương tự của nó (DDAVP) cũng được sử dụng cho những bệnh nhân này, mặc dù thành công hạn chế.</w:t>
      </w:r>
    </w:p>
    <w:p>
      <w:pPr>
        <w:pStyle w:val="BodyText"/>
        <w:spacing w:before="2"/>
      </w:pPr>
    </w:p>
    <w:p>
      <w:pPr>
        <w:pStyle w:val="Heading3"/>
        <w:rPr>
          <w:i/>
        </w:rPr>
      </w:pPr>
      <w:r>
        <w:rPr>
          <w:i/>
          <w:color w:val="8C91A1"/>
        </w:rPr>
        <w:t>Phức hợp prothrombin cô đặc</w:t>
      </w:r>
    </w:p>
    <w:p>
      <w:pPr>
        <w:pStyle w:val="BodyText"/>
        <w:spacing w:line="218" w:lineRule="auto" w:before="32"/>
        <w:ind w:left="1018" w:right="63"/>
      </w:pPr>
      <w:r>
        <w:rPr>
          <w:color w:val="1C1C1A"/>
        </w:rPr>
        <w:t>Phức hợp prothrombin cô đặc (PCC - Prothrombin complex concentrates) là những chất cô đặc có độ tinh khiết cao được điều chế từ huyết tương gộp chung lại. Chúng chứa các yếu tố II, IX và X. Yếu tố VII có thể bao gồm trong đó hoặc tách riêng lẻ. Nó được chỉ định để đảo ngược khẩn cấp thuốc chống đông máu (warfarin) trong xuất huyết không kiểm soát.</w:t>
      </w:r>
    </w:p>
    <w:p>
      <w:pPr>
        <w:pStyle w:val="BodyText"/>
        <w:spacing w:before="6"/>
        <w:rPr>
          <w:sz w:val="18"/>
        </w:rPr>
      </w:pPr>
    </w:p>
    <w:p>
      <w:pPr>
        <w:pStyle w:val="Heading3"/>
        <w:rPr>
          <w:i/>
        </w:rPr>
      </w:pPr>
      <w:r>
        <w:rPr>
          <w:i/>
          <w:color w:val="8C91A1"/>
        </w:rPr>
        <w:t>Máu tự thân</w:t>
      </w:r>
    </w:p>
    <w:p>
      <w:pPr>
        <w:pStyle w:val="BodyText"/>
        <w:spacing w:line="220" w:lineRule="auto" w:before="31"/>
        <w:ind w:left="1018" w:right="79"/>
      </w:pPr>
      <w:r>
        <w:rPr>
          <w:color w:val="1C1C1A"/>
        </w:rPr>
        <w:t>Những bệnh nhân trải qua phẫu thuật có chuẩn bị có thể tự tạo trước máu của mình lên đến 3 tuần trước phẫu thuật để truyền lại trong quá trình phẫu thuật. Tương tự, trong quá trình phẫu thuật, máu có thể được thu thập trong một vật chứa máu nơi các tế bào máu được rửa và hồng cầu sau đó có thể được truyền trả lại cho bệnh nhân.</w:t>
      </w:r>
    </w:p>
    <w:p>
      <w:pPr>
        <w:pStyle w:val="Heading2"/>
        <w:spacing w:before="208"/>
        <w:ind w:left="61"/>
      </w:pPr>
      <w:r>
        <w:rPr>
          <w:b w:val="0"/>
        </w:rPr>
        <w:br w:type="column"/>
      </w:r>
      <w:r>
        <w:rPr>
          <w:color w:val="7E8597"/>
        </w:rPr>
        <w:t>Chỉ định truyền máu</w:t>
      </w:r>
    </w:p>
    <w:p>
      <w:pPr>
        <w:pStyle w:val="BodyText"/>
        <w:spacing w:line="216" w:lineRule="auto" w:before="82"/>
        <w:ind w:left="61" w:right="913"/>
      </w:pPr>
      <w:r>
        <w:rPr>
          <w:color w:val="1C1C1A"/>
        </w:rPr>
        <w:t>Nên tránh truyền máu nếu có thể, nhiều cách sử dụng máu và các sản phẩm từ máu trước đây giờ không còn phù hợp. Các chỉ định truyền máu như sau:</w:t>
      </w:r>
    </w:p>
    <w:p>
      <w:pPr>
        <w:pStyle w:val="ListParagraph"/>
        <w:numPr>
          <w:ilvl w:val="0"/>
          <w:numId w:val="4"/>
        </w:numPr>
        <w:tabs>
          <w:tab w:pos="321" w:val="left" w:leader="none"/>
        </w:tabs>
        <w:spacing w:line="219" w:lineRule="exact" w:before="100" w:after="0"/>
        <w:ind w:left="320" w:right="0" w:hanging="260"/>
        <w:jc w:val="left"/>
        <w:rPr>
          <w:sz w:val="20"/>
        </w:rPr>
      </w:pPr>
      <w:r>
        <w:rPr>
          <w:color w:val="1C1C1A"/>
          <w:sz w:val="20"/>
        </w:rPr>
        <w:t>Mất máu cấp, cần thay thế khối lượng tuần hoàn và</w:t>
      </w:r>
      <w:r>
        <w:rPr>
          <w:color w:val="1C1C1A"/>
          <w:spacing w:val="-10"/>
          <w:sz w:val="20"/>
        </w:rPr>
        <w:t> </w:t>
      </w:r>
      <w:r>
        <w:rPr>
          <w:color w:val="1C1C1A"/>
          <w:sz w:val="20"/>
        </w:rPr>
        <w:t>duy</w:t>
      </w:r>
    </w:p>
    <w:p>
      <w:pPr>
        <w:pStyle w:val="BodyText"/>
        <w:spacing w:line="208" w:lineRule="exact"/>
        <w:ind w:left="344"/>
      </w:pPr>
      <w:r>
        <w:rPr>
          <w:color w:val="1C1C1A"/>
        </w:rPr>
        <w:t>trì cung cấp oxy;</w:t>
      </w:r>
    </w:p>
    <w:p>
      <w:pPr>
        <w:pStyle w:val="ListParagraph"/>
        <w:numPr>
          <w:ilvl w:val="0"/>
          <w:numId w:val="4"/>
        </w:numPr>
        <w:tabs>
          <w:tab w:pos="321" w:val="left" w:leader="none"/>
        </w:tabs>
        <w:spacing w:line="216" w:lineRule="auto" w:before="7" w:after="0"/>
        <w:ind w:left="344" w:right="1208" w:hanging="284"/>
        <w:jc w:val="left"/>
        <w:rPr>
          <w:sz w:val="20"/>
        </w:rPr>
      </w:pPr>
      <w:r>
        <w:rPr>
          <w:color w:val="1C1C1A"/>
          <w:sz w:val="20"/>
        </w:rPr>
        <w:t>Thiếu máu trước phẫu thuật, để đảm bảo cung cấp oxy đầy đủ trong giai đoạn trước phẫu</w:t>
      </w:r>
      <w:r>
        <w:rPr>
          <w:color w:val="1C1C1A"/>
          <w:spacing w:val="-4"/>
          <w:sz w:val="20"/>
        </w:rPr>
        <w:t> </w:t>
      </w:r>
      <w:r>
        <w:rPr>
          <w:color w:val="1C1C1A"/>
          <w:sz w:val="20"/>
        </w:rPr>
        <w:t>thuật;</w:t>
      </w:r>
    </w:p>
    <w:p>
      <w:pPr>
        <w:pStyle w:val="ListParagraph"/>
        <w:numPr>
          <w:ilvl w:val="0"/>
          <w:numId w:val="4"/>
        </w:numPr>
        <w:tabs>
          <w:tab w:pos="321" w:val="left" w:leader="none"/>
        </w:tabs>
        <w:spacing w:line="202" w:lineRule="exact" w:before="0" w:after="0"/>
        <w:ind w:left="320" w:right="0" w:hanging="260"/>
        <w:jc w:val="left"/>
        <w:rPr>
          <w:sz w:val="20"/>
        </w:rPr>
      </w:pPr>
      <w:r>
        <w:rPr>
          <w:color w:val="1C1C1A"/>
          <w:sz w:val="20"/>
        </w:rPr>
        <w:t>Thiếu máu mãn tính có triệu chứng, không có xuất</w:t>
      </w:r>
      <w:r>
        <w:rPr>
          <w:color w:val="1C1C1A"/>
          <w:spacing w:val="-11"/>
          <w:sz w:val="20"/>
        </w:rPr>
        <w:t> </w:t>
      </w:r>
      <w:r>
        <w:rPr>
          <w:color w:val="1C1C1A"/>
          <w:sz w:val="20"/>
        </w:rPr>
        <w:t>huyết</w:t>
      </w:r>
    </w:p>
    <w:p>
      <w:pPr>
        <w:pStyle w:val="BodyText"/>
        <w:spacing w:line="219" w:lineRule="exact"/>
        <w:ind w:left="344"/>
      </w:pPr>
      <w:r>
        <w:rPr>
          <w:color w:val="1C1C1A"/>
        </w:rPr>
        <w:t>do phẫu thuật.</w:t>
      </w:r>
    </w:p>
    <w:p>
      <w:pPr>
        <w:pStyle w:val="Heading3"/>
        <w:spacing w:before="142"/>
        <w:ind w:left="61"/>
        <w:rPr>
          <w:i/>
        </w:rPr>
      </w:pPr>
      <w:r>
        <w:rPr>
          <w:i/>
          <w:color w:val="8C91A1"/>
        </w:rPr>
        <w:t>Đáp ứng truyền máu</w:t>
      </w:r>
    </w:p>
    <w:p>
      <w:pPr>
        <w:pStyle w:val="BodyText"/>
        <w:spacing w:line="219" w:lineRule="exact" w:before="15"/>
        <w:ind w:left="61"/>
      </w:pPr>
      <w:r>
        <w:rPr>
          <w:color w:val="1C1C1A"/>
        </w:rPr>
        <w:t>Trước đây, bệnh nhân được truyền máu để đạt huyết sắc tố</w:t>
      </w:r>
    </w:p>
    <w:p>
      <w:pPr>
        <w:pStyle w:val="BodyText"/>
        <w:spacing w:line="216" w:lineRule="auto" w:before="8"/>
        <w:ind w:left="61" w:right="974"/>
      </w:pPr>
      <w:r>
        <w:rPr>
          <w:color w:val="1C1C1A"/>
        </w:rPr>
        <w:t>&gt;10 g/dL. Điều này hiện đã được chứng minh không chỉ không cần thiết mà còn liên quan đến việc gia tăng tỷ lệ mắc bệnh và tử vong so với các giá trị mục tiêu thấp hơn. Mức haemoglobin 6 g/dL có thể chấp nhận được ở những bệnh nhân không chảy máu nhiều, không sắp phải trải qua đại phẫu và không có triệu chứng kèm theo. Có một số tranh cãi về mức haemoglobin tối ưu ở một số nhóm bệnh nhân, chẳng hạn như những người mắc bệnh tim mạch, nhiễm trùng huyết và chấn thương sọ não. Mặc dù về mặt khái niệm, mức haemoglobin cao hơn giúp cải thiện khả năng cung cấp oxy, nhưng có rất ít bằng chứng lâm sàng ở thời điểm hiện tại cho ủng hộ quan điểm này ở các nhóm trên (</w:t>
      </w:r>
      <w:r>
        <w:rPr>
          <w:i/>
          <w:color w:val="0000FF"/>
        </w:rPr>
        <w:t>Bảng 2.6</w:t>
      </w:r>
      <w:r>
        <w:rPr/>
        <w:t>).</w:t>
      </w:r>
    </w:p>
    <w:p>
      <w:pPr>
        <w:pStyle w:val="BodyText"/>
      </w:pPr>
    </w:p>
    <w:p>
      <w:pPr>
        <w:pStyle w:val="BodyText"/>
        <w:spacing w:before="6"/>
        <w:rPr>
          <w:sz w:val="28"/>
        </w:rPr>
      </w:pPr>
    </w:p>
    <w:tbl>
      <w:tblPr>
        <w:tblW w:w="0" w:type="auto"/>
        <w:jc w:val="left"/>
        <w:tblInd w:w="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027"/>
        <w:gridCol w:w="2896"/>
      </w:tblGrid>
      <w:tr>
        <w:trPr>
          <w:trHeight w:val="333" w:hRule="atLeast"/>
        </w:trPr>
        <w:tc>
          <w:tcPr>
            <w:tcW w:w="4923" w:type="dxa"/>
            <w:gridSpan w:val="2"/>
            <w:tcBorders>
              <w:top w:val="nil"/>
              <w:left w:val="nil"/>
            </w:tcBorders>
            <w:shd w:val="clear" w:color="auto" w:fill="C5BBDD"/>
          </w:tcPr>
          <w:p>
            <w:pPr>
              <w:pStyle w:val="TableParagraph"/>
              <w:spacing w:before="80"/>
              <w:ind w:left="79"/>
              <w:rPr>
                <w:sz w:val="18"/>
              </w:rPr>
            </w:pPr>
            <w:r>
              <w:rPr>
                <w:b/>
                <w:color w:val="755BA3"/>
                <w:sz w:val="18"/>
              </w:rPr>
              <w:t>BẢNG 2.6 </w:t>
            </w:r>
            <w:r>
              <w:rPr>
                <w:color w:val="1C1C1A"/>
                <w:sz w:val="18"/>
              </w:rPr>
              <w:t>Tiêu chuẩn truyền hồng cầu trước phẫu thuật</w:t>
            </w:r>
          </w:p>
        </w:tc>
      </w:tr>
      <w:tr>
        <w:trPr>
          <w:trHeight w:val="294" w:hRule="atLeast"/>
        </w:trPr>
        <w:tc>
          <w:tcPr>
            <w:tcW w:w="2027" w:type="dxa"/>
            <w:tcBorders>
              <w:left w:val="nil"/>
            </w:tcBorders>
            <w:shd w:val="clear" w:color="auto" w:fill="C5BBDD"/>
          </w:tcPr>
          <w:p>
            <w:pPr>
              <w:pStyle w:val="TableParagraph"/>
              <w:ind w:left="79"/>
              <w:rPr>
                <w:sz w:val="16"/>
              </w:rPr>
            </w:pPr>
            <w:r>
              <w:rPr>
                <w:color w:val="1C1C1A"/>
                <w:sz w:val="16"/>
              </w:rPr>
              <w:t>Mức haemoglobin (g/dL)</w:t>
            </w:r>
          </w:p>
        </w:tc>
        <w:tc>
          <w:tcPr>
            <w:tcW w:w="2896" w:type="dxa"/>
            <w:shd w:val="clear" w:color="auto" w:fill="C5BBDD"/>
          </w:tcPr>
          <w:p>
            <w:pPr>
              <w:pStyle w:val="TableParagraph"/>
              <w:spacing w:before="47"/>
              <w:ind w:left="65"/>
              <w:rPr>
                <w:b/>
                <w:sz w:val="16"/>
              </w:rPr>
            </w:pPr>
            <w:r>
              <w:rPr>
                <w:b/>
                <w:color w:val="1C1C1A"/>
                <w:sz w:val="16"/>
              </w:rPr>
              <w:t>Chỉ định</w:t>
            </w:r>
          </w:p>
        </w:tc>
      </w:tr>
      <w:tr>
        <w:trPr>
          <w:trHeight w:val="294" w:hRule="atLeast"/>
        </w:trPr>
        <w:tc>
          <w:tcPr>
            <w:tcW w:w="2027" w:type="dxa"/>
            <w:tcBorders>
              <w:left w:val="nil"/>
            </w:tcBorders>
            <w:shd w:val="clear" w:color="auto" w:fill="E6E1D2"/>
          </w:tcPr>
          <w:p>
            <w:pPr>
              <w:pStyle w:val="TableParagraph"/>
              <w:ind w:left="79"/>
              <w:rPr>
                <w:sz w:val="16"/>
              </w:rPr>
            </w:pPr>
            <w:r>
              <w:rPr>
                <w:color w:val="1C1C1A"/>
                <w:sz w:val="16"/>
              </w:rPr>
              <w:t>&lt;6</w:t>
            </w:r>
          </w:p>
        </w:tc>
        <w:tc>
          <w:tcPr>
            <w:tcW w:w="2896" w:type="dxa"/>
            <w:shd w:val="clear" w:color="auto" w:fill="E6E1D2"/>
          </w:tcPr>
          <w:p>
            <w:pPr>
              <w:pStyle w:val="TableParagraph"/>
              <w:spacing w:before="47"/>
              <w:rPr>
                <w:sz w:val="16"/>
              </w:rPr>
            </w:pPr>
            <w:r>
              <w:rPr>
                <w:color w:val="1C1C1A"/>
                <w:sz w:val="16"/>
              </w:rPr>
              <w:t>Có thể sẽ được hưởng lợi từ truyền máu</w:t>
            </w:r>
          </w:p>
        </w:tc>
      </w:tr>
      <w:tr>
        <w:trPr>
          <w:trHeight w:val="639" w:hRule="atLeast"/>
        </w:trPr>
        <w:tc>
          <w:tcPr>
            <w:tcW w:w="2027" w:type="dxa"/>
            <w:tcBorders>
              <w:left w:val="nil"/>
            </w:tcBorders>
            <w:shd w:val="clear" w:color="auto" w:fill="E6E1D2"/>
          </w:tcPr>
          <w:p>
            <w:pPr>
              <w:pStyle w:val="TableParagraph"/>
              <w:ind w:left="79"/>
              <w:rPr>
                <w:sz w:val="16"/>
              </w:rPr>
            </w:pPr>
            <w:r>
              <w:rPr>
                <w:color w:val="1C1C1A"/>
                <w:sz w:val="16"/>
              </w:rPr>
              <w:t>6–8</w:t>
            </w:r>
          </w:p>
        </w:tc>
        <w:tc>
          <w:tcPr>
            <w:tcW w:w="2896" w:type="dxa"/>
            <w:shd w:val="clear" w:color="auto" w:fill="E6E1D2"/>
          </w:tcPr>
          <w:p>
            <w:pPr>
              <w:pStyle w:val="TableParagraph"/>
              <w:spacing w:line="235" w:lineRule="auto" w:before="33"/>
              <w:ind w:right="619"/>
              <w:jc w:val="both"/>
              <w:rPr>
                <w:sz w:val="16"/>
              </w:rPr>
            </w:pPr>
            <w:r>
              <w:rPr>
                <w:color w:val="1C1C1A"/>
                <w:sz w:val="16"/>
              </w:rPr>
              <w:t>Truyền máu không đem lại lợi ích trong trường hợp không chảy</w:t>
            </w:r>
            <w:r>
              <w:rPr>
                <w:color w:val="1C1C1A"/>
                <w:spacing w:val="-15"/>
                <w:sz w:val="16"/>
              </w:rPr>
              <w:t> </w:t>
            </w:r>
            <w:r>
              <w:rPr>
                <w:color w:val="1C1C1A"/>
                <w:sz w:val="16"/>
              </w:rPr>
              <w:t>máu hoặc sắp tiến hành phẫu</w:t>
            </w:r>
            <w:r>
              <w:rPr>
                <w:color w:val="1C1C1A"/>
                <w:spacing w:val="-5"/>
                <w:sz w:val="16"/>
              </w:rPr>
              <w:t> </w:t>
            </w:r>
            <w:r>
              <w:rPr>
                <w:color w:val="1C1C1A"/>
                <w:sz w:val="16"/>
              </w:rPr>
              <w:t>thuật</w:t>
            </w:r>
          </w:p>
        </w:tc>
      </w:tr>
      <w:tr>
        <w:trPr>
          <w:trHeight w:val="449" w:hRule="atLeast"/>
        </w:trPr>
        <w:tc>
          <w:tcPr>
            <w:tcW w:w="2027" w:type="dxa"/>
            <w:tcBorders>
              <w:left w:val="nil"/>
            </w:tcBorders>
            <w:shd w:val="clear" w:color="auto" w:fill="E6E1D2"/>
          </w:tcPr>
          <w:p>
            <w:pPr>
              <w:pStyle w:val="TableParagraph"/>
              <w:ind w:left="79"/>
              <w:rPr>
                <w:sz w:val="16"/>
              </w:rPr>
            </w:pPr>
            <w:r>
              <w:rPr>
                <w:color w:val="1C1C1A"/>
                <w:sz w:val="16"/>
              </w:rPr>
              <w:t>&gt;8</w:t>
            </w:r>
          </w:p>
        </w:tc>
        <w:tc>
          <w:tcPr>
            <w:tcW w:w="2896" w:type="dxa"/>
            <w:shd w:val="clear" w:color="auto" w:fill="E6E1D2"/>
          </w:tcPr>
          <w:p>
            <w:pPr>
              <w:pStyle w:val="TableParagraph"/>
              <w:spacing w:line="235" w:lineRule="auto" w:before="33"/>
              <w:ind w:right="-11"/>
              <w:rPr>
                <w:sz w:val="16"/>
              </w:rPr>
            </w:pPr>
            <w:r>
              <w:rPr>
                <w:color w:val="1C1C1A"/>
                <w:sz w:val="16"/>
              </w:rPr>
              <w:t>Không có chỉ định truyền máu trong trường hợp không có các yếu tố nguy cơ khác</w:t>
            </w:r>
          </w:p>
        </w:tc>
      </w:tr>
    </w:tbl>
    <w:p>
      <w:pPr>
        <w:pStyle w:val="BodyText"/>
        <w:spacing w:before="9"/>
        <w:rPr>
          <w:sz w:val="31"/>
        </w:rPr>
      </w:pPr>
    </w:p>
    <w:p>
      <w:pPr>
        <w:pStyle w:val="Heading2"/>
        <w:ind w:left="61"/>
      </w:pPr>
      <w:r>
        <w:rPr>
          <w:color w:val="7E8597"/>
        </w:rPr>
        <w:t>Nhóm máu và phù hợp chéo</w:t>
      </w:r>
    </w:p>
    <w:p>
      <w:pPr>
        <w:pStyle w:val="BodyText"/>
        <w:spacing w:line="216" w:lineRule="auto" w:before="82"/>
        <w:ind w:left="61" w:right="896"/>
      </w:pPr>
      <w:r>
        <w:rPr>
          <w:color w:val="1C1C1A"/>
        </w:rPr>
        <w:t>Các tế bào hồng cầu người có nhiều kháng nguyên khác nhau trên bề mặt tế bào. Hai nhóm kháng nguyên có tầm quan trọng nhất trong phẫu thuật thực hành là hệ ABO và hệ rhesus.</w:t>
      </w:r>
    </w:p>
    <w:p>
      <w:pPr>
        <w:pStyle w:val="Heading3"/>
        <w:spacing w:before="150"/>
        <w:ind w:left="61"/>
        <w:rPr>
          <w:i/>
        </w:rPr>
      </w:pPr>
      <w:r>
        <w:rPr>
          <w:i/>
          <w:color w:val="8C91A1"/>
        </w:rPr>
        <w:t>Hệ ABO</w:t>
      </w:r>
    </w:p>
    <w:p>
      <w:pPr>
        <w:pStyle w:val="BodyText"/>
        <w:spacing w:line="216" w:lineRule="auto" w:before="33"/>
        <w:ind w:left="61" w:right="844"/>
      </w:pPr>
      <w:r>
        <w:rPr>
          <w:color w:val="1C1C1A"/>
        </w:rPr>
        <w:t>Các protein này có tính kháng nguyên mạnh và liên kết với các kháng thể có sẵn trong huyết thanh. Hệ thống này bao gồm ba gen alen - A, B và O - điều khiển tổng hợp các enzym bổ sung carbohydrate vào glycoprotein bề mặt tế bào. Các gen A và B bổ sung các gốc cụ thể trong khi O là một gen không định hình và không biến đổi glycoprotein. Hệ thống này có sáu kiểu gen mặc dù chỉ có bốn kiểu hình. Các kháng thể tự nhiên được tìm thấy trong huyết thanh của những người thiếu kháng nguyên tương ứng (</w:t>
      </w:r>
      <w:r>
        <w:rPr>
          <w:i/>
          <w:color w:val="0000FF"/>
        </w:rPr>
        <w:t>Bảng</w:t>
      </w:r>
      <w:r>
        <w:rPr>
          <w:i/>
          <w:color w:val="0000FF"/>
          <w:spacing w:val="-4"/>
        </w:rPr>
        <w:t> </w:t>
      </w:r>
      <w:r>
        <w:rPr>
          <w:i/>
          <w:color w:val="0000FF"/>
        </w:rPr>
        <w:t>2.7</w:t>
      </w:r>
      <w:r>
        <w:rPr>
          <w:color w:val="1C1C1A"/>
        </w:rPr>
        <w:t>).</w:t>
      </w:r>
    </w:p>
    <w:p>
      <w:pPr>
        <w:pStyle w:val="BodyText"/>
        <w:spacing w:line="216" w:lineRule="auto" w:before="9"/>
        <w:ind w:left="61" w:right="865" w:firstLine="283"/>
      </w:pPr>
      <w:r>
        <w:rPr>
          <w:color w:val="1C1C1A"/>
        </w:rPr>
        <w:t>Nhóm máu O là nhóm hiến tặng phổ thông vì nó không chứa kháng nguyên gây phản ứng. Ngược lại, nhóm AB là 'nhóm nhận phổ thông' và có thể nhận bất kỳ nhóm máu ABO nào vì họ không có kháng thể lưu hành trong máu.</w:t>
      </w:r>
    </w:p>
    <w:p>
      <w:pPr>
        <w:spacing w:after="0" w:line="216" w:lineRule="auto"/>
        <w:sectPr>
          <w:type w:val="continuous"/>
          <w:pgSz w:w="12070" w:h="15650"/>
          <w:pgMar w:top="0" w:bottom="280" w:left="0" w:right="0"/>
          <w:cols w:num="2" w:equalWidth="0">
            <w:col w:w="6134" w:space="40"/>
            <w:col w:w="5896"/>
          </w:cols>
        </w:sectPr>
      </w:pPr>
    </w:p>
    <w:p>
      <w:pPr>
        <w:pStyle w:val="BodyText"/>
      </w:pPr>
    </w:p>
    <w:p>
      <w:pPr>
        <w:pStyle w:val="BodyText"/>
        <w:spacing w:before="5"/>
        <w:rPr>
          <w:sz w:val="19"/>
        </w:rPr>
      </w:pPr>
    </w:p>
    <w:tbl>
      <w:tblPr>
        <w:tblW w:w="0" w:type="auto"/>
        <w:jc w:val="left"/>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027"/>
        <w:gridCol w:w="2027"/>
        <w:gridCol w:w="2027"/>
        <w:gridCol w:w="2027"/>
        <w:gridCol w:w="2027"/>
      </w:tblGrid>
      <w:tr>
        <w:trPr>
          <w:trHeight w:val="333" w:hRule="atLeast"/>
        </w:trPr>
        <w:tc>
          <w:tcPr>
            <w:tcW w:w="10135" w:type="dxa"/>
            <w:gridSpan w:val="5"/>
            <w:tcBorders>
              <w:top w:val="nil"/>
              <w:left w:val="nil"/>
            </w:tcBorders>
            <w:shd w:val="clear" w:color="auto" w:fill="C5BBDD"/>
          </w:tcPr>
          <w:p>
            <w:pPr>
              <w:pStyle w:val="TableParagraph"/>
              <w:spacing w:before="80"/>
              <w:ind w:left="79"/>
              <w:rPr>
                <w:sz w:val="18"/>
              </w:rPr>
            </w:pPr>
            <w:bookmarkStart w:name="_bookmark6" w:id="7"/>
            <w:bookmarkEnd w:id="7"/>
            <w:r>
              <w:rPr/>
            </w:r>
            <w:r>
              <w:rPr>
                <w:b/>
                <w:color w:val="755BA3"/>
                <w:sz w:val="18"/>
              </w:rPr>
              <w:t>BẢNG 2.7 </w:t>
            </w:r>
            <w:r>
              <w:rPr>
                <w:color w:val="1C1C1A"/>
                <w:sz w:val="18"/>
              </w:rPr>
              <w:t>Hệ thống nhóm máu ABO.</w:t>
            </w:r>
          </w:p>
        </w:tc>
      </w:tr>
      <w:tr>
        <w:trPr>
          <w:trHeight w:val="294" w:hRule="atLeast"/>
        </w:trPr>
        <w:tc>
          <w:tcPr>
            <w:tcW w:w="2027" w:type="dxa"/>
            <w:tcBorders>
              <w:left w:val="nil"/>
            </w:tcBorders>
            <w:shd w:val="clear" w:color="auto" w:fill="C5BBDD"/>
          </w:tcPr>
          <w:p>
            <w:pPr>
              <w:pStyle w:val="TableParagraph"/>
              <w:ind w:left="79"/>
              <w:rPr>
                <w:b/>
                <w:sz w:val="16"/>
              </w:rPr>
            </w:pPr>
            <w:r>
              <w:rPr>
                <w:b/>
                <w:color w:val="1C1C1A"/>
                <w:sz w:val="16"/>
              </w:rPr>
              <w:t>Kiểu hình</w:t>
            </w:r>
          </w:p>
        </w:tc>
        <w:tc>
          <w:tcPr>
            <w:tcW w:w="2027" w:type="dxa"/>
            <w:shd w:val="clear" w:color="auto" w:fill="C5BBDD"/>
          </w:tcPr>
          <w:p>
            <w:pPr>
              <w:pStyle w:val="TableParagraph"/>
              <w:spacing w:before="47"/>
              <w:rPr>
                <w:b/>
                <w:sz w:val="16"/>
              </w:rPr>
            </w:pPr>
            <w:r>
              <w:rPr>
                <w:b/>
                <w:color w:val="1C1C1A"/>
                <w:sz w:val="16"/>
              </w:rPr>
              <w:t>Kiểu gen</w:t>
            </w:r>
          </w:p>
        </w:tc>
        <w:tc>
          <w:tcPr>
            <w:tcW w:w="2027" w:type="dxa"/>
            <w:shd w:val="clear" w:color="auto" w:fill="C5BBDD"/>
          </w:tcPr>
          <w:p>
            <w:pPr>
              <w:pStyle w:val="TableParagraph"/>
              <w:spacing w:before="47"/>
              <w:rPr>
                <w:b/>
                <w:sz w:val="16"/>
              </w:rPr>
            </w:pPr>
            <w:r>
              <w:rPr>
                <w:b/>
                <w:color w:val="1C1C1A"/>
                <w:sz w:val="16"/>
              </w:rPr>
              <w:t>Kháng nguyên</w:t>
            </w:r>
          </w:p>
        </w:tc>
        <w:tc>
          <w:tcPr>
            <w:tcW w:w="2027" w:type="dxa"/>
            <w:shd w:val="clear" w:color="auto" w:fill="C5BBDD"/>
          </w:tcPr>
          <w:p>
            <w:pPr>
              <w:pStyle w:val="TableParagraph"/>
              <w:spacing w:before="47"/>
              <w:rPr>
                <w:b/>
                <w:sz w:val="16"/>
              </w:rPr>
            </w:pPr>
            <w:r>
              <w:rPr>
                <w:b/>
                <w:color w:val="1C1C1A"/>
                <w:sz w:val="16"/>
              </w:rPr>
              <w:t>Kháng thể</w:t>
            </w:r>
          </w:p>
        </w:tc>
        <w:tc>
          <w:tcPr>
            <w:tcW w:w="2027" w:type="dxa"/>
            <w:shd w:val="clear" w:color="auto" w:fill="C5BBDD"/>
          </w:tcPr>
          <w:p>
            <w:pPr>
              <w:pStyle w:val="TableParagraph"/>
              <w:spacing w:before="47"/>
              <w:rPr>
                <w:b/>
                <w:sz w:val="16"/>
              </w:rPr>
            </w:pPr>
            <w:r>
              <w:rPr>
                <w:b/>
                <w:color w:val="1C1C1A"/>
                <w:sz w:val="16"/>
              </w:rPr>
              <w:t>Tần suất (%)</w:t>
            </w:r>
          </w:p>
        </w:tc>
      </w:tr>
      <w:tr>
        <w:trPr>
          <w:trHeight w:val="294" w:hRule="atLeast"/>
        </w:trPr>
        <w:tc>
          <w:tcPr>
            <w:tcW w:w="2027" w:type="dxa"/>
            <w:tcBorders>
              <w:left w:val="nil"/>
            </w:tcBorders>
            <w:shd w:val="clear" w:color="auto" w:fill="E6E1D2"/>
          </w:tcPr>
          <w:p>
            <w:pPr>
              <w:pStyle w:val="TableParagraph"/>
              <w:ind w:left="79"/>
              <w:rPr>
                <w:sz w:val="16"/>
              </w:rPr>
            </w:pPr>
            <w:r>
              <w:rPr>
                <w:color w:val="1C1C1A"/>
                <w:w w:val="99"/>
                <w:sz w:val="16"/>
              </w:rPr>
              <w:t>O</w:t>
            </w:r>
          </w:p>
        </w:tc>
        <w:tc>
          <w:tcPr>
            <w:tcW w:w="2027" w:type="dxa"/>
            <w:shd w:val="clear" w:color="auto" w:fill="E6E1D2"/>
          </w:tcPr>
          <w:p>
            <w:pPr>
              <w:pStyle w:val="TableParagraph"/>
              <w:spacing w:before="47"/>
              <w:rPr>
                <w:sz w:val="16"/>
              </w:rPr>
            </w:pPr>
            <w:r>
              <w:rPr>
                <w:color w:val="1C1C1A"/>
                <w:sz w:val="16"/>
              </w:rPr>
              <w:t>OO</w:t>
            </w:r>
          </w:p>
        </w:tc>
        <w:tc>
          <w:tcPr>
            <w:tcW w:w="2027" w:type="dxa"/>
            <w:shd w:val="clear" w:color="auto" w:fill="E6E1D2"/>
          </w:tcPr>
          <w:p>
            <w:pPr>
              <w:pStyle w:val="TableParagraph"/>
              <w:rPr>
                <w:sz w:val="16"/>
              </w:rPr>
            </w:pPr>
            <w:r>
              <w:rPr>
                <w:color w:val="1C1C1A"/>
                <w:w w:val="99"/>
                <w:sz w:val="16"/>
              </w:rPr>
              <w:t>O</w:t>
            </w:r>
          </w:p>
        </w:tc>
        <w:tc>
          <w:tcPr>
            <w:tcW w:w="2027" w:type="dxa"/>
            <w:shd w:val="clear" w:color="auto" w:fill="E6E1D2"/>
          </w:tcPr>
          <w:p>
            <w:pPr>
              <w:pStyle w:val="TableParagraph"/>
              <w:spacing w:before="47"/>
              <w:rPr>
                <w:sz w:val="16"/>
              </w:rPr>
            </w:pPr>
            <w:r>
              <w:rPr>
                <w:color w:val="1C1C1A"/>
                <w:sz w:val="16"/>
              </w:rPr>
              <w:t>Anti-A, anti-B</w:t>
            </w:r>
          </w:p>
        </w:tc>
        <w:tc>
          <w:tcPr>
            <w:tcW w:w="2027" w:type="dxa"/>
            <w:shd w:val="clear" w:color="auto" w:fill="E6E1D2"/>
          </w:tcPr>
          <w:p>
            <w:pPr>
              <w:pStyle w:val="TableParagraph"/>
              <w:spacing w:before="47"/>
              <w:rPr>
                <w:sz w:val="16"/>
              </w:rPr>
            </w:pPr>
            <w:r>
              <w:rPr>
                <w:color w:val="1C1C1A"/>
                <w:sz w:val="16"/>
              </w:rPr>
              <w:t>46</w:t>
            </w:r>
          </w:p>
        </w:tc>
      </w:tr>
      <w:tr>
        <w:trPr>
          <w:trHeight w:val="294" w:hRule="atLeast"/>
        </w:trPr>
        <w:tc>
          <w:tcPr>
            <w:tcW w:w="2027" w:type="dxa"/>
            <w:tcBorders>
              <w:left w:val="nil"/>
            </w:tcBorders>
            <w:shd w:val="clear" w:color="auto" w:fill="E6E1D2"/>
          </w:tcPr>
          <w:p>
            <w:pPr>
              <w:pStyle w:val="TableParagraph"/>
              <w:ind w:left="79"/>
              <w:rPr>
                <w:sz w:val="16"/>
              </w:rPr>
            </w:pPr>
            <w:r>
              <w:rPr>
                <w:color w:val="1C1C1A"/>
                <w:w w:val="99"/>
                <w:sz w:val="16"/>
              </w:rPr>
              <w:t>A</w:t>
            </w:r>
          </w:p>
        </w:tc>
        <w:tc>
          <w:tcPr>
            <w:tcW w:w="2027" w:type="dxa"/>
            <w:shd w:val="clear" w:color="auto" w:fill="E6E1D2"/>
          </w:tcPr>
          <w:p>
            <w:pPr>
              <w:pStyle w:val="TableParagraph"/>
              <w:spacing w:before="47"/>
              <w:rPr>
                <w:sz w:val="16"/>
              </w:rPr>
            </w:pPr>
            <w:r>
              <w:rPr>
                <w:color w:val="1C1C1A"/>
                <w:sz w:val="16"/>
              </w:rPr>
              <w:t>AA hoặc AO</w:t>
            </w:r>
          </w:p>
        </w:tc>
        <w:tc>
          <w:tcPr>
            <w:tcW w:w="2027" w:type="dxa"/>
            <w:shd w:val="clear" w:color="auto" w:fill="E6E1D2"/>
          </w:tcPr>
          <w:p>
            <w:pPr>
              <w:pStyle w:val="TableParagraph"/>
              <w:rPr>
                <w:sz w:val="16"/>
              </w:rPr>
            </w:pPr>
            <w:r>
              <w:rPr>
                <w:color w:val="1C1C1A"/>
                <w:w w:val="99"/>
                <w:sz w:val="16"/>
              </w:rPr>
              <w:t>A</w:t>
            </w:r>
          </w:p>
        </w:tc>
        <w:tc>
          <w:tcPr>
            <w:tcW w:w="2027" w:type="dxa"/>
            <w:shd w:val="clear" w:color="auto" w:fill="E6E1D2"/>
          </w:tcPr>
          <w:p>
            <w:pPr>
              <w:pStyle w:val="TableParagraph"/>
              <w:spacing w:before="47"/>
              <w:rPr>
                <w:sz w:val="16"/>
              </w:rPr>
            </w:pPr>
            <w:r>
              <w:rPr>
                <w:color w:val="1C1C1A"/>
                <w:sz w:val="16"/>
              </w:rPr>
              <w:t>Anti-B</w:t>
            </w:r>
          </w:p>
        </w:tc>
        <w:tc>
          <w:tcPr>
            <w:tcW w:w="2027" w:type="dxa"/>
            <w:shd w:val="clear" w:color="auto" w:fill="E6E1D2"/>
          </w:tcPr>
          <w:p>
            <w:pPr>
              <w:pStyle w:val="TableParagraph"/>
              <w:spacing w:before="47"/>
              <w:rPr>
                <w:sz w:val="16"/>
              </w:rPr>
            </w:pPr>
            <w:r>
              <w:rPr>
                <w:color w:val="1C1C1A"/>
                <w:sz w:val="16"/>
              </w:rPr>
              <w:t>42</w:t>
            </w:r>
          </w:p>
        </w:tc>
      </w:tr>
      <w:tr>
        <w:trPr>
          <w:trHeight w:val="294" w:hRule="atLeast"/>
        </w:trPr>
        <w:tc>
          <w:tcPr>
            <w:tcW w:w="2027" w:type="dxa"/>
            <w:tcBorders>
              <w:left w:val="nil"/>
            </w:tcBorders>
            <w:shd w:val="clear" w:color="auto" w:fill="E6E1D2"/>
          </w:tcPr>
          <w:p>
            <w:pPr>
              <w:pStyle w:val="TableParagraph"/>
              <w:ind w:left="79"/>
              <w:rPr>
                <w:sz w:val="16"/>
              </w:rPr>
            </w:pPr>
            <w:r>
              <w:rPr>
                <w:color w:val="1C1C1A"/>
                <w:w w:val="99"/>
                <w:sz w:val="16"/>
              </w:rPr>
              <w:t>B</w:t>
            </w:r>
          </w:p>
        </w:tc>
        <w:tc>
          <w:tcPr>
            <w:tcW w:w="2027" w:type="dxa"/>
            <w:shd w:val="clear" w:color="auto" w:fill="E6E1D2"/>
          </w:tcPr>
          <w:p>
            <w:pPr>
              <w:pStyle w:val="TableParagraph"/>
              <w:spacing w:before="47"/>
              <w:rPr>
                <w:sz w:val="16"/>
              </w:rPr>
            </w:pPr>
            <w:r>
              <w:rPr>
                <w:color w:val="1C1C1A"/>
                <w:sz w:val="16"/>
              </w:rPr>
              <w:t>BB hoặc BO</w:t>
            </w:r>
          </w:p>
        </w:tc>
        <w:tc>
          <w:tcPr>
            <w:tcW w:w="2027" w:type="dxa"/>
            <w:shd w:val="clear" w:color="auto" w:fill="E6E1D2"/>
          </w:tcPr>
          <w:p>
            <w:pPr>
              <w:pStyle w:val="TableParagraph"/>
              <w:rPr>
                <w:sz w:val="16"/>
              </w:rPr>
            </w:pPr>
            <w:r>
              <w:rPr>
                <w:color w:val="1C1C1A"/>
                <w:w w:val="99"/>
                <w:sz w:val="16"/>
              </w:rPr>
              <w:t>B</w:t>
            </w:r>
          </w:p>
        </w:tc>
        <w:tc>
          <w:tcPr>
            <w:tcW w:w="2027" w:type="dxa"/>
            <w:shd w:val="clear" w:color="auto" w:fill="E6E1D2"/>
          </w:tcPr>
          <w:p>
            <w:pPr>
              <w:pStyle w:val="TableParagraph"/>
              <w:spacing w:before="47"/>
              <w:rPr>
                <w:sz w:val="16"/>
              </w:rPr>
            </w:pPr>
            <w:r>
              <w:rPr>
                <w:color w:val="1C1C1A"/>
                <w:sz w:val="16"/>
              </w:rPr>
              <w:t>Anti-A</w:t>
            </w:r>
          </w:p>
        </w:tc>
        <w:tc>
          <w:tcPr>
            <w:tcW w:w="2027" w:type="dxa"/>
            <w:shd w:val="clear" w:color="auto" w:fill="E6E1D2"/>
          </w:tcPr>
          <w:p>
            <w:pPr>
              <w:pStyle w:val="TableParagraph"/>
              <w:spacing w:before="47"/>
              <w:rPr>
                <w:sz w:val="16"/>
              </w:rPr>
            </w:pPr>
            <w:r>
              <w:rPr>
                <w:color w:val="1C1C1A"/>
                <w:sz w:val="16"/>
              </w:rPr>
              <w:t>9</w:t>
            </w:r>
          </w:p>
        </w:tc>
      </w:tr>
      <w:tr>
        <w:trPr>
          <w:trHeight w:val="293" w:hRule="atLeast"/>
        </w:trPr>
        <w:tc>
          <w:tcPr>
            <w:tcW w:w="2027" w:type="dxa"/>
            <w:tcBorders>
              <w:left w:val="nil"/>
            </w:tcBorders>
            <w:shd w:val="clear" w:color="auto" w:fill="E6E1D2"/>
          </w:tcPr>
          <w:p>
            <w:pPr>
              <w:pStyle w:val="TableParagraph"/>
              <w:ind w:left="79"/>
              <w:rPr>
                <w:sz w:val="16"/>
              </w:rPr>
            </w:pPr>
            <w:r>
              <w:rPr>
                <w:color w:val="1C1C1A"/>
                <w:sz w:val="16"/>
              </w:rPr>
              <w:t>AB</w:t>
            </w:r>
          </w:p>
        </w:tc>
        <w:tc>
          <w:tcPr>
            <w:tcW w:w="2027" w:type="dxa"/>
            <w:shd w:val="clear" w:color="auto" w:fill="E6E1D2"/>
          </w:tcPr>
          <w:p>
            <w:pPr>
              <w:pStyle w:val="TableParagraph"/>
              <w:spacing w:before="47"/>
              <w:rPr>
                <w:sz w:val="16"/>
              </w:rPr>
            </w:pPr>
            <w:r>
              <w:rPr>
                <w:color w:val="1C1C1A"/>
                <w:sz w:val="16"/>
              </w:rPr>
              <w:t>AB</w:t>
            </w:r>
          </w:p>
        </w:tc>
        <w:tc>
          <w:tcPr>
            <w:tcW w:w="2027" w:type="dxa"/>
            <w:shd w:val="clear" w:color="auto" w:fill="E6E1D2"/>
          </w:tcPr>
          <w:p>
            <w:pPr>
              <w:pStyle w:val="TableParagraph"/>
              <w:rPr>
                <w:sz w:val="16"/>
              </w:rPr>
            </w:pPr>
            <w:r>
              <w:rPr>
                <w:color w:val="1C1C1A"/>
                <w:sz w:val="16"/>
              </w:rPr>
              <w:t>AB</w:t>
            </w:r>
          </w:p>
        </w:tc>
        <w:tc>
          <w:tcPr>
            <w:tcW w:w="2027" w:type="dxa"/>
            <w:shd w:val="clear" w:color="auto" w:fill="E6E1D2"/>
          </w:tcPr>
          <w:p>
            <w:pPr>
              <w:pStyle w:val="TableParagraph"/>
              <w:spacing w:before="47"/>
              <w:rPr>
                <w:sz w:val="16"/>
              </w:rPr>
            </w:pPr>
            <w:r>
              <w:rPr>
                <w:color w:val="1C1C1A"/>
                <w:sz w:val="16"/>
              </w:rPr>
              <w:t>Không có</w:t>
            </w:r>
          </w:p>
        </w:tc>
        <w:tc>
          <w:tcPr>
            <w:tcW w:w="2027" w:type="dxa"/>
            <w:shd w:val="clear" w:color="auto" w:fill="E6E1D2"/>
          </w:tcPr>
          <w:p>
            <w:pPr>
              <w:pStyle w:val="TableParagraph"/>
              <w:spacing w:before="47"/>
              <w:rPr>
                <w:sz w:val="16"/>
              </w:rPr>
            </w:pPr>
            <w:r>
              <w:rPr>
                <w:color w:val="1C1C1A"/>
                <w:sz w:val="16"/>
              </w:rPr>
              <w:t>3</w:t>
            </w:r>
          </w:p>
        </w:tc>
      </w:tr>
    </w:tbl>
    <w:p>
      <w:pPr>
        <w:pStyle w:val="BodyText"/>
      </w:pPr>
    </w:p>
    <w:p>
      <w:pPr>
        <w:spacing w:after="0"/>
        <w:sectPr>
          <w:headerReference w:type="even" r:id="rId11"/>
          <w:pgSz w:w="12070" w:h="15650"/>
          <w:pgMar w:header="0" w:footer="0" w:top="960" w:bottom="280" w:left="0" w:right="0"/>
          <w:pgNumType w:start="22"/>
        </w:sectPr>
      </w:pPr>
    </w:p>
    <w:p>
      <w:pPr>
        <w:pStyle w:val="BodyText"/>
        <w:spacing w:before="11"/>
      </w:pPr>
    </w:p>
    <w:p>
      <w:pPr>
        <w:pStyle w:val="Heading3"/>
        <w:ind w:left="905"/>
        <w:rPr>
          <w:i/>
        </w:rPr>
      </w:pPr>
      <w:r>
        <w:rPr>
          <w:i/>
          <w:color w:val="8C91A1"/>
        </w:rPr>
        <w:t>Hệ rhesus</w:t>
      </w:r>
    </w:p>
    <w:p>
      <w:pPr>
        <w:pStyle w:val="BodyText"/>
        <w:spacing w:line="216" w:lineRule="auto" w:before="33"/>
        <w:ind w:left="905" w:right="-1"/>
      </w:pPr>
      <w:r>
        <w:rPr>
          <w:color w:val="1C1C1A"/>
        </w:rPr>
        <w:t>Kháng nguyên rhesus D (Rh(D)) có tính kháng nguyên mạnh và tồn tại trong khoảng 85% dân số nước Anh. Các kháng thể đối kháng với kháng nguyên D không hiện diện tự nhiên trong huyết thanh ở 15% dân số còn lại, nhưng chúng có thể được hình thành bởi việc truyền các tế bào hồng cầu Rh dương, hoặc có được thông qua quá trình sinh con Rh(D) dương.</w:t>
      </w:r>
    </w:p>
    <w:p>
      <w:pPr>
        <w:pStyle w:val="BodyText"/>
        <w:spacing w:line="216" w:lineRule="auto" w:before="6"/>
        <w:ind w:left="905" w:right="139" w:firstLine="283"/>
      </w:pPr>
      <w:r>
        <w:rPr>
          <w:color w:val="1C1C1A"/>
        </w:rPr>
        <w:t>Các kháng thể thu được có khả năng đi qua nhau thai trong thời kỳ mang thai và nếu người mẹ mang Rh(D) âm, có thể gây thiếu máu tan máu nặng và thậm chí tử vong (phù thai) với thai nhi Rh(D) dương </w:t>
      </w:r>
      <w:r>
        <w:rPr>
          <w:i/>
          <w:color w:val="1C1C1A"/>
        </w:rPr>
        <w:t>trong tử cung</w:t>
      </w:r>
      <w:r>
        <w:rPr>
          <w:color w:val="1C1C1A"/>
        </w:rPr>
        <w:t>. Các kháng nguyên nhóm máu nhỏ khác có thể liên kết với kháng thể tự nhiên, hoặc có thể kích thích hình thành kháng thể nhưng trong những trường hợp tương đối hiếm gặp.</w:t>
      </w:r>
    </w:p>
    <w:p>
      <w:pPr>
        <w:pStyle w:val="BodyText"/>
        <w:spacing w:before="10"/>
        <w:rPr>
          <w:sz w:val="24"/>
        </w:rPr>
      </w:pPr>
    </w:p>
    <w:p>
      <w:pPr>
        <w:pStyle w:val="Heading2"/>
      </w:pPr>
      <w:r>
        <w:rPr>
          <w:color w:val="7E8597"/>
        </w:rPr>
        <w:t>Phản ứng truyền máu</w:t>
      </w:r>
    </w:p>
    <w:p>
      <w:pPr>
        <w:pStyle w:val="BodyText"/>
        <w:spacing w:line="216" w:lineRule="auto" w:before="82"/>
        <w:ind w:left="905" w:right="10"/>
      </w:pPr>
      <w:r>
        <w:rPr>
          <w:color w:val="1C1C1A"/>
        </w:rPr>
        <w:t>Nếu các kháng thể có trong huyết thanh của người nhận không tương thích với tế bào máu của người hiến tặng, phản ứng truyền máu sẽ xảy ra. Quá trình trên thường xảy ra dưới dạng một phản ứng tan máu cấp tính. Phản ứng truyền máu nghiêm trọng liên quan đến miễn dịch qua bổ thể do không tương thích hệ ABO dẫn đến tan máu nội mạch có thể gây tử vong và suy đa tạng. Các phản ứng truyền máu từ hệ thống kháng nguyên khác thường nhẹ hơn và tự hồi phục.</w:t>
      </w:r>
    </w:p>
    <w:p>
      <w:pPr>
        <w:pStyle w:val="BodyText"/>
        <w:spacing w:line="216" w:lineRule="auto" w:before="8"/>
        <w:ind w:left="905" w:right="53" w:firstLine="283"/>
      </w:pPr>
      <w:r>
        <w:rPr>
          <w:color w:val="1C1C1A"/>
        </w:rPr>
        <w:t>Phản ứng sốt sau truyền máu nhưng không gây tan máu thường do phản ứng của bạch cầu trong các thành phần được truyền. Những biểu hiện của phản ứng này là sốt, ớn lạnh và đơ cứng. Việc truyền máu nên được ngừng ngày lập tức. Dạng phản ứng truyền máu này hiếm khi xảy ra với máu loại bỏ bạch cầu.</w:t>
      </w:r>
    </w:p>
    <w:p>
      <w:pPr>
        <w:pStyle w:val="BodyText"/>
        <w:spacing w:before="8"/>
        <w:rPr>
          <w:sz w:val="24"/>
        </w:rPr>
      </w:pPr>
    </w:p>
    <w:p>
      <w:pPr>
        <w:pStyle w:val="Heading2"/>
      </w:pPr>
      <w:r>
        <w:rPr>
          <w:color w:val="7E8597"/>
        </w:rPr>
        <w:t>Phù hợp chéo</w:t>
      </w:r>
    </w:p>
    <w:p>
      <w:pPr>
        <w:pStyle w:val="BodyText"/>
        <w:spacing w:line="216" w:lineRule="auto" w:before="82"/>
        <w:ind w:left="905" w:right="-8"/>
      </w:pPr>
      <w:r>
        <w:rPr>
          <w:color w:val="1C1C1A"/>
        </w:rPr>
        <w:t>Để ngăn ngừa phản ứng truyền máu, tất cả các lần truyền đều được thực hiện kiểm tra tương thích máu người cho và người nhận với hệ ABO và rhesus. Huyết thanh người nhận được</w:t>
      </w:r>
      <w:r>
        <w:rPr>
          <w:color w:val="1C1C1A"/>
          <w:spacing w:val="-13"/>
        </w:rPr>
        <w:t> </w:t>
      </w:r>
      <w:r>
        <w:rPr>
          <w:color w:val="1C1C1A"/>
        </w:rPr>
        <w:t>trộn với tế bào hồng cầu người hiến tặng để xác định khả năng tương thích ABO, rhesus và bất kỳ phản ứng kháng nguyên - kháng thể nào</w:t>
      </w:r>
      <w:r>
        <w:rPr>
          <w:color w:val="1C1C1A"/>
          <w:spacing w:val="-2"/>
        </w:rPr>
        <w:t> </w:t>
      </w:r>
      <w:r>
        <w:rPr>
          <w:color w:val="1C1C1A"/>
        </w:rPr>
        <w:t>khác.</w:t>
      </w:r>
    </w:p>
    <w:p>
      <w:pPr>
        <w:pStyle w:val="BodyText"/>
        <w:spacing w:line="216" w:lineRule="auto" w:before="6"/>
        <w:ind w:left="905" w:right="-10" w:firstLine="283"/>
      </w:pPr>
      <w:r>
        <w:rPr>
          <w:color w:val="1C1C1A"/>
        </w:rPr>
        <w:t>Viêc lấy máu làm phù hợp chéo đầy đủ có thể mất đến 45 phút ở hầu hết các phòng thí nghiệm. Trong tình huống khẩn cấp, 'loại máu cụ thể' được sử dụng, phù hợp với hệ ABO/rhesus và được truyền trong vòng 10-15 phút. Trong trường hợp cần phải truyền khẩn cấp, nhóm máu O (người hiến tặng phổ thông) được sử dụng (O- cho phụ nữ, O+ cho nam).</w:t>
      </w:r>
    </w:p>
    <w:p>
      <w:pPr>
        <w:pStyle w:val="BodyText"/>
        <w:spacing w:line="184" w:lineRule="exact"/>
        <w:ind w:left="1188"/>
      </w:pPr>
      <w:r>
        <w:rPr>
          <w:color w:val="1C1C1A"/>
        </w:rPr>
        <w:t>Khi được chỉ định truyền máu và truyền máu được chấp</w:t>
      </w:r>
    </w:p>
    <w:p>
      <w:pPr>
        <w:pStyle w:val="BodyText"/>
        <w:spacing w:line="216" w:lineRule="auto" w:before="8"/>
        <w:ind w:left="905" w:right="10"/>
      </w:pPr>
      <w:r>
        <w:rPr>
          <w:color w:val="1C1C1A"/>
        </w:rPr>
        <w:t>nhận, bệnh nhân cần được truyền máu đúng cách. Hai nhân viên y tế nên kiểm tra chi tiết chỉ định truyền máu ở bệnh nhân</w:t>
      </w:r>
    </w:p>
    <w:p>
      <w:pPr>
        <w:pStyle w:val="BodyText"/>
        <w:spacing w:before="2"/>
        <w:rPr>
          <w:sz w:val="21"/>
        </w:rPr>
      </w:pPr>
      <w:r>
        <w:rPr/>
        <w:br w:type="column"/>
      </w:r>
      <w:r>
        <w:rPr>
          <w:sz w:val="21"/>
        </w:rPr>
      </w:r>
    </w:p>
    <w:p>
      <w:pPr>
        <w:pStyle w:val="BodyText"/>
        <w:spacing w:line="223" w:lineRule="auto" w:before="1"/>
        <w:ind w:left="99" w:right="999"/>
      </w:pPr>
      <w:r>
        <w:rPr>
          <w:color w:val="1C1C1A"/>
        </w:rPr>
        <w:t>với nhãn của máu được hiến. Ngoài ra, số thứ tự máu của người hiến cũng cần được đối chiếu với phiếu cấp cho bệnh nhân. Miễn là các nguyên tắc này được tuân thủ nghiêm ngặt, sẽ giảm thiểu số lượng phản ứng truyền máu nghiêm trọng hệ ABO và giảm tình trạng tử vong.</w:t>
      </w:r>
    </w:p>
    <w:p>
      <w:pPr>
        <w:pStyle w:val="BodyText"/>
        <w:spacing w:before="2"/>
        <w:rPr>
          <w:sz w:val="24"/>
        </w:rPr>
      </w:pPr>
    </w:p>
    <w:p>
      <w:pPr>
        <w:pStyle w:val="Heading2"/>
        <w:ind w:left="99"/>
      </w:pPr>
      <w:r>
        <w:rPr>
          <w:color w:val="7E8597"/>
        </w:rPr>
        <w:t>Các biến chứng của truyền máu</w:t>
      </w:r>
    </w:p>
    <w:p>
      <w:pPr>
        <w:pStyle w:val="BodyText"/>
        <w:spacing w:line="223" w:lineRule="auto" w:before="82"/>
        <w:ind w:left="99" w:right="1079"/>
      </w:pPr>
      <w:r>
        <w:rPr>
          <w:color w:val="1C1C1A"/>
        </w:rPr>
        <w:t>Các biến chứng do truyền máu có thể được phân loại thành những biến chứng phát sinh từ truyền máu một lần và những biến chứng liên quan đến truyền máu lượng</w:t>
      </w:r>
      <w:r>
        <w:rPr>
          <w:color w:val="1C1C1A"/>
          <w:spacing w:val="-9"/>
        </w:rPr>
        <w:t> </w:t>
      </w:r>
      <w:r>
        <w:rPr>
          <w:color w:val="1C1C1A"/>
        </w:rPr>
        <w:t>lớn.</w:t>
      </w:r>
    </w:p>
    <w:p>
      <w:pPr>
        <w:pStyle w:val="Heading3"/>
        <w:spacing w:before="148"/>
        <w:ind w:left="99"/>
        <w:rPr>
          <w:i/>
        </w:rPr>
      </w:pPr>
      <w:r>
        <w:rPr>
          <w:i/>
          <w:color w:val="8C91A1"/>
        </w:rPr>
        <w:t>Các biến chứng do truyền máu một</w:t>
      </w:r>
      <w:r>
        <w:rPr>
          <w:i/>
          <w:color w:val="8C91A1"/>
          <w:spacing w:val="-23"/>
        </w:rPr>
        <w:t> </w:t>
      </w:r>
      <w:r>
        <w:rPr>
          <w:i/>
          <w:color w:val="8C91A1"/>
        </w:rPr>
        <w:t>lần</w:t>
      </w:r>
    </w:p>
    <w:p>
      <w:pPr>
        <w:pStyle w:val="BodyText"/>
        <w:spacing w:before="19"/>
        <w:ind w:left="99"/>
      </w:pPr>
      <w:r>
        <w:rPr>
          <w:color w:val="1C1C1A"/>
        </w:rPr>
        <w:t>Các biến chứng do truyền máu một lần bao</w:t>
      </w:r>
      <w:r>
        <w:rPr>
          <w:color w:val="1C1C1A"/>
          <w:spacing w:val="-14"/>
        </w:rPr>
        <w:t> </w:t>
      </w:r>
      <w:r>
        <w:rPr>
          <w:color w:val="1C1C1A"/>
        </w:rPr>
        <w:t>gồm:</w:t>
      </w:r>
    </w:p>
    <w:p>
      <w:pPr>
        <w:pStyle w:val="ListParagraph"/>
        <w:numPr>
          <w:ilvl w:val="0"/>
          <w:numId w:val="4"/>
        </w:numPr>
        <w:tabs>
          <w:tab w:pos="359" w:val="left" w:leader="none"/>
        </w:tabs>
        <w:spacing w:line="220" w:lineRule="exact" w:before="98" w:after="0"/>
        <w:ind w:left="358" w:right="0" w:hanging="260"/>
        <w:jc w:val="left"/>
        <w:rPr>
          <w:sz w:val="20"/>
        </w:rPr>
      </w:pPr>
      <w:r>
        <w:rPr>
          <w:color w:val="1C1C1A"/>
          <w:sz w:val="20"/>
        </w:rPr>
        <w:t>phản ứng truyền máu không tương</w:t>
      </w:r>
      <w:r>
        <w:rPr>
          <w:color w:val="1C1C1A"/>
          <w:spacing w:val="-17"/>
          <w:sz w:val="20"/>
        </w:rPr>
        <w:t> </w:t>
      </w:r>
      <w:r>
        <w:rPr>
          <w:color w:val="1C1C1A"/>
          <w:sz w:val="20"/>
        </w:rPr>
        <w:t>thích;</w:t>
      </w:r>
    </w:p>
    <w:p>
      <w:pPr>
        <w:pStyle w:val="ListParagraph"/>
        <w:numPr>
          <w:ilvl w:val="0"/>
          <w:numId w:val="4"/>
        </w:numPr>
        <w:tabs>
          <w:tab w:pos="359" w:val="left" w:leader="none"/>
        </w:tabs>
        <w:spacing w:line="212" w:lineRule="exact" w:before="0" w:after="0"/>
        <w:ind w:left="358" w:right="0" w:hanging="260"/>
        <w:jc w:val="left"/>
        <w:rPr>
          <w:sz w:val="20"/>
        </w:rPr>
      </w:pPr>
      <w:r>
        <w:rPr>
          <w:color w:val="1C1C1A"/>
          <w:sz w:val="20"/>
        </w:rPr>
        <w:t>phản ứng sốt sau truyền</w:t>
      </w:r>
      <w:r>
        <w:rPr>
          <w:color w:val="1C1C1A"/>
          <w:spacing w:val="-5"/>
          <w:sz w:val="20"/>
        </w:rPr>
        <w:t> </w:t>
      </w:r>
      <w:r>
        <w:rPr>
          <w:color w:val="1C1C1A"/>
          <w:sz w:val="20"/>
        </w:rPr>
        <w:t>máu;</w:t>
      </w:r>
    </w:p>
    <w:p>
      <w:pPr>
        <w:pStyle w:val="ListParagraph"/>
        <w:numPr>
          <w:ilvl w:val="0"/>
          <w:numId w:val="4"/>
        </w:numPr>
        <w:tabs>
          <w:tab w:pos="359" w:val="left" w:leader="none"/>
        </w:tabs>
        <w:spacing w:line="213" w:lineRule="exact" w:before="0" w:after="0"/>
        <w:ind w:left="358" w:right="0" w:hanging="260"/>
        <w:jc w:val="left"/>
        <w:rPr>
          <w:sz w:val="20"/>
        </w:rPr>
      </w:pPr>
      <w:r>
        <w:rPr>
          <w:color w:val="1C1C1A"/>
          <w:sz w:val="20"/>
        </w:rPr>
        <w:t>dị</w:t>
      </w:r>
      <w:r>
        <w:rPr>
          <w:color w:val="1C1C1A"/>
          <w:spacing w:val="-2"/>
          <w:sz w:val="20"/>
        </w:rPr>
        <w:t> </w:t>
      </w:r>
      <w:r>
        <w:rPr>
          <w:color w:val="1C1C1A"/>
          <w:sz w:val="20"/>
        </w:rPr>
        <w:t>ứng;</w:t>
      </w:r>
    </w:p>
    <w:p>
      <w:pPr>
        <w:pStyle w:val="ListParagraph"/>
        <w:numPr>
          <w:ilvl w:val="0"/>
          <w:numId w:val="4"/>
        </w:numPr>
        <w:tabs>
          <w:tab w:pos="359" w:val="left" w:leader="none"/>
        </w:tabs>
        <w:spacing w:line="214" w:lineRule="exact" w:before="0" w:after="0"/>
        <w:ind w:left="358" w:right="0" w:hanging="260"/>
        <w:jc w:val="left"/>
        <w:rPr>
          <w:sz w:val="20"/>
        </w:rPr>
      </w:pPr>
      <w:r>
        <w:rPr>
          <w:color w:val="1C1C1A"/>
          <w:sz w:val="20"/>
        </w:rPr>
        <w:t>nhiễm</w:t>
      </w:r>
      <w:r>
        <w:rPr>
          <w:color w:val="1C1C1A"/>
          <w:spacing w:val="-2"/>
          <w:sz w:val="20"/>
        </w:rPr>
        <w:t> </w:t>
      </w:r>
      <w:r>
        <w:rPr>
          <w:color w:val="1C1C1A"/>
          <w:sz w:val="20"/>
        </w:rPr>
        <w:t>trùng:</w:t>
      </w:r>
    </w:p>
    <w:p>
      <w:pPr>
        <w:pStyle w:val="ListParagraph"/>
        <w:numPr>
          <w:ilvl w:val="1"/>
          <w:numId w:val="4"/>
        </w:numPr>
        <w:tabs>
          <w:tab w:pos="643" w:val="left" w:leader="none"/>
        </w:tabs>
        <w:spacing w:line="214" w:lineRule="exact" w:before="0" w:after="0"/>
        <w:ind w:left="642" w:right="0" w:hanging="260"/>
        <w:jc w:val="left"/>
        <w:rPr>
          <w:sz w:val="20"/>
        </w:rPr>
      </w:pPr>
      <w:r>
        <w:rPr>
          <w:color w:val="1C1C1A"/>
          <w:sz w:val="20"/>
        </w:rPr>
        <w:t>nhiễm khuẩn (thường do lỗi bảo</w:t>
      </w:r>
      <w:r>
        <w:rPr>
          <w:color w:val="1C1C1A"/>
          <w:spacing w:val="-2"/>
          <w:sz w:val="20"/>
        </w:rPr>
        <w:t> </w:t>
      </w:r>
      <w:r>
        <w:rPr>
          <w:color w:val="1C1C1A"/>
          <w:sz w:val="20"/>
        </w:rPr>
        <w:t>quản);</w:t>
      </w:r>
    </w:p>
    <w:p>
      <w:pPr>
        <w:pStyle w:val="ListParagraph"/>
        <w:numPr>
          <w:ilvl w:val="1"/>
          <w:numId w:val="4"/>
        </w:numPr>
        <w:tabs>
          <w:tab w:pos="643" w:val="left" w:leader="none"/>
        </w:tabs>
        <w:spacing w:line="213" w:lineRule="exact" w:before="0" w:after="0"/>
        <w:ind w:left="642" w:right="0" w:hanging="260"/>
        <w:jc w:val="left"/>
        <w:rPr>
          <w:sz w:val="20"/>
        </w:rPr>
      </w:pPr>
      <w:r>
        <w:rPr>
          <w:color w:val="1C1C1A"/>
          <w:sz w:val="20"/>
        </w:rPr>
        <w:t>viêm gan siêu</w:t>
      </w:r>
      <w:r>
        <w:rPr>
          <w:color w:val="1C1C1A"/>
          <w:spacing w:val="-1"/>
          <w:sz w:val="20"/>
        </w:rPr>
        <w:t> </w:t>
      </w:r>
      <w:r>
        <w:rPr>
          <w:color w:val="1C1C1A"/>
          <w:sz w:val="20"/>
        </w:rPr>
        <w:t>vi;</w:t>
      </w:r>
    </w:p>
    <w:p>
      <w:pPr>
        <w:pStyle w:val="ListParagraph"/>
        <w:numPr>
          <w:ilvl w:val="1"/>
          <w:numId w:val="4"/>
        </w:numPr>
        <w:tabs>
          <w:tab w:pos="643" w:val="left" w:leader="none"/>
        </w:tabs>
        <w:spacing w:line="213" w:lineRule="exact" w:before="0" w:after="0"/>
        <w:ind w:left="642" w:right="0" w:hanging="260"/>
        <w:jc w:val="left"/>
        <w:rPr>
          <w:sz w:val="20"/>
        </w:rPr>
      </w:pPr>
      <w:r>
        <w:rPr>
          <w:color w:val="1C1C1A"/>
          <w:sz w:val="20"/>
        </w:rPr>
        <w:t>HIV;</w:t>
      </w:r>
    </w:p>
    <w:p>
      <w:pPr>
        <w:pStyle w:val="ListParagraph"/>
        <w:numPr>
          <w:ilvl w:val="1"/>
          <w:numId w:val="4"/>
        </w:numPr>
        <w:tabs>
          <w:tab w:pos="643" w:val="left" w:leader="none"/>
        </w:tabs>
        <w:spacing w:line="213" w:lineRule="exact" w:before="0" w:after="0"/>
        <w:ind w:left="642" w:right="0" w:hanging="260"/>
        <w:jc w:val="left"/>
        <w:rPr>
          <w:sz w:val="20"/>
        </w:rPr>
      </w:pPr>
      <w:r>
        <w:rPr>
          <w:color w:val="1C1C1A"/>
          <w:sz w:val="20"/>
        </w:rPr>
        <w:t>sốt</w:t>
      </w:r>
      <w:r>
        <w:rPr>
          <w:color w:val="1C1C1A"/>
          <w:spacing w:val="-1"/>
          <w:sz w:val="20"/>
        </w:rPr>
        <w:t> </w:t>
      </w:r>
      <w:r>
        <w:rPr>
          <w:color w:val="1C1C1A"/>
          <w:sz w:val="20"/>
        </w:rPr>
        <w:t>rét;</w:t>
      </w:r>
    </w:p>
    <w:p>
      <w:pPr>
        <w:pStyle w:val="ListParagraph"/>
        <w:numPr>
          <w:ilvl w:val="0"/>
          <w:numId w:val="4"/>
        </w:numPr>
        <w:tabs>
          <w:tab w:pos="359" w:val="left" w:leader="none"/>
        </w:tabs>
        <w:spacing w:line="213" w:lineRule="exact" w:before="0" w:after="0"/>
        <w:ind w:left="358" w:right="0" w:hanging="260"/>
        <w:jc w:val="left"/>
        <w:rPr>
          <w:sz w:val="20"/>
        </w:rPr>
      </w:pPr>
      <w:r>
        <w:rPr>
          <w:color w:val="1C1C1A"/>
          <w:sz w:val="20"/>
        </w:rPr>
        <w:t>thuyên tắc</w:t>
      </w:r>
      <w:r>
        <w:rPr>
          <w:color w:val="1C1C1A"/>
          <w:spacing w:val="-3"/>
          <w:sz w:val="20"/>
        </w:rPr>
        <w:t> </w:t>
      </w:r>
      <w:r>
        <w:rPr>
          <w:color w:val="1C1C1A"/>
          <w:sz w:val="20"/>
        </w:rPr>
        <w:t>khí;</w:t>
      </w:r>
    </w:p>
    <w:p>
      <w:pPr>
        <w:pStyle w:val="ListParagraph"/>
        <w:numPr>
          <w:ilvl w:val="0"/>
          <w:numId w:val="4"/>
        </w:numPr>
        <w:tabs>
          <w:tab w:pos="359" w:val="left" w:leader="none"/>
        </w:tabs>
        <w:spacing w:line="213" w:lineRule="exact" w:before="0" w:after="0"/>
        <w:ind w:left="358" w:right="0" w:hanging="260"/>
        <w:jc w:val="left"/>
        <w:rPr>
          <w:sz w:val="20"/>
        </w:rPr>
      </w:pPr>
      <w:r>
        <w:rPr>
          <w:color w:val="1C1C1A"/>
          <w:sz w:val="20"/>
        </w:rPr>
        <w:t>viêm tắc</w:t>
      </w:r>
      <w:r>
        <w:rPr>
          <w:color w:val="1C1C1A"/>
          <w:spacing w:val="-6"/>
          <w:sz w:val="20"/>
        </w:rPr>
        <w:t> </w:t>
      </w:r>
      <w:r>
        <w:rPr>
          <w:color w:val="1C1C1A"/>
          <w:sz w:val="20"/>
        </w:rPr>
        <w:t>mạch;</w:t>
      </w:r>
    </w:p>
    <w:p>
      <w:pPr>
        <w:pStyle w:val="ListParagraph"/>
        <w:numPr>
          <w:ilvl w:val="0"/>
          <w:numId w:val="4"/>
        </w:numPr>
        <w:tabs>
          <w:tab w:pos="359" w:val="left" w:leader="none"/>
        </w:tabs>
        <w:spacing w:line="221" w:lineRule="exact" w:before="0" w:after="0"/>
        <w:ind w:left="358" w:right="0" w:hanging="260"/>
        <w:jc w:val="left"/>
        <w:rPr>
          <w:sz w:val="20"/>
        </w:rPr>
      </w:pPr>
      <w:r>
        <w:rPr>
          <w:color w:val="1C1C1A"/>
          <w:sz w:val="20"/>
        </w:rPr>
        <w:t>tổn thương phổi do truyền máu (thường do</w:t>
      </w:r>
      <w:r>
        <w:rPr>
          <w:color w:val="1C1C1A"/>
          <w:spacing w:val="-3"/>
          <w:sz w:val="20"/>
        </w:rPr>
        <w:t> </w:t>
      </w:r>
      <w:r>
        <w:rPr>
          <w:color w:val="1C1C1A"/>
          <w:sz w:val="20"/>
        </w:rPr>
        <w:t>FFP).</w:t>
      </w:r>
    </w:p>
    <w:p>
      <w:pPr>
        <w:pStyle w:val="Heading3"/>
        <w:spacing w:before="147"/>
        <w:ind w:left="99"/>
        <w:rPr>
          <w:i/>
        </w:rPr>
      </w:pPr>
      <w:r>
        <w:rPr>
          <w:i/>
          <w:color w:val="8C91A1"/>
        </w:rPr>
        <w:t>Các biến chứng do truyền máu lượng</w:t>
      </w:r>
      <w:r>
        <w:rPr>
          <w:i/>
          <w:color w:val="8C91A1"/>
          <w:spacing w:val="-22"/>
        </w:rPr>
        <w:t> </w:t>
      </w:r>
      <w:r>
        <w:rPr>
          <w:i/>
          <w:color w:val="8C91A1"/>
        </w:rPr>
        <w:t>lớn</w:t>
      </w:r>
    </w:p>
    <w:p>
      <w:pPr>
        <w:pStyle w:val="BodyText"/>
        <w:spacing w:before="20"/>
        <w:ind w:left="99"/>
      </w:pPr>
      <w:r>
        <w:rPr>
          <w:color w:val="1C1C1A"/>
        </w:rPr>
        <w:t>Các biến chứng do truyền máu lượng lớn bao</w:t>
      </w:r>
      <w:r>
        <w:rPr>
          <w:color w:val="1C1C1A"/>
          <w:spacing w:val="-15"/>
        </w:rPr>
        <w:t> </w:t>
      </w:r>
      <w:r>
        <w:rPr>
          <w:color w:val="1C1C1A"/>
        </w:rPr>
        <w:t>gồm:</w:t>
      </w:r>
    </w:p>
    <w:p>
      <w:pPr>
        <w:pStyle w:val="ListParagraph"/>
        <w:numPr>
          <w:ilvl w:val="0"/>
          <w:numId w:val="4"/>
        </w:numPr>
        <w:tabs>
          <w:tab w:pos="359" w:val="left" w:leader="none"/>
        </w:tabs>
        <w:spacing w:line="221" w:lineRule="exact" w:before="98" w:after="0"/>
        <w:ind w:left="358" w:right="0" w:hanging="260"/>
        <w:jc w:val="left"/>
        <w:rPr>
          <w:sz w:val="20"/>
        </w:rPr>
      </w:pPr>
      <w:r>
        <w:rPr>
          <w:color w:val="1C1C1A"/>
          <w:sz w:val="20"/>
        </w:rPr>
        <w:t>rối loạn đông</w:t>
      </w:r>
      <w:r>
        <w:rPr>
          <w:color w:val="1C1C1A"/>
          <w:spacing w:val="-1"/>
          <w:sz w:val="20"/>
        </w:rPr>
        <w:t> </w:t>
      </w:r>
      <w:r>
        <w:rPr>
          <w:color w:val="1C1C1A"/>
          <w:sz w:val="20"/>
        </w:rPr>
        <w:t>máu;</w:t>
      </w:r>
    </w:p>
    <w:p>
      <w:pPr>
        <w:pStyle w:val="ListParagraph"/>
        <w:numPr>
          <w:ilvl w:val="0"/>
          <w:numId w:val="4"/>
        </w:numPr>
        <w:tabs>
          <w:tab w:pos="359" w:val="left" w:leader="none"/>
        </w:tabs>
        <w:spacing w:line="213" w:lineRule="exact" w:before="0" w:after="0"/>
        <w:ind w:left="358" w:right="0" w:hanging="260"/>
        <w:jc w:val="left"/>
        <w:rPr>
          <w:sz w:val="20"/>
        </w:rPr>
      </w:pPr>
      <w:r>
        <w:rPr>
          <w:color w:val="1C1C1A"/>
          <w:sz w:val="20"/>
        </w:rPr>
        <w:t>hạ calci</w:t>
      </w:r>
      <w:r>
        <w:rPr>
          <w:color w:val="1C1C1A"/>
          <w:spacing w:val="-3"/>
          <w:sz w:val="20"/>
        </w:rPr>
        <w:t> </w:t>
      </w:r>
      <w:r>
        <w:rPr>
          <w:color w:val="1C1C1A"/>
          <w:sz w:val="20"/>
        </w:rPr>
        <w:t>máu;</w:t>
      </w:r>
    </w:p>
    <w:p>
      <w:pPr>
        <w:pStyle w:val="ListParagraph"/>
        <w:numPr>
          <w:ilvl w:val="0"/>
          <w:numId w:val="4"/>
        </w:numPr>
        <w:tabs>
          <w:tab w:pos="359" w:val="left" w:leader="none"/>
        </w:tabs>
        <w:spacing w:line="213" w:lineRule="exact" w:before="0" w:after="0"/>
        <w:ind w:left="358" w:right="0" w:hanging="260"/>
        <w:jc w:val="left"/>
        <w:rPr>
          <w:sz w:val="20"/>
        </w:rPr>
      </w:pPr>
      <w:r>
        <w:rPr>
          <w:color w:val="1C1C1A"/>
          <w:sz w:val="20"/>
        </w:rPr>
        <w:t>tăng kali</w:t>
      </w:r>
      <w:r>
        <w:rPr>
          <w:color w:val="1C1C1A"/>
          <w:spacing w:val="-3"/>
          <w:sz w:val="20"/>
        </w:rPr>
        <w:t> </w:t>
      </w:r>
      <w:r>
        <w:rPr>
          <w:color w:val="1C1C1A"/>
          <w:sz w:val="20"/>
        </w:rPr>
        <w:t>máu;</w:t>
      </w:r>
    </w:p>
    <w:p>
      <w:pPr>
        <w:pStyle w:val="ListParagraph"/>
        <w:numPr>
          <w:ilvl w:val="0"/>
          <w:numId w:val="4"/>
        </w:numPr>
        <w:tabs>
          <w:tab w:pos="359" w:val="left" w:leader="none"/>
        </w:tabs>
        <w:spacing w:line="213" w:lineRule="exact" w:before="0" w:after="0"/>
        <w:ind w:left="358" w:right="0" w:hanging="260"/>
        <w:jc w:val="left"/>
        <w:rPr>
          <w:sz w:val="20"/>
        </w:rPr>
      </w:pPr>
      <w:r>
        <w:rPr>
          <w:color w:val="1C1C1A"/>
          <w:sz w:val="20"/>
        </w:rPr>
        <w:t>hạ kali</w:t>
      </w:r>
      <w:r>
        <w:rPr>
          <w:color w:val="1C1C1A"/>
          <w:spacing w:val="-3"/>
          <w:sz w:val="20"/>
        </w:rPr>
        <w:t> </w:t>
      </w:r>
      <w:r>
        <w:rPr>
          <w:color w:val="1C1C1A"/>
          <w:sz w:val="20"/>
        </w:rPr>
        <w:t>máu;</w:t>
      </w:r>
    </w:p>
    <w:p>
      <w:pPr>
        <w:pStyle w:val="ListParagraph"/>
        <w:numPr>
          <w:ilvl w:val="0"/>
          <w:numId w:val="4"/>
        </w:numPr>
        <w:tabs>
          <w:tab w:pos="359" w:val="left" w:leader="none"/>
        </w:tabs>
        <w:spacing w:line="221" w:lineRule="exact" w:before="0" w:after="0"/>
        <w:ind w:left="358" w:right="0" w:hanging="260"/>
        <w:jc w:val="left"/>
        <w:rPr>
          <w:sz w:val="20"/>
        </w:rPr>
      </w:pPr>
      <w:r>
        <w:rPr>
          <w:color w:val="1C1C1A"/>
          <w:sz w:val="20"/>
        </w:rPr>
        <w:t>hạ thân</w:t>
      </w:r>
      <w:r>
        <w:rPr>
          <w:color w:val="1C1C1A"/>
          <w:spacing w:val="-2"/>
          <w:sz w:val="20"/>
        </w:rPr>
        <w:t> </w:t>
      </w:r>
      <w:r>
        <w:rPr>
          <w:color w:val="1C1C1A"/>
          <w:sz w:val="20"/>
        </w:rPr>
        <w:t>nhiệt.</w:t>
      </w:r>
    </w:p>
    <w:p>
      <w:pPr>
        <w:pStyle w:val="BodyText"/>
        <w:spacing w:line="223" w:lineRule="auto" w:before="110"/>
        <w:ind w:left="99" w:right="1065" w:firstLine="283"/>
      </w:pPr>
      <w:r>
        <w:rPr>
          <w:color w:val="1C1C1A"/>
        </w:rPr>
        <w:t>Ngoài ra, những bệnh nhân được truyền máu nhiều lần trong thời gian dài (ví dụ như bệnh nhân thalassemia) có thể bị ứ sắt. (Mỗi đơn vị hồng cầu được truyền chứa khoảng 250 mg sắt nguyên tố.)</w:t>
      </w:r>
    </w:p>
    <w:p>
      <w:pPr>
        <w:pStyle w:val="BodyText"/>
        <w:spacing w:before="4"/>
        <w:rPr>
          <w:sz w:val="24"/>
        </w:rPr>
      </w:pPr>
    </w:p>
    <w:p>
      <w:pPr>
        <w:pStyle w:val="Heading2"/>
        <w:ind w:left="99"/>
      </w:pPr>
      <w:r>
        <w:rPr>
          <w:color w:val="7E8597"/>
        </w:rPr>
        <w:t>Xử trí rối loạn đông máu</w:t>
      </w:r>
    </w:p>
    <w:p>
      <w:pPr>
        <w:pStyle w:val="BodyText"/>
        <w:spacing w:line="223" w:lineRule="auto" w:before="82"/>
        <w:ind w:left="99" w:right="1015"/>
      </w:pPr>
      <w:r>
        <w:rPr>
          <w:color w:val="1C1C1A"/>
        </w:rPr>
        <w:t>Điều chỉnh rối loạn đông máu là không cần thiết nếu không mất nhiều máu và xuất huyết có thể kiểm soát được (không phải do phẫu thuật). Tuy nhiên, rối loạn đông máu trong hoặc sau khi truyền máu số lượng lớn cần được tiên lượng và xử trí tích cực. Phòng ngừa rối loạn đông máu do pha loãng là trọng tâm của hồi sức kiểm soát thương tổn cho bệnh nhân đang cần cầm máu tích</w:t>
      </w:r>
      <w:r>
        <w:rPr>
          <w:color w:val="1C1C1A"/>
          <w:spacing w:val="-6"/>
        </w:rPr>
        <w:t> </w:t>
      </w:r>
      <w:r>
        <w:rPr>
          <w:color w:val="1C1C1A"/>
        </w:rPr>
        <w:t>cực.</w:t>
      </w:r>
    </w:p>
    <w:p>
      <w:pPr>
        <w:spacing w:after="0" w:line="223" w:lineRule="auto"/>
        <w:sectPr>
          <w:type w:val="continuous"/>
          <w:pgSz w:w="12070" w:h="15650"/>
          <w:pgMar w:top="0" w:bottom="280" w:left="0" w:right="0"/>
          <w:cols w:num="2" w:equalWidth="0">
            <w:col w:w="5982" w:space="40"/>
            <w:col w:w="6048"/>
          </w:cols>
        </w:sectPr>
      </w:pPr>
    </w:p>
    <w:p>
      <w:pPr>
        <w:pStyle w:val="BodyText"/>
      </w:pPr>
    </w:p>
    <w:p>
      <w:pPr>
        <w:pStyle w:val="BodyText"/>
      </w:pPr>
    </w:p>
    <w:p>
      <w:pPr>
        <w:pStyle w:val="BodyText"/>
      </w:pPr>
    </w:p>
    <w:p>
      <w:pPr>
        <w:pStyle w:val="BodyText"/>
      </w:pPr>
    </w:p>
    <w:p>
      <w:pPr>
        <w:pStyle w:val="BodyText"/>
      </w:pPr>
    </w:p>
    <w:p>
      <w:pPr>
        <w:spacing w:after="0"/>
        <w:sectPr>
          <w:headerReference w:type="default" r:id="rId12"/>
          <w:pgSz w:w="12070" w:h="15650"/>
          <w:pgMar w:header="0" w:footer="0" w:top="0" w:bottom="280" w:left="0" w:right="0"/>
        </w:sectPr>
      </w:pPr>
    </w:p>
    <w:p>
      <w:pPr>
        <w:pStyle w:val="BodyText"/>
        <w:spacing w:before="7"/>
        <w:rPr>
          <w:sz w:val="19"/>
        </w:rPr>
      </w:pPr>
    </w:p>
    <w:p>
      <w:pPr>
        <w:pStyle w:val="BodyText"/>
        <w:spacing w:line="216" w:lineRule="auto"/>
        <w:ind w:left="1018" w:right="38"/>
      </w:pPr>
      <w:r>
        <w:rPr/>
        <w:pict>
          <v:group style="position:absolute;margin-left:0pt;margin-top:-69.071655pt;width:603.1pt;height:48.15pt;mso-position-horizontal-relative:page;mso-position-vertical-relative:paragraph;z-index:15738368" coordorigin="0,-1381" coordsize="12062,963">
            <v:shape style="position:absolute;left:0;top:-732;width:12062;height:312" type="#_x0000_t202" filled="true" fillcolor="#dfdfe4" stroked="false">
              <v:textbox inset="0,0,0,0">
                <w:txbxContent>
                  <w:p>
                    <w:pPr>
                      <w:spacing w:before="44"/>
                      <w:ind w:left="0" w:right="338" w:firstLine="0"/>
                      <w:jc w:val="right"/>
                      <w:rPr>
                        <w:rFonts w:ascii="Arial" w:hAnsi="Arial"/>
                        <w:b/>
                        <w:sz w:val="18"/>
                      </w:rPr>
                    </w:pPr>
                    <w:r>
                      <w:rPr>
                        <w:sz w:val="18"/>
                      </w:rPr>
                      <w:t>Đọc thêm </w:t>
                    </w:r>
                    <w:r>
                      <w:rPr>
                        <w:rFonts w:ascii="Arial" w:hAnsi="Arial"/>
                        <w:b/>
                        <w:color w:val="1C1C1A"/>
                        <w:sz w:val="18"/>
                      </w:rPr>
                      <w:t>23</w:t>
                    </w:r>
                  </w:p>
                </w:txbxContent>
              </v:textbox>
              <v:fill type="solid"/>
              <w10:wrap type="none"/>
            </v:shape>
            <v:shape style="position:absolute;left:0;top:-1382;width:12062;height:651" type="#_x0000_t202" filled="true" fillcolor="#745ba2" stroked="false">
              <v:textbox inset="0,0,0,0">
                <w:txbxContent>
                  <w:p>
                    <w:pPr>
                      <w:spacing w:line="240" w:lineRule="auto" w:before="7"/>
                      <w:rPr>
                        <w:sz w:val="30"/>
                      </w:rPr>
                    </w:pPr>
                  </w:p>
                  <w:p>
                    <w:pPr>
                      <w:spacing w:before="0"/>
                      <w:ind w:left="0" w:right="447" w:firstLine="0"/>
                      <w:jc w:val="right"/>
                      <w:rPr>
                        <w:rFonts w:ascii="Arial" w:hAnsi="Arial"/>
                        <w:sz w:val="20"/>
                      </w:rPr>
                    </w:pPr>
                    <w:r>
                      <w:rPr>
                        <w:rFonts w:ascii="Arial" w:hAnsi="Arial"/>
                        <w:b/>
                        <w:color w:val="FFFFFF"/>
                        <w:sz w:val="20"/>
                      </w:rPr>
                      <w:t>PHẦN 1 </w:t>
                    </w:r>
                    <w:r>
                      <w:rPr>
                        <w:rFonts w:ascii="Arial" w:hAnsi="Arial"/>
                        <w:color w:val="FFFFFF"/>
                        <w:sz w:val="20"/>
                      </w:rPr>
                      <w:t>| NGUYÊN TẮC CƠ BẢN</w:t>
                    </w:r>
                  </w:p>
                </w:txbxContent>
              </v:textbox>
              <v:fill type="solid"/>
              <w10:wrap type="none"/>
            </v:shape>
            <w10:wrap type="none"/>
          </v:group>
        </w:pict>
      </w:r>
      <w:r>
        <w:rPr>
          <w:color w:val="1C1C1A"/>
        </w:rPr>
        <w:t>Đây là lý do chính để thực hiện các chế độ truyền máu cân bằng phù hợp giữa các khối hồng cầu với huyết tương và tiểu cầu. Dựa trên bằng chứng lâm sàng, khi truyền hồng cầu trong quá trình hồi sức tích cực, tốt nhất nên ghép mỗi đơn vị hồng cầu với một đơn vị FFP và một đơn vị tiểu cầu (1:1:1). Điều này sẽ làm giảm tỷ lệ mắc và mức độ nghiêm trọng của rối loạn đông máu do pha loãng sau này. Tương tự nên tránh sử dụng dịch tinh thể và dịch keo vì lý do trên.</w:t>
      </w:r>
    </w:p>
    <w:p>
      <w:pPr>
        <w:pStyle w:val="BodyText"/>
        <w:spacing w:line="216" w:lineRule="auto" w:before="8"/>
        <w:ind w:left="1018" w:right="72" w:firstLine="283"/>
      </w:pPr>
      <w:r>
        <w:rPr>
          <w:color w:val="1C1C1A"/>
        </w:rPr>
        <w:t>Tuy nhiên, phương pháp truyền máu cân bằng không thể điều chỉnh rối loạn đông máu. Do đó, nên theo dõi đông máu thường quy, bằng xét nghiệm chỉ điểm (xét nghiệm đông máu nhanh) hoặc xét nghiệm trong phòng thí nghiệm (fibrinogen, thời gian đông máu). Các triệu chứng rối loạn đông máu cơ bản nên được điều trị ngoài việc truyền máu cân bằng 1:1:1.</w:t>
      </w:r>
    </w:p>
    <w:p>
      <w:pPr>
        <w:pStyle w:val="BodyText"/>
        <w:spacing w:line="216" w:lineRule="auto" w:before="8"/>
        <w:ind w:left="1018" w:right="17" w:firstLine="283"/>
      </w:pPr>
      <w:r>
        <w:rPr>
          <w:color w:val="1C1C1A"/>
        </w:rPr>
        <w:t>Có những điều chỉnh bằng dược lý tác dụng lên thành phần máu. Acid tranexamic chống tiêu sợi huyết được sử dụng phổ biến nhất. Nó thường được sử dụng theo kinh nghiệm cho bệnh nhân chảy máu vì các xét nghiệm chỉ điểm của tiêu sợi huyết thường quy vẫn chưa sẵn có. Có rất ít bằng chứng ủng hộ việc sử dụng các chất khác gây cô đặc các yếu tố đông máu tại thời điểm này.</w:t>
      </w:r>
    </w:p>
    <w:p>
      <w:pPr>
        <w:pStyle w:val="BodyText"/>
        <w:spacing w:before="9"/>
        <w:rPr>
          <w:sz w:val="24"/>
        </w:rPr>
      </w:pPr>
    </w:p>
    <w:p>
      <w:pPr>
        <w:pStyle w:val="Heading2"/>
        <w:ind w:left="1018"/>
      </w:pPr>
      <w:r>
        <w:rPr>
          <w:color w:val="7E8597"/>
        </w:rPr>
        <w:t>Chế phẩm thay thế</w:t>
      </w:r>
      <w:r>
        <w:rPr>
          <w:color w:val="7E8597"/>
          <w:spacing w:val="-7"/>
        </w:rPr>
        <w:t> </w:t>
      </w:r>
      <w:r>
        <w:rPr>
          <w:color w:val="7E8597"/>
        </w:rPr>
        <w:t>máu</w:t>
      </w:r>
    </w:p>
    <w:p>
      <w:pPr>
        <w:pStyle w:val="BodyText"/>
        <w:spacing w:line="216" w:lineRule="auto" w:before="82"/>
        <w:ind w:left="1018" w:right="-4"/>
      </w:pPr>
      <w:r>
        <w:rPr>
          <w:color w:val="1C1C1A"/>
        </w:rPr>
        <w:t>Các chế phẩm thay thế máu là một giải pháp thay thế hấp dẫn vì quá trình hiến máu, kiểm tra, lưu trữ và bảo quản máu tốn kém, đặc biệt là do khả năng gây miễn dịch và các biến</w:t>
      </w:r>
      <w:r>
        <w:rPr>
          <w:color w:val="1C1C1A"/>
          <w:spacing w:val="-21"/>
        </w:rPr>
        <w:t> </w:t>
      </w:r>
      <w:r>
        <w:rPr>
          <w:color w:val="1C1C1A"/>
        </w:rPr>
        <w:t>chứng nguy hiểm liên quan đến truyền</w:t>
      </w:r>
      <w:r>
        <w:rPr>
          <w:color w:val="1C1C1A"/>
          <w:spacing w:val="-3"/>
        </w:rPr>
        <w:t> </w:t>
      </w:r>
      <w:r>
        <w:rPr>
          <w:color w:val="1C1C1A"/>
        </w:rPr>
        <w:t>máu.</w:t>
      </w:r>
    </w:p>
    <w:p>
      <w:pPr>
        <w:pStyle w:val="BodyText"/>
        <w:spacing w:line="216" w:lineRule="auto" w:before="4"/>
        <w:ind w:left="1018" w:right="-1" w:firstLine="250"/>
      </w:pPr>
      <w:r>
        <w:rPr>
          <w:color w:val="1C1C1A"/>
        </w:rPr>
        <w:t>Một số chất thay thế máu mà khả năng mang oxy không bị giảm đang trong giai đoạn đầu của các thử nghiệm lâm sàng trên động vật.</w:t>
      </w:r>
    </w:p>
    <w:p>
      <w:pPr>
        <w:pStyle w:val="BodyText"/>
        <w:spacing w:before="7"/>
        <w:rPr>
          <w:sz w:val="19"/>
        </w:rPr>
      </w:pPr>
      <w:r>
        <w:rPr/>
        <w:br w:type="column"/>
      </w:r>
      <w:r>
        <w:rPr>
          <w:sz w:val="19"/>
        </w:rPr>
      </w:r>
    </w:p>
    <w:p>
      <w:pPr>
        <w:pStyle w:val="BodyText"/>
        <w:spacing w:line="216" w:lineRule="auto"/>
        <w:ind w:left="208" w:right="894"/>
      </w:pPr>
      <w:r>
        <w:rPr>
          <w:color w:val="1C1C1A"/>
        </w:rPr>
        <w:t>Các chế phẩm thay thế máu mô phỏng máu sinh học hoặc phi sinh học. Chế phẩm phỏng theo sinh học bắt chước khả năng cung cấp oxy tiêu chuẩn của máu và dựa trên heamoglobin. Chế phẩm thay thế phi sinh học là chất mang oxy tổng hợp hiện chủ yếu dựa trên perfluorocarbon.</w:t>
      </w:r>
    </w:p>
    <w:p>
      <w:pPr>
        <w:pStyle w:val="BodyText"/>
        <w:spacing w:line="216" w:lineRule="auto" w:before="5"/>
        <w:ind w:left="208" w:right="930" w:firstLine="283"/>
      </w:pPr>
      <w:r>
        <w:rPr>
          <w:color w:val="1C1C1A"/>
        </w:rPr>
        <w:t>Haemoglobin được coi là ứng cử viên hàng đầu để phát triển các chế phẩm thay thế máu hiệu quả. Các phân tử được thiết kế khác nhau đang được thử nghiệm trên lâm sàng, dựa trên con người, bò và công nghệ tái tổ hợp. Nhũ tương perflourocarbon thế hệ thứ hai cũng đang cho thấy tiềm năng trong các thử nghiệm lâm sàng.</w:t>
      </w:r>
    </w:p>
    <w:p>
      <w:pPr>
        <w:pStyle w:val="BodyText"/>
        <w:rPr>
          <w:sz w:val="31"/>
        </w:rPr>
      </w:pPr>
    </w:p>
    <w:p>
      <w:pPr>
        <w:pStyle w:val="Heading1"/>
        <w:ind w:left="210"/>
      </w:pPr>
      <w:r>
        <w:rPr>
          <w:color w:val="697487"/>
        </w:rPr>
        <w:t>ĐỌC THÊM</w:t>
      </w:r>
    </w:p>
    <w:p>
      <w:pPr>
        <w:spacing w:line="223" w:lineRule="auto" w:before="48"/>
        <w:ind w:left="492" w:right="905" w:hanging="284"/>
        <w:jc w:val="both"/>
        <w:rPr>
          <w:sz w:val="17"/>
        </w:rPr>
      </w:pPr>
      <w:r>
        <w:rPr>
          <w:color w:val="1C1C1A"/>
          <w:sz w:val="17"/>
        </w:rPr>
        <w:t>Duchesne JC, McSwain NE Jr, Cotton BA </w:t>
      </w:r>
      <w:r>
        <w:rPr>
          <w:i/>
          <w:color w:val="1C1C1A"/>
          <w:sz w:val="17"/>
        </w:rPr>
        <w:t>et al</w:t>
      </w:r>
      <w:r>
        <w:rPr>
          <w:color w:val="1C1C1A"/>
          <w:sz w:val="17"/>
        </w:rPr>
        <w:t>. Damage control resuscitation: the new face of damage control. </w:t>
      </w:r>
      <w:r>
        <w:rPr>
          <w:i/>
          <w:color w:val="1C1C1A"/>
          <w:sz w:val="17"/>
        </w:rPr>
        <w:t>J Trauma </w:t>
      </w:r>
      <w:r>
        <w:rPr>
          <w:color w:val="1C1C1A"/>
          <w:sz w:val="17"/>
        </w:rPr>
        <w:t>2010;</w:t>
      </w:r>
      <w:r>
        <w:rPr>
          <w:b/>
          <w:color w:val="1C1C1A"/>
          <w:sz w:val="17"/>
        </w:rPr>
        <w:t>69</w:t>
      </w:r>
      <w:r>
        <w:rPr>
          <w:color w:val="1C1C1A"/>
          <w:sz w:val="17"/>
        </w:rPr>
        <w:t>: 976–90.</w:t>
      </w:r>
    </w:p>
    <w:p>
      <w:pPr>
        <w:spacing w:line="223" w:lineRule="auto" w:before="0"/>
        <w:ind w:left="492" w:right="940" w:hanging="284"/>
        <w:jc w:val="both"/>
        <w:rPr>
          <w:sz w:val="17"/>
        </w:rPr>
      </w:pPr>
      <w:r>
        <w:rPr>
          <w:color w:val="1C1C1A"/>
          <w:sz w:val="17"/>
        </w:rPr>
        <w:t>Glen J, Constanti M, Brohi K; Guideline Development Group. Assess- ment and initial management of major trauma: summary of NICE guidance. </w:t>
      </w:r>
      <w:r>
        <w:rPr>
          <w:i/>
          <w:color w:val="1C1C1A"/>
          <w:sz w:val="17"/>
        </w:rPr>
        <w:t>BMJ </w:t>
      </w:r>
      <w:r>
        <w:rPr>
          <w:color w:val="1C1C1A"/>
          <w:sz w:val="17"/>
        </w:rPr>
        <w:t>2016; </w:t>
      </w:r>
      <w:r>
        <w:rPr>
          <w:b/>
          <w:color w:val="1C1C1A"/>
          <w:sz w:val="17"/>
        </w:rPr>
        <w:t>353</w:t>
      </w:r>
      <w:r>
        <w:rPr>
          <w:color w:val="1C1C1A"/>
          <w:sz w:val="17"/>
        </w:rPr>
        <w:t>: i3051.</w:t>
      </w:r>
    </w:p>
    <w:p>
      <w:pPr>
        <w:spacing w:line="223" w:lineRule="auto" w:before="0"/>
        <w:ind w:left="492" w:right="896" w:hanging="284"/>
        <w:jc w:val="both"/>
        <w:rPr>
          <w:sz w:val="17"/>
        </w:rPr>
      </w:pPr>
      <w:r>
        <w:rPr>
          <w:color w:val="1C1C1A"/>
          <w:sz w:val="17"/>
        </w:rPr>
        <w:t>Harris T, Thomas GO, Brohi K. Early ﬂuid resuscitation in severe trau- ma. </w:t>
      </w:r>
      <w:r>
        <w:rPr>
          <w:i/>
          <w:color w:val="1C1C1A"/>
          <w:sz w:val="17"/>
        </w:rPr>
        <w:t>BMJ </w:t>
      </w:r>
      <w:r>
        <w:rPr>
          <w:color w:val="1C1C1A"/>
          <w:sz w:val="17"/>
        </w:rPr>
        <w:t>2012; </w:t>
      </w:r>
      <w:r>
        <w:rPr>
          <w:b/>
          <w:color w:val="1C1C1A"/>
          <w:sz w:val="17"/>
        </w:rPr>
        <w:t>345</w:t>
      </w:r>
      <w:r>
        <w:rPr>
          <w:color w:val="1C1C1A"/>
          <w:sz w:val="17"/>
        </w:rPr>
        <w:t>: e5752.</w:t>
      </w:r>
    </w:p>
    <w:p>
      <w:pPr>
        <w:spacing w:line="223" w:lineRule="auto" w:before="0"/>
        <w:ind w:left="492" w:right="876" w:hanging="284"/>
        <w:jc w:val="both"/>
        <w:rPr>
          <w:sz w:val="17"/>
        </w:rPr>
      </w:pPr>
      <w:r>
        <w:rPr>
          <w:color w:val="1C1C1A"/>
          <w:sz w:val="17"/>
        </w:rPr>
        <w:t>Nguyen HB, Jaehne AK, Jayaprakash N </w:t>
      </w:r>
      <w:r>
        <w:rPr>
          <w:i/>
          <w:color w:val="1C1C1A"/>
          <w:sz w:val="17"/>
        </w:rPr>
        <w:t>et al</w:t>
      </w:r>
      <w:r>
        <w:rPr>
          <w:color w:val="1C1C1A"/>
          <w:sz w:val="17"/>
        </w:rPr>
        <w:t>. Early goaldirected </w:t>
      </w:r>
      <w:r>
        <w:rPr>
          <w:color w:val="1C1C1A"/>
          <w:spacing w:val="-3"/>
          <w:sz w:val="17"/>
        </w:rPr>
        <w:t>therapy </w:t>
      </w:r>
      <w:r>
        <w:rPr>
          <w:color w:val="1C1C1A"/>
          <w:sz w:val="17"/>
        </w:rPr>
        <w:t>in severe sepsis and septic shock: insights and comparisons to </w:t>
      </w:r>
      <w:r>
        <w:rPr>
          <w:color w:val="1C1C1A"/>
          <w:spacing w:val="-3"/>
          <w:sz w:val="17"/>
        </w:rPr>
        <w:t>Pro- </w:t>
      </w:r>
      <w:r>
        <w:rPr>
          <w:color w:val="1C1C1A"/>
          <w:sz w:val="17"/>
        </w:rPr>
        <w:t>CESS, ProMISe, and ARISE. </w:t>
      </w:r>
      <w:r>
        <w:rPr>
          <w:i/>
          <w:color w:val="1C1C1A"/>
          <w:sz w:val="17"/>
        </w:rPr>
        <w:t>Crit Care </w:t>
      </w:r>
      <w:r>
        <w:rPr>
          <w:color w:val="1C1C1A"/>
          <w:sz w:val="17"/>
        </w:rPr>
        <w:t>2016; </w:t>
      </w:r>
      <w:r>
        <w:rPr>
          <w:b/>
          <w:color w:val="1C1C1A"/>
          <w:sz w:val="17"/>
        </w:rPr>
        <w:t>20</w:t>
      </w:r>
      <w:r>
        <w:rPr>
          <w:color w:val="1C1C1A"/>
          <w:sz w:val="17"/>
        </w:rPr>
        <w:t>(1): 160.</w:t>
      </w:r>
    </w:p>
    <w:p>
      <w:pPr>
        <w:spacing w:line="223" w:lineRule="auto" w:before="0"/>
        <w:ind w:left="492" w:right="911" w:hanging="284"/>
        <w:jc w:val="both"/>
        <w:rPr>
          <w:sz w:val="17"/>
        </w:rPr>
      </w:pPr>
      <w:r>
        <w:rPr>
          <w:color w:val="1C1C1A"/>
          <w:sz w:val="17"/>
        </w:rPr>
        <w:t>Pearse RM, Ackland GL. Perioperative ﬂuid therapy. </w:t>
      </w:r>
      <w:r>
        <w:rPr>
          <w:i/>
          <w:color w:val="1C1C1A"/>
          <w:sz w:val="17"/>
        </w:rPr>
        <w:t>BMJ </w:t>
      </w:r>
      <w:r>
        <w:rPr>
          <w:color w:val="1C1C1A"/>
          <w:sz w:val="17"/>
        </w:rPr>
        <w:t>2012; </w:t>
      </w:r>
      <w:r>
        <w:rPr>
          <w:b/>
          <w:color w:val="1C1C1A"/>
          <w:sz w:val="17"/>
        </w:rPr>
        <w:t>344</w:t>
      </w:r>
      <w:r>
        <w:rPr>
          <w:color w:val="1C1C1A"/>
          <w:sz w:val="17"/>
        </w:rPr>
        <w:t>: e2865.</w:t>
      </w:r>
    </w:p>
    <w:p>
      <w:pPr>
        <w:spacing w:line="223" w:lineRule="auto" w:before="0"/>
        <w:ind w:left="492" w:right="892" w:hanging="284"/>
        <w:jc w:val="both"/>
        <w:rPr>
          <w:sz w:val="17"/>
        </w:rPr>
      </w:pPr>
      <w:r>
        <w:rPr>
          <w:color w:val="1C1C1A"/>
          <w:sz w:val="17"/>
        </w:rPr>
        <w:t>Rossaint R, Bouillon B, Cerny V </w:t>
      </w:r>
      <w:r>
        <w:rPr>
          <w:i/>
          <w:color w:val="1C1C1A"/>
          <w:sz w:val="17"/>
        </w:rPr>
        <w:t>et al</w:t>
      </w:r>
      <w:r>
        <w:rPr>
          <w:color w:val="1C1C1A"/>
          <w:sz w:val="17"/>
        </w:rPr>
        <w:t>. The European guideline on man- agement of major bleeding and coagulopathy following trauma: fourth edition. </w:t>
      </w:r>
      <w:r>
        <w:rPr>
          <w:i/>
          <w:color w:val="1C1C1A"/>
          <w:sz w:val="17"/>
        </w:rPr>
        <w:t>Crit Care </w:t>
      </w:r>
      <w:r>
        <w:rPr>
          <w:color w:val="1C1C1A"/>
          <w:sz w:val="17"/>
        </w:rPr>
        <w:t>2016; </w:t>
      </w:r>
      <w:r>
        <w:rPr>
          <w:b/>
          <w:color w:val="1C1C1A"/>
          <w:sz w:val="17"/>
        </w:rPr>
        <w:t>20</w:t>
      </w:r>
      <w:r>
        <w:rPr>
          <w:color w:val="1C1C1A"/>
          <w:sz w:val="17"/>
        </w:rPr>
        <w:t>: 100.</w:t>
      </w:r>
    </w:p>
    <w:p>
      <w:pPr>
        <w:spacing w:line="223" w:lineRule="auto" w:before="0"/>
        <w:ind w:left="492" w:right="914" w:hanging="284"/>
        <w:jc w:val="both"/>
        <w:rPr>
          <w:sz w:val="17"/>
        </w:rPr>
      </w:pPr>
      <w:r>
        <w:rPr>
          <w:color w:val="1C1C1A"/>
          <w:sz w:val="17"/>
        </w:rPr>
        <w:t>Sihler KC, Nathans AB. Management of severe sepsis in the surgical patient. </w:t>
      </w:r>
      <w:r>
        <w:rPr>
          <w:i/>
          <w:color w:val="1C1C1A"/>
          <w:sz w:val="17"/>
        </w:rPr>
        <w:t>Surg Clin N Am </w:t>
      </w:r>
      <w:r>
        <w:rPr>
          <w:color w:val="1C1C1A"/>
          <w:sz w:val="17"/>
        </w:rPr>
        <w:t>2006; </w:t>
      </w:r>
      <w:r>
        <w:rPr>
          <w:b/>
          <w:color w:val="1C1C1A"/>
          <w:sz w:val="17"/>
        </w:rPr>
        <w:t>86</w:t>
      </w:r>
      <w:r>
        <w:rPr>
          <w:color w:val="1C1C1A"/>
          <w:sz w:val="17"/>
        </w:rPr>
        <w:t>: 1457–81.</w:t>
      </w:r>
    </w:p>
    <w:p>
      <w:pPr>
        <w:spacing w:after="0" w:line="223" w:lineRule="auto"/>
        <w:jc w:val="both"/>
        <w:rPr>
          <w:sz w:val="17"/>
        </w:rPr>
        <w:sectPr>
          <w:type w:val="continuous"/>
          <w:pgSz w:w="12070" w:h="15650"/>
          <w:pgMar w:top="0" w:bottom="280" w:left="0" w:right="0"/>
          <w:cols w:num="2" w:equalWidth="0">
            <w:col w:w="5987" w:space="40"/>
            <w:col w:w="6043"/>
          </w:cols>
        </w:sectPr>
      </w:pPr>
    </w:p>
    <w:p>
      <w:pPr>
        <w:pStyle w:val="BodyText"/>
        <w:ind w:left="8914"/>
      </w:pPr>
      <w:r>
        <w:rPr/>
        <w:drawing>
          <wp:inline distT="0" distB="0" distL="0" distR="0">
            <wp:extent cx="1247775" cy="3524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1247775" cy="352425"/>
                    </a:xfrm>
                    <a:prstGeom prst="rect">
                      <a:avLst/>
                    </a:prstGeom>
                  </pic:spPr>
                </pic:pic>
              </a:graphicData>
            </a:graphic>
          </wp:inline>
        </w:drawing>
      </w:r>
      <w:r>
        <w:rPr/>
      </w:r>
    </w:p>
    <w:sectPr>
      <w:type w:val="continuous"/>
      <w:pgSz w:w="12070" w:h="1565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dobe Garamond Pro">
    <w:altName w:val="Adobe Garamond Pro"/>
    <w:charset w:val="0"/>
    <w:family w:val="roman"/>
    <w:pitch w:val="variable"/>
  </w:font>
  <w:font w:name="High Tower Text">
    <w:altName w:val="High Tower Tex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pt;width:603.1pt;height:48.15pt;mso-position-horizontal-relative:page;mso-position-vertical-relative:page;z-index:-16431104" coordorigin="0,0" coordsize="12062,963">
          <v:rect style="position:absolute;left:0;top:650;width:12062;height:312" filled="true" fillcolor="#dfdfe4" stroked="false">
            <v:fill type="solid"/>
          </v:rect>
          <v:rect style="position:absolute;left:0;top:0;width:12062;height:651" filled="true" fillcolor="#745ba2" stroked="false">
            <v:fill type="solid"/>
          </v:rect>
          <w10:wrap type="none"/>
        </v:group>
      </w:pict>
    </w:r>
    <w:r>
      <w:rPr/>
      <w:pict>
        <v:shape style="position:absolute;margin-left:43.851002pt;margin-top:16.785263pt;width:153.050pt;height:27.25pt;mso-position-horizontal-relative:page;mso-position-vertical-relative:page;z-index:-16430592" type="#_x0000_t202" filled="false" stroked="false">
          <v:textbox inset="0,0,0,0">
            <w:txbxContent>
              <w:p>
                <w:pPr>
                  <w:spacing w:before="13"/>
                  <w:ind w:left="20" w:right="0" w:firstLine="0"/>
                  <w:jc w:val="left"/>
                  <w:rPr>
                    <w:rFonts w:ascii="Arial" w:hAnsi="Arial"/>
                    <w:sz w:val="20"/>
                  </w:rPr>
                </w:pPr>
                <w:r>
                  <w:rPr>
                    <w:rFonts w:ascii="Arial" w:hAnsi="Arial"/>
                    <w:b/>
                    <w:color w:val="FFFFFF"/>
                    <w:sz w:val="20"/>
                  </w:rPr>
                  <w:t>PHẦN 1 </w:t>
                </w:r>
                <w:r>
                  <w:rPr>
                    <w:rFonts w:ascii="Arial" w:hAnsi="Arial"/>
                    <w:color w:val="FFFFFF"/>
                    <w:sz w:val="20"/>
                  </w:rPr>
                  <w:t>| NGUYÊN TẮC CƠ</w:t>
                </w:r>
                <w:r>
                  <w:rPr>
                    <w:rFonts w:ascii="Arial" w:hAnsi="Arial"/>
                    <w:color w:val="FFFFFF"/>
                    <w:spacing w:val="-35"/>
                    <w:sz w:val="20"/>
                  </w:rPr>
                  <w:t> </w:t>
                </w:r>
                <w:r>
                  <w:rPr>
                    <w:rFonts w:ascii="Arial" w:hAnsi="Arial"/>
                    <w:color w:val="FFFFFF"/>
                    <w:sz w:val="20"/>
                  </w:rPr>
                  <w:t>BẢN</w:t>
                </w:r>
              </w:p>
              <w:p>
                <w:pPr>
                  <w:spacing w:before="75"/>
                  <w:ind w:left="56" w:right="0" w:firstLine="0"/>
                  <w:jc w:val="left"/>
                  <w:rPr>
                    <w:rFonts w:ascii="Arial" w:hAnsi="Arial"/>
                    <w:sz w:val="18"/>
                  </w:rPr>
                </w:pPr>
                <w:r>
                  <w:rPr>
                    <w:rFonts w:ascii="Arial" w:hAnsi="Arial"/>
                    <w:b/>
                    <w:color w:val="755BA3"/>
                    <w:sz w:val="17"/>
                  </w:rPr>
                  <w:t>CHƯƠNG 2 </w:t>
                </w:r>
                <w:r>
                  <w:rPr>
                    <w:rFonts w:ascii="Arial" w:hAnsi="Arial"/>
                    <w:color w:val="575757"/>
                    <w:sz w:val="18"/>
                  </w:rPr>
                  <w:t>Sốc và truyền máu</w:t>
                </w:r>
              </w:p>
            </w:txbxContent>
          </v:textbox>
          <w10:wrap type="none"/>
        </v:shape>
      </w:pict>
    </w:r>
    <w:r>
      <w:rPr/>
      <w:pict>
        <v:shape style="position:absolute;margin-left:14.595181pt;margin-top:33.413998pt;width:16.05pt;height:12.75pt;mso-position-horizontal-relative:page;mso-position-vertical-relative:page;z-index:-16430080" type="#_x0000_t202" filled="false" stroked="false">
          <v:textbox inset="0,0,0,0">
            <w:txbxContent>
              <w:p>
                <w:pPr>
                  <w:spacing w:before="26"/>
                  <w:ind w:left="60" w:right="0" w:firstLine="0"/>
                  <w:jc w:val="left"/>
                  <w:rPr>
                    <w:rFonts w:ascii="Arial"/>
                    <w:b/>
                    <w:sz w:val="18"/>
                  </w:rPr>
                </w:pPr>
                <w:r>
                  <w:rPr/>
                  <w:fldChar w:fldCharType="begin"/>
                </w:r>
                <w:r>
                  <w:rPr>
                    <w:rFonts w:ascii="Arial"/>
                    <w:b/>
                    <w:color w:val="1C1C1A"/>
                    <w:sz w:val="18"/>
                  </w:rPr>
                  <w:instrText> PAGE </w:instrText>
                </w:r>
                <w:r>
                  <w:rPr/>
                  <w:fldChar w:fldCharType="separate"/>
                </w:r>
                <w:r>
                  <w:rPr/>
                  <w:t>14</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pt;width:603.1pt;height:48.15pt;mso-position-horizontal-relative:page;mso-position-vertical-relative:page;z-index:-16429568" coordorigin="0,0" coordsize="12062,963">
          <v:rect style="position:absolute;left:0;top:650;width:12062;height:312" filled="true" fillcolor="#dfdfe4" stroked="false">
            <v:fill type="solid"/>
          </v:rect>
          <v:rect style="position:absolute;left:0;top:0;width:12062;height:651" filled="true" fillcolor="#745ba2" stroked="false">
            <v:fill type="solid"/>
          </v:rect>
          <w10:wrap type="none"/>
        </v:group>
      </w:pict>
    </w:r>
    <w:r>
      <w:rPr/>
      <w:pict>
        <v:shape style="position:absolute;margin-left:428.523987pt;margin-top:16.951262pt;width:153.050pt;height:13.2pt;mso-position-horizontal-relative:page;mso-position-vertical-relative:page;z-index:-16429056" type="#_x0000_t202" filled="false" stroked="false">
          <v:textbox inset="0,0,0,0">
            <w:txbxContent>
              <w:p>
                <w:pPr>
                  <w:spacing w:before="13"/>
                  <w:ind w:left="20" w:right="0" w:firstLine="0"/>
                  <w:jc w:val="left"/>
                  <w:rPr>
                    <w:rFonts w:ascii="Arial" w:hAnsi="Arial"/>
                    <w:sz w:val="20"/>
                  </w:rPr>
                </w:pPr>
                <w:r>
                  <w:rPr>
                    <w:rFonts w:ascii="Arial" w:hAnsi="Arial"/>
                    <w:b/>
                    <w:color w:val="FFFFFF"/>
                    <w:sz w:val="20"/>
                  </w:rPr>
                  <w:t>PHẦN 1 </w:t>
                </w:r>
                <w:r>
                  <w:rPr>
                    <w:rFonts w:ascii="Arial" w:hAnsi="Arial"/>
                    <w:color w:val="FFFFFF"/>
                    <w:sz w:val="20"/>
                  </w:rPr>
                  <w:t>| NGUYÊN TẮC CƠ</w:t>
                </w:r>
                <w:r>
                  <w:rPr>
                    <w:rFonts w:ascii="Arial" w:hAnsi="Arial"/>
                    <w:color w:val="FFFFFF"/>
                    <w:spacing w:val="-37"/>
                    <w:sz w:val="20"/>
                  </w:rPr>
                  <w:t> </w:t>
                </w:r>
                <w:r>
                  <w:rPr>
                    <w:rFonts w:ascii="Arial" w:hAnsi="Arial"/>
                    <w:color w:val="FFFFFF"/>
                    <w:sz w:val="20"/>
                  </w:rPr>
                  <w:t>BẢN</w:t>
                </w:r>
              </w:p>
            </w:txbxContent>
          </v:textbox>
          <w10:wrap type="none"/>
        </v:shape>
      </w:pict>
    </w:r>
    <w:r>
      <w:rPr/>
      <w:pict>
        <v:shape style="position:absolute;margin-left:540.812012pt;margin-top:33.638977pt;width:30.15pt;height:12pt;mso-position-horizontal-relative:page;mso-position-vertical-relative:page;z-index:-16428544" type="#_x0000_t202" filled="false" stroked="false">
          <v:textbox inset="0,0,0,0">
            <w:txbxContent>
              <w:p>
                <w:pPr>
                  <w:spacing w:before="12"/>
                  <w:ind w:left="20" w:right="0" w:firstLine="0"/>
                  <w:jc w:val="left"/>
                  <w:rPr>
                    <w:sz w:val="18"/>
                  </w:rPr>
                </w:pPr>
                <w:r>
                  <w:rPr>
                    <w:color w:val="575757"/>
                    <w:sz w:val="18"/>
                  </w:rPr>
                  <w:t>Hồi sức</w:t>
                </w:r>
              </w:p>
            </w:txbxContent>
          </v:textbox>
          <w10:wrap type="none"/>
        </v:shape>
      </w:pict>
    </w:r>
    <w:r>
      <w:rPr/>
      <w:pict>
        <v:shape style="position:absolute;margin-left:573.018005pt;margin-top:33.413998pt;width:16.05pt;height:12.75pt;mso-position-horizontal-relative:page;mso-position-vertical-relative:page;z-index:-16428032" type="#_x0000_t202" filled="false" stroked="false">
          <v:textbox inset="0,0,0,0">
            <w:txbxContent>
              <w:p>
                <w:pPr>
                  <w:spacing w:before="26"/>
                  <w:ind w:left="60" w:right="0" w:firstLine="0"/>
                  <w:jc w:val="left"/>
                  <w:rPr>
                    <w:rFonts w:ascii="Arial"/>
                    <w:b/>
                    <w:sz w:val="18"/>
                  </w:rPr>
                </w:pPr>
                <w:r>
                  <w:rPr/>
                  <w:fldChar w:fldCharType="begin"/>
                </w:r>
                <w:r>
                  <w:rPr>
                    <w:rFonts w:ascii="Arial"/>
                    <w:b/>
                    <w:color w:val="1C1C1A"/>
                    <w:sz w:val="18"/>
                  </w:rPr>
                  <w:instrText> PAGE </w:instrText>
                </w:r>
                <w:r>
                  <w:rPr/>
                  <w:fldChar w:fldCharType="separate"/>
                </w:r>
                <w:r>
                  <w:rPr/>
                  <w:t>15</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pt;width:603.1pt;height:48.15pt;mso-position-horizontal-relative:page;mso-position-vertical-relative:page;z-index:-16427520" coordorigin="0,0" coordsize="12062,963">
          <v:rect style="position:absolute;left:0;top:650;width:12062;height:312" filled="true" fillcolor="#dfdfe4" stroked="false">
            <v:fill type="solid"/>
          </v:rect>
          <v:rect style="position:absolute;left:0;top:0;width:12062;height:651" filled="true" fillcolor="#745ba2" stroked="false">
            <v:fill type="solid"/>
          </v:rect>
          <w10:wrap type="none"/>
        </v:group>
      </w:pict>
    </w:r>
    <w:r>
      <w:rPr/>
      <w:pict>
        <v:shape style="position:absolute;margin-left:43.851002pt;margin-top:16.785263pt;width:153.050pt;height:29.15pt;mso-position-horizontal-relative:page;mso-position-vertical-relative:page;z-index:-16427008" type="#_x0000_t202" filled="false" stroked="false">
          <v:textbox inset="0,0,0,0">
            <w:txbxContent>
              <w:p>
                <w:pPr>
                  <w:spacing w:before="13"/>
                  <w:ind w:left="20" w:right="0" w:firstLine="0"/>
                  <w:jc w:val="left"/>
                  <w:rPr>
                    <w:rFonts w:ascii="Arial" w:hAnsi="Arial"/>
                    <w:sz w:val="20"/>
                  </w:rPr>
                </w:pPr>
                <w:r>
                  <w:rPr>
                    <w:rFonts w:ascii="Arial" w:hAnsi="Arial"/>
                    <w:b/>
                    <w:color w:val="FFFFFF"/>
                    <w:sz w:val="20"/>
                  </w:rPr>
                  <w:t>PHẦN 1 </w:t>
                </w:r>
                <w:r>
                  <w:rPr>
                    <w:rFonts w:ascii="Arial" w:hAnsi="Arial"/>
                    <w:color w:val="FFFFFF"/>
                    <w:sz w:val="20"/>
                  </w:rPr>
                  <w:t>| NGUYÊN TẮC CƠ</w:t>
                </w:r>
                <w:r>
                  <w:rPr>
                    <w:rFonts w:ascii="Arial" w:hAnsi="Arial"/>
                    <w:color w:val="FFFFFF"/>
                    <w:spacing w:val="-35"/>
                    <w:sz w:val="20"/>
                  </w:rPr>
                  <w:t> </w:t>
                </w:r>
                <w:r>
                  <w:rPr>
                    <w:rFonts w:ascii="Arial" w:hAnsi="Arial"/>
                    <w:color w:val="FFFFFF"/>
                    <w:sz w:val="20"/>
                  </w:rPr>
                  <w:t>BẢN</w:t>
                </w:r>
              </w:p>
              <w:p>
                <w:pPr>
                  <w:spacing w:before="112"/>
                  <w:ind w:left="22" w:right="0" w:firstLine="0"/>
                  <w:jc w:val="left"/>
                  <w:rPr>
                    <w:rFonts w:ascii="Arial" w:hAnsi="Arial"/>
                    <w:sz w:val="18"/>
                  </w:rPr>
                </w:pPr>
                <w:r>
                  <w:rPr>
                    <w:rFonts w:ascii="Arial" w:hAnsi="Arial"/>
                    <w:b/>
                    <w:color w:val="755BA3"/>
                    <w:sz w:val="17"/>
                  </w:rPr>
                  <w:t>CHƯƠNG 2 </w:t>
                </w:r>
                <w:r>
                  <w:rPr>
                    <w:rFonts w:ascii="Arial" w:hAnsi="Arial"/>
                    <w:color w:val="575757"/>
                    <w:sz w:val="18"/>
                  </w:rPr>
                  <w:t>Sốc và truyền máu</w:t>
                </w:r>
              </w:p>
            </w:txbxContent>
          </v:textbox>
          <w10:wrap type="none"/>
        </v:shape>
      </w:pict>
    </w:r>
    <w:r>
      <w:rPr/>
      <w:pict>
        <v:shape style="position:absolute;margin-left:14.595181pt;margin-top:33.413998pt;width:16.05pt;height:12.75pt;mso-position-horizontal-relative:page;mso-position-vertical-relative:page;z-index:-16426496" type="#_x0000_t202" filled="false" stroked="false">
          <v:textbox inset="0,0,0,0">
            <w:txbxContent>
              <w:p>
                <w:pPr>
                  <w:spacing w:before="26"/>
                  <w:ind w:left="60" w:right="0" w:firstLine="0"/>
                  <w:jc w:val="left"/>
                  <w:rPr>
                    <w:rFonts w:ascii="Arial"/>
                    <w:b/>
                    <w:sz w:val="18"/>
                  </w:rPr>
                </w:pPr>
                <w:r>
                  <w:rPr/>
                  <w:fldChar w:fldCharType="begin"/>
                </w:r>
                <w:r>
                  <w:rPr>
                    <w:rFonts w:ascii="Arial"/>
                    <w:b/>
                    <w:color w:val="1C1C1A"/>
                    <w:sz w:val="18"/>
                  </w:rPr>
                  <w:instrText> PAGE </w:instrText>
                </w:r>
                <w:r>
                  <w:rPr/>
                  <w:fldChar w:fldCharType="separate"/>
                </w:r>
                <w:r>
                  <w:rPr/>
                  <w:t>20</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pt;width:603.1pt;height:48.15pt;mso-position-horizontal-relative:page;mso-position-vertical-relative:page;z-index:-16425984" coordorigin="0,0" coordsize="12062,963">
          <v:rect style="position:absolute;left:0;top:650;width:12062;height:312" filled="true" fillcolor="#dfdfe4" stroked="false">
            <v:fill type="solid"/>
          </v:rect>
          <v:rect style="position:absolute;left:0;top:0;width:12062;height:651" filled="true" fillcolor="#745ba2" stroked="false">
            <v:fill type="solid"/>
          </v:rect>
          <w10:wrap type="none"/>
        </v:group>
      </w:pict>
    </w:r>
    <w:r>
      <w:rPr/>
      <w:pict>
        <v:shape style="position:absolute;margin-left:43.851002pt;margin-top:16.785263pt;width:153.050pt;height:29.15pt;mso-position-horizontal-relative:page;mso-position-vertical-relative:page;z-index:-16425472" type="#_x0000_t202" filled="false" stroked="false">
          <v:textbox inset="0,0,0,0">
            <w:txbxContent>
              <w:p>
                <w:pPr>
                  <w:spacing w:before="13"/>
                  <w:ind w:left="20" w:right="0" w:firstLine="0"/>
                  <w:jc w:val="left"/>
                  <w:rPr>
                    <w:rFonts w:ascii="Arial" w:hAnsi="Arial"/>
                    <w:sz w:val="20"/>
                  </w:rPr>
                </w:pPr>
                <w:r>
                  <w:rPr>
                    <w:rFonts w:ascii="Arial" w:hAnsi="Arial"/>
                    <w:b/>
                    <w:color w:val="FFFFFF"/>
                    <w:sz w:val="20"/>
                  </w:rPr>
                  <w:t>PHẦN 1 </w:t>
                </w:r>
                <w:r>
                  <w:rPr>
                    <w:rFonts w:ascii="Arial" w:hAnsi="Arial"/>
                    <w:color w:val="FFFFFF"/>
                    <w:sz w:val="20"/>
                  </w:rPr>
                  <w:t>| NGUYÊN TẮC CƠ</w:t>
                </w:r>
                <w:r>
                  <w:rPr>
                    <w:rFonts w:ascii="Arial" w:hAnsi="Arial"/>
                    <w:color w:val="FFFFFF"/>
                    <w:spacing w:val="-35"/>
                    <w:sz w:val="20"/>
                  </w:rPr>
                  <w:t> </w:t>
                </w:r>
                <w:r>
                  <w:rPr>
                    <w:rFonts w:ascii="Arial" w:hAnsi="Arial"/>
                    <w:color w:val="FFFFFF"/>
                    <w:sz w:val="20"/>
                  </w:rPr>
                  <w:t>BẢN</w:t>
                </w:r>
              </w:p>
              <w:p>
                <w:pPr>
                  <w:spacing w:before="112"/>
                  <w:ind w:left="22" w:right="0" w:firstLine="0"/>
                  <w:jc w:val="left"/>
                  <w:rPr>
                    <w:rFonts w:ascii="Arial" w:hAnsi="Arial"/>
                    <w:sz w:val="18"/>
                  </w:rPr>
                </w:pPr>
                <w:r>
                  <w:rPr>
                    <w:rFonts w:ascii="Arial" w:hAnsi="Arial"/>
                    <w:b/>
                    <w:color w:val="755BA3"/>
                    <w:sz w:val="17"/>
                  </w:rPr>
                  <w:t>CHƯƠNG 2 </w:t>
                </w:r>
                <w:r>
                  <w:rPr>
                    <w:rFonts w:ascii="Arial" w:hAnsi="Arial"/>
                    <w:color w:val="575757"/>
                    <w:sz w:val="18"/>
                  </w:rPr>
                  <w:t>Sốc và truyền máu</w:t>
                </w:r>
              </w:p>
            </w:txbxContent>
          </v:textbox>
          <w10:wrap type="none"/>
        </v:shape>
      </w:pict>
    </w:r>
    <w:r>
      <w:rPr/>
      <w:pict>
        <v:shape style="position:absolute;margin-left:14.595181pt;margin-top:33.413998pt;width:16.05pt;height:12.75pt;mso-position-horizontal-relative:page;mso-position-vertical-relative:page;z-index:-16424960" type="#_x0000_t202" filled="false" stroked="false">
          <v:textbox inset="0,0,0,0">
            <w:txbxContent>
              <w:p>
                <w:pPr>
                  <w:spacing w:before="26"/>
                  <w:ind w:left="60" w:right="0" w:firstLine="0"/>
                  <w:jc w:val="left"/>
                  <w:rPr>
                    <w:rFonts w:ascii="Arial"/>
                    <w:b/>
                    <w:sz w:val="18"/>
                  </w:rPr>
                </w:pPr>
                <w:r>
                  <w:rPr/>
                  <w:fldChar w:fldCharType="begin"/>
                </w:r>
                <w:r>
                  <w:rPr>
                    <w:rFonts w:ascii="Arial"/>
                    <w:b/>
                    <w:color w:val="1C1C1A"/>
                    <w:sz w:val="18"/>
                  </w:rPr>
                  <w:instrText> PAGE </w:instrText>
                </w:r>
                <w:r>
                  <w:rPr/>
                  <w:fldChar w:fldCharType="separate"/>
                </w:r>
                <w:r>
                  <w:rPr/>
                  <w:t>22</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344" w:hanging="260"/>
      </w:pPr>
      <w:rPr>
        <w:rFonts w:hint="default" w:ascii="Times New Roman" w:hAnsi="Times New Roman" w:eastAsia="Times New Roman" w:cs="Times New Roman"/>
        <w:color w:val="755BA3"/>
        <w:w w:val="100"/>
        <w:position w:val="1"/>
        <w:sz w:val="13"/>
        <w:szCs w:val="13"/>
        <w:lang w:val="vi" w:eastAsia="en-US" w:bidi="ar-SA"/>
      </w:rPr>
    </w:lvl>
    <w:lvl w:ilvl="1">
      <w:start w:val="0"/>
      <w:numFmt w:val="bullet"/>
      <w:lvlText w:val="●"/>
      <w:lvlJc w:val="left"/>
      <w:pPr>
        <w:ind w:left="642" w:hanging="260"/>
      </w:pPr>
      <w:rPr>
        <w:rFonts w:hint="default" w:ascii="Times New Roman" w:hAnsi="Times New Roman" w:eastAsia="Times New Roman" w:cs="Times New Roman"/>
        <w:color w:val="B6ACD4"/>
        <w:w w:val="100"/>
        <w:position w:val="1"/>
        <w:sz w:val="13"/>
        <w:szCs w:val="13"/>
        <w:lang w:val="vi" w:eastAsia="en-US" w:bidi="ar-SA"/>
      </w:rPr>
    </w:lvl>
    <w:lvl w:ilvl="2">
      <w:start w:val="0"/>
      <w:numFmt w:val="bullet"/>
      <w:lvlText w:val="•"/>
      <w:lvlJc w:val="left"/>
      <w:pPr>
        <w:ind w:left="1223" w:hanging="260"/>
      </w:pPr>
      <w:rPr>
        <w:rFonts w:hint="default"/>
        <w:lang w:val="vi" w:eastAsia="en-US" w:bidi="ar-SA"/>
      </w:rPr>
    </w:lvl>
    <w:lvl w:ilvl="3">
      <w:start w:val="0"/>
      <w:numFmt w:val="bullet"/>
      <w:lvlText w:val="•"/>
      <w:lvlJc w:val="left"/>
      <w:pPr>
        <w:ind w:left="1806" w:hanging="260"/>
      </w:pPr>
      <w:rPr>
        <w:rFonts w:hint="default"/>
        <w:lang w:val="vi" w:eastAsia="en-US" w:bidi="ar-SA"/>
      </w:rPr>
    </w:lvl>
    <w:lvl w:ilvl="4">
      <w:start w:val="0"/>
      <w:numFmt w:val="bullet"/>
      <w:lvlText w:val="•"/>
      <w:lvlJc w:val="left"/>
      <w:pPr>
        <w:ind w:left="2389" w:hanging="260"/>
      </w:pPr>
      <w:rPr>
        <w:rFonts w:hint="default"/>
        <w:lang w:val="vi" w:eastAsia="en-US" w:bidi="ar-SA"/>
      </w:rPr>
    </w:lvl>
    <w:lvl w:ilvl="5">
      <w:start w:val="0"/>
      <w:numFmt w:val="bullet"/>
      <w:lvlText w:val="•"/>
      <w:lvlJc w:val="left"/>
      <w:pPr>
        <w:ind w:left="2972" w:hanging="260"/>
      </w:pPr>
      <w:rPr>
        <w:rFonts w:hint="default"/>
        <w:lang w:val="vi" w:eastAsia="en-US" w:bidi="ar-SA"/>
      </w:rPr>
    </w:lvl>
    <w:lvl w:ilvl="6">
      <w:start w:val="0"/>
      <w:numFmt w:val="bullet"/>
      <w:lvlText w:val="•"/>
      <w:lvlJc w:val="left"/>
      <w:pPr>
        <w:ind w:left="3555" w:hanging="260"/>
      </w:pPr>
      <w:rPr>
        <w:rFonts w:hint="default"/>
        <w:lang w:val="vi" w:eastAsia="en-US" w:bidi="ar-SA"/>
      </w:rPr>
    </w:lvl>
    <w:lvl w:ilvl="7">
      <w:start w:val="0"/>
      <w:numFmt w:val="bullet"/>
      <w:lvlText w:val="•"/>
      <w:lvlJc w:val="left"/>
      <w:pPr>
        <w:ind w:left="4138" w:hanging="260"/>
      </w:pPr>
      <w:rPr>
        <w:rFonts w:hint="default"/>
        <w:lang w:val="vi" w:eastAsia="en-US" w:bidi="ar-SA"/>
      </w:rPr>
    </w:lvl>
    <w:lvl w:ilvl="8">
      <w:start w:val="0"/>
      <w:numFmt w:val="bullet"/>
      <w:lvlText w:val="•"/>
      <w:lvlJc w:val="left"/>
      <w:pPr>
        <w:ind w:left="4721" w:hanging="260"/>
      </w:pPr>
      <w:rPr>
        <w:rFonts w:hint="default"/>
        <w:lang w:val="vi" w:eastAsia="en-US" w:bidi="ar-SA"/>
      </w:rPr>
    </w:lvl>
  </w:abstractNum>
  <w:abstractNum w:abstractNumId="2">
    <w:multiLevelType w:val="hybridMultilevel"/>
    <w:lvl w:ilvl="0">
      <w:start w:val="1"/>
      <w:numFmt w:val="decimal"/>
      <w:lvlText w:val="%1"/>
      <w:lvlJc w:val="left"/>
      <w:pPr>
        <w:ind w:left="1177" w:hanging="273"/>
        <w:jc w:val="left"/>
      </w:pPr>
      <w:rPr>
        <w:rFonts w:hint="default" w:ascii="Times New Roman" w:hAnsi="Times New Roman" w:eastAsia="Times New Roman" w:cs="Times New Roman"/>
        <w:b/>
        <w:bCs/>
        <w:color w:val="755BA3"/>
        <w:w w:val="100"/>
        <w:sz w:val="20"/>
        <w:szCs w:val="20"/>
        <w:lang w:val="vi" w:eastAsia="en-US" w:bidi="ar-SA"/>
      </w:rPr>
    </w:lvl>
    <w:lvl w:ilvl="1">
      <w:start w:val="0"/>
      <w:numFmt w:val="bullet"/>
      <w:lvlText w:val="•"/>
      <w:lvlJc w:val="left"/>
      <w:pPr>
        <w:ind w:left="1665" w:hanging="273"/>
      </w:pPr>
      <w:rPr>
        <w:rFonts w:hint="default"/>
        <w:lang w:val="vi" w:eastAsia="en-US" w:bidi="ar-SA"/>
      </w:rPr>
    </w:lvl>
    <w:lvl w:ilvl="2">
      <w:start w:val="0"/>
      <w:numFmt w:val="bullet"/>
      <w:lvlText w:val="•"/>
      <w:lvlJc w:val="left"/>
      <w:pPr>
        <w:ind w:left="2150" w:hanging="273"/>
      </w:pPr>
      <w:rPr>
        <w:rFonts w:hint="default"/>
        <w:lang w:val="vi" w:eastAsia="en-US" w:bidi="ar-SA"/>
      </w:rPr>
    </w:lvl>
    <w:lvl w:ilvl="3">
      <w:start w:val="0"/>
      <w:numFmt w:val="bullet"/>
      <w:lvlText w:val="•"/>
      <w:lvlJc w:val="left"/>
      <w:pPr>
        <w:ind w:left="2635" w:hanging="273"/>
      </w:pPr>
      <w:rPr>
        <w:rFonts w:hint="default"/>
        <w:lang w:val="vi" w:eastAsia="en-US" w:bidi="ar-SA"/>
      </w:rPr>
    </w:lvl>
    <w:lvl w:ilvl="4">
      <w:start w:val="0"/>
      <w:numFmt w:val="bullet"/>
      <w:lvlText w:val="•"/>
      <w:lvlJc w:val="left"/>
      <w:pPr>
        <w:ind w:left="3120" w:hanging="273"/>
      </w:pPr>
      <w:rPr>
        <w:rFonts w:hint="default"/>
        <w:lang w:val="vi" w:eastAsia="en-US" w:bidi="ar-SA"/>
      </w:rPr>
    </w:lvl>
    <w:lvl w:ilvl="5">
      <w:start w:val="0"/>
      <w:numFmt w:val="bullet"/>
      <w:lvlText w:val="•"/>
      <w:lvlJc w:val="left"/>
      <w:pPr>
        <w:ind w:left="3605" w:hanging="273"/>
      </w:pPr>
      <w:rPr>
        <w:rFonts w:hint="default"/>
        <w:lang w:val="vi" w:eastAsia="en-US" w:bidi="ar-SA"/>
      </w:rPr>
    </w:lvl>
    <w:lvl w:ilvl="6">
      <w:start w:val="0"/>
      <w:numFmt w:val="bullet"/>
      <w:lvlText w:val="•"/>
      <w:lvlJc w:val="left"/>
      <w:pPr>
        <w:ind w:left="4090" w:hanging="273"/>
      </w:pPr>
      <w:rPr>
        <w:rFonts w:hint="default"/>
        <w:lang w:val="vi" w:eastAsia="en-US" w:bidi="ar-SA"/>
      </w:rPr>
    </w:lvl>
    <w:lvl w:ilvl="7">
      <w:start w:val="0"/>
      <w:numFmt w:val="bullet"/>
      <w:lvlText w:val="•"/>
      <w:lvlJc w:val="left"/>
      <w:pPr>
        <w:ind w:left="4576" w:hanging="273"/>
      </w:pPr>
      <w:rPr>
        <w:rFonts w:hint="default"/>
        <w:lang w:val="vi" w:eastAsia="en-US" w:bidi="ar-SA"/>
      </w:rPr>
    </w:lvl>
    <w:lvl w:ilvl="8">
      <w:start w:val="0"/>
      <w:numFmt w:val="bullet"/>
      <w:lvlText w:val="•"/>
      <w:lvlJc w:val="left"/>
      <w:pPr>
        <w:ind w:left="5061" w:hanging="273"/>
      </w:pPr>
      <w:rPr>
        <w:rFonts w:hint="default"/>
        <w:lang w:val="vi" w:eastAsia="en-US" w:bidi="ar-SA"/>
      </w:rPr>
    </w:lvl>
  </w:abstractNum>
  <w:abstractNum w:abstractNumId="1">
    <w:multiLevelType w:val="hybridMultilevel"/>
    <w:lvl w:ilvl="0">
      <w:start w:val="0"/>
      <w:numFmt w:val="bullet"/>
      <w:lvlText w:val="●"/>
      <w:lvlJc w:val="left"/>
      <w:pPr>
        <w:ind w:left="226" w:hanging="227"/>
      </w:pPr>
      <w:rPr>
        <w:rFonts w:hint="default" w:ascii="Arial" w:hAnsi="Arial" w:eastAsia="Arial" w:cs="Arial"/>
        <w:color w:val="755BA3"/>
        <w:w w:val="130"/>
        <w:position w:val="2"/>
        <w:sz w:val="10"/>
        <w:szCs w:val="10"/>
        <w:lang w:val="vi" w:eastAsia="en-US" w:bidi="ar-SA"/>
      </w:rPr>
    </w:lvl>
    <w:lvl w:ilvl="1">
      <w:start w:val="0"/>
      <w:numFmt w:val="bullet"/>
      <w:lvlText w:val="•"/>
      <w:lvlJc w:val="left"/>
      <w:pPr>
        <w:ind w:left="457" w:hanging="227"/>
      </w:pPr>
      <w:rPr>
        <w:rFonts w:hint="default"/>
        <w:lang w:val="vi" w:eastAsia="en-US" w:bidi="ar-SA"/>
      </w:rPr>
    </w:lvl>
    <w:lvl w:ilvl="2">
      <w:start w:val="0"/>
      <w:numFmt w:val="bullet"/>
      <w:lvlText w:val="•"/>
      <w:lvlJc w:val="left"/>
      <w:pPr>
        <w:ind w:left="695" w:hanging="227"/>
      </w:pPr>
      <w:rPr>
        <w:rFonts w:hint="default"/>
        <w:lang w:val="vi" w:eastAsia="en-US" w:bidi="ar-SA"/>
      </w:rPr>
    </w:lvl>
    <w:lvl w:ilvl="3">
      <w:start w:val="0"/>
      <w:numFmt w:val="bullet"/>
      <w:lvlText w:val="•"/>
      <w:lvlJc w:val="left"/>
      <w:pPr>
        <w:ind w:left="933" w:hanging="227"/>
      </w:pPr>
      <w:rPr>
        <w:rFonts w:hint="default"/>
        <w:lang w:val="vi" w:eastAsia="en-US" w:bidi="ar-SA"/>
      </w:rPr>
    </w:lvl>
    <w:lvl w:ilvl="4">
      <w:start w:val="0"/>
      <w:numFmt w:val="bullet"/>
      <w:lvlText w:val="•"/>
      <w:lvlJc w:val="left"/>
      <w:pPr>
        <w:ind w:left="1171" w:hanging="227"/>
      </w:pPr>
      <w:rPr>
        <w:rFonts w:hint="default"/>
        <w:lang w:val="vi" w:eastAsia="en-US" w:bidi="ar-SA"/>
      </w:rPr>
    </w:lvl>
    <w:lvl w:ilvl="5">
      <w:start w:val="0"/>
      <w:numFmt w:val="bullet"/>
      <w:lvlText w:val="•"/>
      <w:lvlJc w:val="left"/>
      <w:pPr>
        <w:ind w:left="1409" w:hanging="227"/>
      </w:pPr>
      <w:rPr>
        <w:rFonts w:hint="default"/>
        <w:lang w:val="vi" w:eastAsia="en-US" w:bidi="ar-SA"/>
      </w:rPr>
    </w:lvl>
    <w:lvl w:ilvl="6">
      <w:start w:val="0"/>
      <w:numFmt w:val="bullet"/>
      <w:lvlText w:val="•"/>
      <w:lvlJc w:val="left"/>
      <w:pPr>
        <w:ind w:left="1647" w:hanging="227"/>
      </w:pPr>
      <w:rPr>
        <w:rFonts w:hint="default"/>
        <w:lang w:val="vi" w:eastAsia="en-US" w:bidi="ar-SA"/>
      </w:rPr>
    </w:lvl>
    <w:lvl w:ilvl="7">
      <w:start w:val="0"/>
      <w:numFmt w:val="bullet"/>
      <w:lvlText w:val="•"/>
      <w:lvlJc w:val="left"/>
      <w:pPr>
        <w:ind w:left="1884" w:hanging="227"/>
      </w:pPr>
      <w:rPr>
        <w:rFonts w:hint="default"/>
        <w:lang w:val="vi" w:eastAsia="en-US" w:bidi="ar-SA"/>
      </w:rPr>
    </w:lvl>
    <w:lvl w:ilvl="8">
      <w:start w:val="0"/>
      <w:numFmt w:val="bullet"/>
      <w:lvlText w:val="•"/>
      <w:lvlJc w:val="left"/>
      <w:pPr>
        <w:ind w:left="2122" w:hanging="227"/>
      </w:pPr>
      <w:rPr>
        <w:rFonts w:hint="default"/>
        <w:lang w:val="vi" w:eastAsia="en-US" w:bidi="ar-SA"/>
      </w:rPr>
    </w:lvl>
  </w:abstractNum>
  <w:abstractNum w:abstractNumId="0">
    <w:multiLevelType w:val="hybridMultilevel"/>
    <w:lvl w:ilvl="0">
      <w:start w:val="0"/>
      <w:numFmt w:val="bullet"/>
      <w:lvlText w:val="•"/>
      <w:lvlJc w:val="left"/>
      <w:pPr>
        <w:ind w:left="1161" w:hanging="253"/>
      </w:pPr>
      <w:rPr>
        <w:rFonts w:hint="default" w:ascii="Arial" w:hAnsi="Arial" w:eastAsia="Arial" w:cs="Arial"/>
        <w:b/>
        <w:bCs/>
        <w:color w:val="755BA3"/>
        <w:w w:val="102"/>
        <w:sz w:val="20"/>
        <w:szCs w:val="20"/>
        <w:lang w:val="vi" w:eastAsia="en-US" w:bidi="ar-SA"/>
      </w:rPr>
    </w:lvl>
    <w:lvl w:ilvl="1">
      <w:start w:val="0"/>
      <w:numFmt w:val="bullet"/>
      <w:lvlText w:val="•"/>
      <w:lvlJc w:val="left"/>
      <w:pPr>
        <w:ind w:left="1492" w:hanging="253"/>
      </w:pPr>
      <w:rPr>
        <w:rFonts w:hint="default"/>
        <w:lang w:val="vi" w:eastAsia="en-US" w:bidi="ar-SA"/>
      </w:rPr>
    </w:lvl>
    <w:lvl w:ilvl="2">
      <w:start w:val="0"/>
      <w:numFmt w:val="bullet"/>
      <w:lvlText w:val="•"/>
      <w:lvlJc w:val="left"/>
      <w:pPr>
        <w:ind w:left="1825" w:hanging="253"/>
      </w:pPr>
      <w:rPr>
        <w:rFonts w:hint="default"/>
        <w:lang w:val="vi" w:eastAsia="en-US" w:bidi="ar-SA"/>
      </w:rPr>
    </w:lvl>
    <w:lvl w:ilvl="3">
      <w:start w:val="0"/>
      <w:numFmt w:val="bullet"/>
      <w:lvlText w:val="•"/>
      <w:lvlJc w:val="left"/>
      <w:pPr>
        <w:ind w:left="2158" w:hanging="253"/>
      </w:pPr>
      <w:rPr>
        <w:rFonts w:hint="default"/>
        <w:lang w:val="vi" w:eastAsia="en-US" w:bidi="ar-SA"/>
      </w:rPr>
    </w:lvl>
    <w:lvl w:ilvl="4">
      <w:start w:val="0"/>
      <w:numFmt w:val="bullet"/>
      <w:lvlText w:val="•"/>
      <w:lvlJc w:val="left"/>
      <w:pPr>
        <w:ind w:left="2490" w:hanging="253"/>
      </w:pPr>
      <w:rPr>
        <w:rFonts w:hint="default"/>
        <w:lang w:val="vi" w:eastAsia="en-US" w:bidi="ar-SA"/>
      </w:rPr>
    </w:lvl>
    <w:lvl w:ilvl="5">
      <w:start w:val="0"/>
      <w:numFmt w:val="bullet"/>
      <w:lvlText w:val="•"/>
      <w:lvlJc w:val="left"/>
      <w:pPr>
        <w:ind w:left="2823" w:hanging="253"/>
      </w:pPr>
      <w:rPr>
        <w:rFonts w:hint="default"/>
        <w:lang w:val="vi" w:eastAsia="en-US" w:bidi="ar-SA"/>
      </w:rPr>
    </w:lvl>
    <w:lvl w:ilvl="6">
      <w:start w:val="0"/>
      <w:numFmt w:val="bullet"/>
      <w:lvlText w:val="•"/>
      <w:lvlJc w:val="left"/>
      <w:pPr>
        <w:ind w:left="3156" w:hanging="253"/>
      </w:pPr>
      <w:rPr>
        <w:rFonts w:hint="default"/>
        <w:lang w:val="vi" w:eastAsia="en-US" w:bidi="ar-SA"/>
      </w:rPr>
    </w:lvl>
    <w:lvl w:ilvl="7">
      <w:start w:val="0"/>
      <w:numFmt w:val="bullet"/>
      <w:lvlText w:val="•"/>
      <w:lvlJc w:val="left"/>
      <w:pPr>
        <w:ind w:left="3489" w:hanging="253"/>
      </w:pPr>
      <w:rPr>
        <w:rFonts w:hint="default"/>
        <w:lang w:val="vi" w:eastAsia="en-US" w:bidi="ar-SA"/>
      </w:rPr>
    </w:lvl>
    <w:lvl w:ilvl="8">
      <w:start w:val="0"/>
      <w:numFmt w:val="bullet"/>
      <w:lvlText w:val="•"/>
      <w:lvlJc w:val="left"/>
      <w:pPr>
        <w:ind w:left="3821" w:hanging="253"/>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vi" w:eastAsia="en-US" w:bidi="ar-SA"/>
    </w:rPr>
  </w:style>
  <w:style w:styleId="Heading1" w:type="paragraph">
    <w:name w:val="Heading 1"/>
    <w:basedOn w:val="Normal"/>
    <w:uiPriority w:val="1"/>
    <w:qFormat/>
    <w:pPr>
      <w:ind w:left="787"/>
      <w:outlineLvl w:val="1"/>
    </w:pPr>
    <w:rPr>
      <w:rFonts w:ascii="Times New Roman" w:hAnsi="Times New Roman" w:eastAsia="Times New Roman" w:cs="Times New Roman"/>
      <w:b/>
      <w:bCs/>
      <w:sz w:val="32"/>
      <w:szCs w:val="32"/>
      <w:lang w:val="vi" w:eastAsia="en-US" w:bidi="ar-SA"/>
    </w:rPr>
  </w:style>
  <w:style w:styleId="Heading2" w:type="paragraph">
    <w:name w:val="Heading 2"/>
    <w:basedOn w:val="Normal"/>
    <w:uiPriority w:val="1"/>
    <w:qFormat/>
    <w:pPr>
      <w:ind w:left="905"/>
      <w:outlineLvl w:val="2"/>
    </w:pPr>
    <w:rPr>
      <w:rFonts w:ascii="Times New Roman" w:hAnsi="Times New Roman" w:eastAsia="Times New Roman" w:cs="Times New Roman"/>
      <w:b/>
      <w:bCs/>
      <w:sz w:val="29"/>
      <w:szCs w:val="29"/>
      <w:lang w:val="vi" w:eastAsia="en-US" w:bidi="ar-SA"/>
    </w:rPr>
  </w:style>
  <w:style w:styleId="Heading3" w:type="paragraph">
    <w:name w:val="Heading 3"/>
    <w:basedOn w:val="Normal"/>
    <w:uiPriority w:val="1"/>
    <w:qFormat/>
    <w:pPr>
      <w:ind w:left="1018"/>
      <w:outlineLvl w:val="3"/>
    </w:pPr>
    <w:rPr>
      <w:rFonts w:ascii="Times New Roman" w:hAnsi="Times New Roman" w:eastAsia="Times New Roman" w:cs="Times New Roman"/>
      <w:b/>
      <w:bCs/>
      <w:i/>
      <w:sz w:val="24"/>
      <w:szCs w:val="24"/>
      <w:lang w:val="vi" w:eastAsia="en-US" w:bidi="ar-SA"/>
    </w:rPr>
  </w:style>
  <w:style w:styleId="Heading4" w:type="paragraph">
    <w:name w:val="Heading 4"/>
    <w:basedOn w:val="Normal"/>
    <w:uiPriority w:val="1"/>
    <w:qFormat/>
    <w:pPr>
      <w:ind w:left="1019"/>
      <w:outlineLvl w:val="4"/>
    </w:pPr>
    <w:rPr>
      <w:rFonts w:ascii="Times New Roman" w:hAnsi="Times New Roman" w:eastAsia="Times New Roman" w:cs="Times New Roman"/>
      <w:b/>
      <w:bCs/>
      <w:sz w:val="20"/>
      <w:szCs w:val="20"/>
      <w:lang w:val="vi" w:eastAsia="en-US" w:bidi="ar-SA"/>
    </w:rPr>
  </w:style>
  <w:style w:styleId="ListParagraph" w:type="paragraph">
    <w:name w:val="List Paragraph"/>
    <w:basedOn w:val="Normal"/>
    <w:uiPriority w:val="1"/>
    <w:qFormat/>
    <w:pPr>
      <w:spacing w:line="213" w:lineRule="exact"/>
      <w:ind w:left="358" w:hanging="2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30"/>
      <w:ind w:left="69"/>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image" Target="media/image1.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Norman Williams,P. Ronan O’Connell,Andrew W. McCaskie</dc:creator>
  <dc:title>Bailey &amp; Love's Short Practice of Surgery, 27th Edition</dc:title>
  <dcterms:created xsi:type="dcterms:W3CDTF">2021-02-16T15:56:08Z</dcterms:created>
  <dcterms:modified xsi:type="dcterms:W3CDTF">2021-02-16T15:56:08Z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Adobe InDesign CC 2015 (Macintosh)</vt:lpwstr>
  </property>
  <property fmtid="{D5CDD505-2E9C-101B-9397-08002B2CF9AE}" pid="4" name="LastSaved">
    <vt:filetime>2021-02-16T00:00:00Z</vt:filetime>
  </property>
</Properties>
</file>