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 w:after="80" w:before="0"/>
        <w:ind/>
        <w:rPr/>
      </w:pPr>
      <w:r>
        <w:rPr>
          <w:rFonts w:ascii="Calibri" w:hAnsi="Calibri" w:eastAsia="Calibri" w:cs="Calibri"/>
          <w:b/>
          <w:bCs/>
          <w:color w:val="595959"/>
          <w:sz w:val="22"/>
          <w:szCs w:val="22"/>
        </w:rPr>
        <w:t xml:space="preserve">MedPredict</w:t>
      </w:r>
      <w:r/>
    </w:p>
    <w:p>
      <w:pPr>
        <w:pBdr/>
        <w:spacing w:after="100"/>
        <w:ind/>
        <w:rPr/>
      </w:pPr>
      <w:r>
        <w:rPr>
          <w:rFonts w:ascii="Calibri" w:hAnsi="Calibri" w:eastAsia="Calibri" w:cs="Calibri"/>
          <w:b/>
          <w:bCs/>
          <w:sz w:val="40"/>
          <w:szCs w:val="40"/>
        </w:rPr>
        <w:t xml:space="preserve">Предложение проекта</w:t>
      </w:r>
      <w:r/>
    </w:p>
    <w:p>
      <w:pPr>
        <w:pBdr/>
        <w:spacing w:after="160"/>
        <w:ind/>
        <w:rPr/>
      </w:pPr>
      <w:r>
        <w:rPr>
          <w:rFonts w:ascii="Calibri" w:hAnsi="Calibri" w:eastAsia="Calibri" w:cs="Calibri"/>
          <w:color w:val="404040"/>
          <w:sz w:val="22"/>
          <w:szCs w:val="22"/>
        </w:rPr>
        <w:t xml:space="preserve">Разработка интеллектуальной системы прогнозирования медицинских показателей на основе нейронных сетей</w:t>
      </w:r>
      <w:r/>
    </w:p>
    <w:tbl>
      <w:tblPr>
        <w:tblW w:w="963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2120"/>
        <w:gridCol w:w="7518"/>
      </w:tblGrid>
      <w:tr>
        <w:trPr>
          <w:cantSplit/>
          <w:tblHeader/>
        </w:trPr>
        <w:tc>
          <w:tcPr>
            <w:shd w:val="clear" w:color="auto" w:fill="e7e6e6"/>
            <w:tcBorders>
              <w:top w:val="single" w:color="a6a6a6" w:sz="4" w:space="0"/>
              <w:left w:val="single" w:color="a6a6a6" w:sz="4" w:space="0"/>
              <w:bottom w:val="single" w:color="a6a6a6" w:sz="4" w:space="0"/>
              <w:right w:val="single" w:color="a6a6a6" w:sz="4" w:space="0"/>
            </w:tcBorders>
            <w:tcMar>
              <w:left w:w="90" w:type="dxa"/>
              <w:top w:w="50" w:type="dxa"/>
              <w:right w:w="90" w:type="dxa"/>
              <w:bottom w:w="50" w:type="dxa"/>
            </w:tcMar>
            <w:tcW w:w="2120" w:type="dxa"/>
          </w:tcPr>
          <w:p>
            <w:pPr>
              <w:pBdr/>
              <w:spacing w:after="20"/>
              <w:ind/>
              <w:rPr/>
            </w:pPr>
            <w:r>
              <w:rPr>
                <w:rFonts w:ascii="Calibri" w:hAnsi="Calibri" w:eastAsia="Calibri" w:cs="Calibri"/>
                <w:b/>
                <w:bCs/>
                <w:sz w:val="19"/>
                <w:szCs w:val="19"/>
              </w:rPr>
              <w:t xml:space="preserve">Параметр</w:t>
            </w:r>
            <w:r/>
          </w:p>
        </w:tc>
        <w:tc>
          <w:tcPr>
            <w:shd w:val="clear" w:color="auto" w:fill="e7e6e6"/>
            <w:tcBorders>
              <w:top w:val="single" w:color="a6a6a6" w:sz="4" w:space="0"/>
              <w:left w:val="single" w:color="a6a6a6" w:sz="4" w:space="0"/>
              <w:bottom w:val="single" w:color="a6a6a6" w:sz="4" w:space="0"/>
              <w:right w:val="single" w:color="a6a6a6" w:sz="4" w:space="0"/>
            </w:tcBorders>
            <w:tcMar>
              <w:left w:w="90" w:type="dxa"/>
              <w:top w:w="50" w:type="dxa"/>
              <w:right w:w="90" w:type="dxa"/>
              <w:bottom w:w="50" w:type="dxa"/>
            </w:tcMar>
            <w:tcW w:w="7518" w:type="dxa"/>
          </w:tcPr>
          <w:p>
            <w:pPr>
              <w:pBdr/>
              <w:spacing w:after="20"/>
              <w:ind/>
              <w:rPr/>
            </w:pPr>
            <w:r>
              <w:rPr>
                <w:rFonts w:ascii="Calibri" w:hAnsi="Calibri" w:eastAsia="Calibri" w:cs="Calibri"/>
                <w:b/>
                <w:bCs/>
                <w:sz w:val="19"/>
                <w:szCs w:val="19"/>
              </w:rPr>
              <w:t xml:space="preserve">Сведения</w:t>
            </w:r>
            <w:r/>
          </w:p>
        </w:tc>
      </w:tr>
      <w:tr>
        <w:trPr>
          <w:cantSplit/>
        </w:trPr>
        <w:tc>
          <w:tcPr>
            <w:tcBorders>
              <w:top w:val="single" w:color="a6a6a6" w:sz="4" w:space="0"/>
              <w:left w:val="single" w:color="a6a6a6" w:sz="4" w:space="0"/>
              <w:bottom w:val="single" w:color="a6a6a6" w:sz="4" w:space="0"/>
              <w:right w:val="single" w:color="a6a6a6" w:sz="4" w:space="0"/>
            </w:tcBorders>
            <w:tcMar>
              <w:left w:w="90" w:type="dxa"/>
              <w:top w:w="50" w:type="dxa"/>
              <w:right w:w="90" w:type="dxa"/>
              <w:bottom w:w="50" w:type="dxa"/>
            </w:tcMar>
            <w:tcW w:w="2120" w:type="dxa"/>
          </w:tcPr>
          <w:p>
            <w:pPr>
              <w:pBdr/>
              <w:spacing w:after="20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</w:rPr>
              <w:t xml:space="preserve">Версия</w:t>
            </w:r>
            <w:r/>
          </w:p>
        </w:tc>
        <w:tc>
          <w:tcPr>
            <w:tcBorders>
              <w:top w:val="single" w:color="a6a6a6" w:sz="4" w:space="0"/>
              <w:left w:val="single" w:color="a6a6a6" w:sz="4" w:space="0"/>
              <w:bottom w:val="single" w:color="a6a6a6" w:sz="4" w:space="0"/>
              <w:right w:val="single" w:color="a6a6a6" w:sz="4" w:space="0"/>
            </w:tcBorders>
            <w:tcMar>
              <w:left w:w="90" w:type="dxa"/>
              <w:top w:w="50" w:type="dxa"/>
              <w:right w:w="90" w:type="dxa"/>
              <w:bottom w:w="50" w:type="dxa"/>
            </w:tcMar>
            <w:tcW w:w="7518" w:type="dxa"/>
          </w:tcPr>
          <w:p>
            <w:pPr>
              <w:pBdr/>
              <w:spacing w:after="20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</w:rPr>
              <w:t xml:space="preserve">1.1, подготовлена к первой предварительной защите 24 октября 2026 г. (версия 1.0 датирована 16 октября)</w:t>
            </w:r>
            <w:r/>
          </w:p>
        </w:tc>
      </w:tr>
      <w:tr>
        <w:trPr>
          <w:cantSplit/>
        </w:trPr>
        <w:tc>
          <w:tcPr>
            <w:tcBorders>
              <w:top w:val="single" w:color="a6a6a6" w:sz="4" w:space="0"/>
              <w:left w:val="single" w:color="a6a6a6" w:sz="4" w:space="0"/>
              <w:bottom w:val="single" w:color="a6a6a6" w:sz="4" w:space="0"/>
              <w:right w:val="single" w:color="a6a6a6" w:sz="4" w:space="0"/>
            </w:tcBorders>
            <w:tcMar>
              <w:left w:w="90" w:type="dxa"/>
              <w:top w:w="50" w:type="dxa"/>
              <w:right w:w="90" w:type="dxa"/>
              <w:bottom w:w="50" w:type="dxa"/>
            </w:tcMar>
            <w:tcW w:w="2120" w:type="dxa"/>
          </w:tcPr>
          <w:p>
            <w:pPr>
              <w:pBdr/>
              <w:spacing w:after="20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</w:rPr>
              <w:t xml:space="preserve">Дата</w:t>
            </w:r>
            <w:r/>
          </w:p>
        </w:tc>
        <w:tc>
          <w:tcPr>
            <w:tcBorders>
              <w:top w:val="single" w:color="a6a6a6" w:sz="4" w:space="0"/>
              <w:left w:val="single" w:color="a6a6a6" w:sz="4" w:space="0"/>
              <w:bottom w:val="single" w:color="a6a6a6" w:sz="4" w:space="0"/>
              <w:right w:val="single" w:color="a6a6a6" w:sz="4" w:space="0"/>
            </w:tcBorders>
            <w:tcMar>
              <w:left w:w="90" w:type="dxa"/>
              <w:top w:w="50" w:type="dxa"/>
              <w:right w:w="90" w:type="dxa"/>
              <w:bottom w:w="50" w:type="dxa"/>
            </w:tcMar>
            <w:tcW w:w="7518" w:type="dxa"/>
          </w:tcPr>
          <w:p>
            <w:pPr>
              <w:pBdr/>
              <w:spacing w:after="20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</w:rPr>
              <w:t xml:space="preserve">21 октября 2026 г.</w:t>
            </w:r>
            <w:r/>
          </w:p>
        </w:tc>
      </w:tr>
      <w:tr>
        <w:trPr>
          <w:cantSplit/>
        </w:trPr>
        <w:tc>
          <w:tcPr>
            <w:tcBorders>
              <w:top w:val="single" w:color="a6a6a6" w:sz="4" w:space="0"/>
              <w:left w:val="single" w:color="a6a6a6" w:sz="4" w:space="0"/>
              <w:bottom w:val="single" w:color="a6a6a6" w:sz="4" w:space="0"/>
              <w:right w:val="single" w:color="a6a6a6" w:sz="4" w:space="0"/>
            </w:tcBorders>
            <w:tcMar>
              <w:left w:w="90" w:type="dxa"/>
              <w:top w:w="50" w:type="dxa"/>
              <w:right w:w="90" w:type="dxa"/>
              <w:bottom w:w="50" w:type="dxa"/>
            </w:tcMar>
            <w:tcW w:w="2120" w:type="dxa"/>
          </w:tcPr>
          <w:p>
            <w:pPr>
              <w:pBdr/>
              <w:spacing w:after="20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</w:rPr>
              <w:t xml:space="preserve">Университет</w:t>
            </w:r>
            <w:r/>
          </w:p>
        </w:tc>
        <w:tc>
          <w:tcPr>
            <w:tcBorders>
              <w:top w:val="single" w:color="a6a6a6" w:sz="4" w:space="0"/>
              <w:left w:val="single" w:color="a6a6a6" w:sz="4" w:space="0"/>
              <w:bottom w:val="single" w:color="a6a6a6" w:sz="4" w:space="0"/>
              <w:right w:val="single" w:color="a6a6a6" w:sz="4" w:space="0"/>
            </w:tcBorders>
            <w:tcMar>
              <w:left w:w="90" w:type="dxa"/>
              <w:top w:w="50" w:type="dxa"/>
              <w:right w:w="90" w:type="dxa"/>
              <w:bottom w:w="50" w:type="dxa"/>
            </w:tcMar>
            <w:tcW w:w="7518" w:type="dxa"/>
          </w:tcPr>
          <w:p>
            <w:pPr>
              <w:pBdr/>
              <w:spacing w:after="20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</w:rPr>
              <w:t xml:space="preserve">Astana IT University, Software Engineering, группа SE-2409</w:t>
            </w:r>
            <w:r/>
          </w:p>
        </w:tc>
      </w:tr>
      <w:tr>
        <w:trPr>
          <w:cantSplit/>
        </w:trPr>
        <w:tc>
          <w:tcPr>
            <w:tcBorders>
              <w:top w:val="single" w:color="a6a6a6" w:sz="4" w:space="0"/>
              <w:left w:val="single" w:color="a6a6a6" w:sz="4" w:space="0"/>
              <w:bottom w:val="single" w:color="a6a6a6" w:sz="4" w:space="0"/>
              <w:right w:val="single" w:color="a6a6a6" w:sz="4" w:space="0"/>
            </w:tcBorders>
            <w:tcMar>
              <w:left w:w="90" w:type="dxa"/>
              <w:top w:w="50" w:type="dxa"/>
              <w:right w:w="90" w:type="dxa"/>
              <w:bottom w:w="50" w:type="dxa"/>
            </w:tcMar>
            <w:tcW w:w="2120" w:type="dxa"/>
          </w:tcPr>
          <w:p>
            <w:pPr>
              <w:pBdr/>
              <w:spacing w:after="20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</w:rPr>
              <w:t xml:space="preserve">Команда</w:t>
            </w:r>
            <w:r/>
          </w:p>
        </w:tc>
        <w:tc>
          <w:tcPr>
            <w:tcBorders>
              <w:top w:val="single" w:color="a6a6a6" w:sz="4" w:space="0"/>
              <w:left w:val="single" w:color="a6a6a6" w:sz="4" w:space="0"/>
              <w:bottom w:val="single" w:color="a6a6a6" w:sz="4" w:space="0"/>
              <w:right w:val="single" w:color="a6a6a6" w:sz="4" w:space="0"/>
            </w:tcBorders>
            <w:tcMar>
              <w:left w:w="90" w:type="dxa"/>
              <w:top w:w="50" w:type="dxa"/>
              <w:right w:w="90" w:type="dxa"/>
              <w:bottom w:w="50" w:type="dxa"/>
            </w:tcMar>
            <w:tcW w:w="7518" w:type="dxa"/>
          </w:tcPr>
          <w:p>
            <w:pPr>
              <w:pBdr/>
              <w:spacing w:after="20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</w:rPr>
              <w:t xml:space="preserve">Бөгенбаев Санат, Баймен Али, Сеилхан Оралхан</w:t>
            </w:r>
            <w:r/>
          </w:p>
        </w:tc>
      </w:tr>
      <w:tr>
        <w:trPr>
          <w:cantSplit/>
        </w:trPr>
        <w:tc>
          <w:tcPr>
            <w:tcBorders>
              <w:top w:val="single" w:color="a6a6a6" w:sz="4" w:space="0"/>
              <w:left w:val="single" w:color="a6a6a6" w:sz="4" w:space="0"/>
              <w:bottom w:val="single" w:color="a6a6a6" w:sz="4" w:space="0"/>
              <w:right w:val="single" w:color="a6a6a6" w:sz="4" w:space="0"/>
            </w:tcBorders>
            <w:tcMar>
              <w:left w:w="90" w:type="dxa"/>
              <w:top w:w="50" w:type="dxa"/>
              <w:right w:w="90" w:type="dxa"/>
              <w:bottom w:w="50" w:type="dxa"/>
            </w:tcMar>
            <w:tcW w:w="2120" w:type="dxa"/>
          </w:tcPr>
          <w:p>
            <w:pPr>
              <w:pBdr/>
              <w:spacing w:after="20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</w:rPr>
              <w:t xml:space="preserve">Научный руководитель</w:t>
            </w:r>
            <w:r/>
          </w:p>
        </w:tc>
        <w:tc>
          <w:tcPr>
            <w:tcBorders>
              <w:top w:val="single" w:color="a6a6a6" w:sz="4" w:space="0"/>
              <w:left w:val="single" w:color="a6a6a6" w:sz="4" w:space="0"/>
              <w:bottom w:val="single" w:color="a6a6a6" w:sz="4" w:space="0"/>
              <w:right w:val="single" w:color="a6a6a6" w:sz="4" w:space="0"/>
            </w:tcBorders>
            <w:tcMar>
              <w:left w:w="90" w:type="dxa"/>
              <w:top w:w="50" w:type="dxa"/>
              <w:right w:w="90" w:type="dxa"/>
              <w:bottom w:w="50" w:type="dxa"/>
            </w:tcMar>
            <w:tcW w:w="7518" w:type="dxa"/>
          </w:tcPr>
          <w:p>
            <w:pPr>
              <w:pBdr/>
              <w:spacing w:after="20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</w:rPr>
              <w:t xml:space="preserve">Турарова Маржан Кабдыкалиевна </w:t>
            </w:r>
            <w:r/>
          </w:p>
        </w:tc>
      </w:tr>
      <w:tr>
        <w:trPr>
          <w:cantSplit/>
        </w:trPr>
        <w:tc>
          <w:tcPr>
            <w:tcBorders>
              <w:top w:val="single" w:color="a6a6a6" w:sz="4" w:space="0"/>
              <w:left w:val="single" w:color="a6a6a6" w:sz="4" w:space="0"/>
              <w:bottom w:val="single" w:color="a6a6a6" w:sz="4" w:space="0"/>
              <w:right w:val="single" w:color="a6a6a6" w:sz="4" w:space="0"/>
            </w:tcBorders>
            <w:tcMar>
              <w:left w:w="90" w:type="dxa"/>
              <w:top w:w="50" w:type="dxa"/>
              <w:right w:w="90" w:type="dxa"/>
              <w:bottom w:w="50" w:type="dxa"/>
            </w:tcMar>
            <w:tcW w:w="2120" w:type="dxa"/>
          </w:tcPr>
          <w:p>
            <w:pPr>
              <w:pBdr/>
              <w:spacing w:after="20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</w:rPr>
              <w:t xml:space="preserve">Статус</w:t>
            </w:r>
            <w:r/>
          </w:p>
        </w:tc>
        <w:tc>
          <w:tcPr>
            <w:tcBorders>
              <w:top w:val="single" w:color="a6a6a6" w:sz="4" w:space="0"/>
              <w:left w:val="single" w:color="a6a6a6" w:sz="4" w:space="0"/>
              <w:bottom w:val="single" w:color="a6a6a6" w:sz="4" w:space="0"/>
              <w:right w:val="single" w:color="a6a6a6" w:sz="4" w:space="0"/>
            </w:tcBorders>
            <w:tcMar>
              <w:left w:w="90" w:type="dxa"/>
              <w:top w:w="50" w:type="dxa"/>
              <w:right w:w="90" w:type="dxa"/>
              <w:bottom w:w="50" w:type="dxa"/>
            </w:tcMar>
            <w:tcW w:w="7518" w:type="dxa"/>
          </w:tcPr>
          <w:p>
            <w:pPr>
              <w:pBdr/>
              <w:spacing w:after="20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</w:rPr>
              <w:t xml:space="preserve">Черновик для рассмотрения командой и научным руководителем. Одобрение пока не получено.</w:t>
            </w:r>
            <w:r/>
          </w:p>
        </w:tc>
      </w:tr>
    </w:tbl>
    <w:p>
      <w:pPr>
        <w:pBdr/>
        <w:spacing w:after="60"/>
        <w:ind/>
        <w:rPr/>
      </w:pPr>
      <w:r/>
      <w:r/>
    </w:p>
    <w:p>
      <w:pPr>
        <w:pStyle w:val="735"/>
        <w:keepNext w:val="true"/>
        <w:pBdr/>
        <w:spacing/>
        <w:ind/>
        <w:rPr/>
      </w:pPr>
      <w:r>
        <w:rPr>
          <w:rFonts w:ascii="Calibri" w:hAnsi="Calibri" w:eastAsia="Calibri" w:cs="Calibri"/>
        </w:rPr>
        <w:t xml:space="preserve">1. Официальная тема и команда</w:t>
      </w:r>
      <w:r/>
    </w:p>
    <w:p>
      <w:pPr>
        <w:pBdr/>
        <w:spacing w:after="120" w:line="276" w:lineRule="auto"/>
        <w:ind/>
        <w:rPr/>
      </w:pPr>
      <w:r>
        <w:rPr>
          <w:rFonts w:ascii="Calibri" w:hAnsi="Calibri" w:eastAsia="Calibri" w:cs="Calibri"/>
          <w:b/>
          <w:bCs/>
        </w:rPr>
        <w:t xml:space="preserve">«Разработка интеллектуальной системы прогнозирования медицинских показателей на основе нейронных сетей»</w:t>
      </w:r>
      <w:r/>
    </w:p>
    <w:p>
      <w:pPr>
        <w:pBdr/>
        <w:spacing w:after="120" w:line="276" w:lineRule="auto"/>
        <w:ind/>
        <w:rPr/>
      </w:pPr>
      <w:r>
        <w:rPr>
          <w:rFonts w:ascii="Calibri" w:hAnsi="Calibri" w:eastAsia="Calibri" w:cs="Calibri"/>
        </w:rPr>
        <w:t xml:space="preserve">Тема приведена до</w:t>
      </w:r>
      <w:r>
        <w:rPr>
          <w:rFonts w:ascii="Calibri" w:hAnsi="Calibri" w:eastAsia="Calibri" w:cs="Calibri"/>
        </w:rPr>
        <w:t xml:space="preserve">словно в той формулировке, которая была передана команде. Документа с официальным утверждением темы нет. MedPredict — учебный исследовательский прототип. Его результат не является диагнозом, рекомендацией по лечению или основанием для клинического решения.</w:t>
      </w:r>
      <w:r/>
    </w:p>
    <w:tbl>
      <w:tblPr>
        <w:tblW w:w="963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2120"/>
        <w:gridCol w:w="4047"/>
        <w:gridCol w:w="3471"/>
      </w:tblGrid>
      <w:tr>
        <w:trPr>
          <w:cantSplit/>
          <w:tblHeader/>
        </w:trPr>
        <w:tc>
          <w:tcPr>
            <w:shd w:val="clear" w:color="auto" w:fill="e7e6e6"/>
            <w:tcBorders>
              <w:top w:val="single" w:color="a6a6a6" w:sz="4" w:space="0"/>
              <w:left w:val="single" w:color="a6a6a6" w:sz="4" w:space="0"/>
              <w:bottom w:val="single" w:color="a6a6a6" w:sz="4" w:space="0"/>
              <w:right w:val="single" w:color="a6a6a6" w:sz="4" w:space="0"/>
            </w:tcBorders>
            <w:tcMar>
              <w:left w:w="90" w:type="dxa"/>
              <w:top w:w="50" w:type="dxa"/>
              <w:right w:w="90" w:type="dxa"/>
              <w:bottom w:w="50" w:type="dxa"/>
            </w:tcMar>
            <w:tcW w:w="2120" w:type="dxa"/>
          </w:tcPr>
          <w:p>
            <w:pPr>
              <w:pBdr/>
              <w:spacing w:after="20"/>
              <w:ind/>
              <w:rPr/>
            </w:pPr>
            <w:r>
              <w:rPr>
                <w:rFonts w:ascii="Calibri" w:hAnsi="Calibri" w:eastAsia="Calibri" w:cs="Calibri"/>
                <w:b/>
                <w:bCs/>
                <w:sz w:val="18"/>
                <w:szCs w:val="18"/>
              </w:rPr>
              <w:t xml:space="preserve">Участник</w:t>
            </w:r>
            <w:r/>
          </w:p>
        </w:tc>
        <w:tc>
          <w:tcPr>
            <w:shd w:val="clear" w:color="auto" w:fill="e7e6e6"/>
            <w:tcBorders>
              <w:top w:val="single" w:color="a6a6a6" w:sz="4" w:space="0"/>
              <w:left w:val="single" w:color="a6a6a6" w:sz="4" w:space="0"/>
              <w:bottom w:val="single" w:color="a6a6a6" w:sz="4" w:space="0"/>
              <w:right w:val="single" w:color="a6a6a6" w:sz="4" w:space="0"/>
            </w:tcBorders>
            <w:tcMar>
              <w:left w:w="90" w:type="dxa"/>
              <w:top w:w="50" w:type="dxa"/>
              <w:right w:w="90" w:type="dxa"/>
              <w:bottom w:w="50" w:type="dxa"/>
            </w:tcMar>
            <w:tcW w:w="4047" w:type="dxa"/>
          </w:tcPr>
          <w:p>
            <w:pPr>
              <w:pBdr/>
              <w:spacing w:after="20"/>
              <w:ind/>
              <w:rPr/>
            </w:pPr>
            <w:r>
              <w:rPr>
                <w:rFonts w:ascii="Calibri" w:hAnsi="Calibri" w:eastAsia="Calibri" w:cs="Calibri"/>
                <w:b/>
                <w:bCs/>
                <w:sz w:val="18"/>
                <w:szCs w:val="18"/>
              </w:rPr>
              <w:t xml:space="preserve">Ответственность</w:t>
            </w:r>
            <w:r/>
          </w:p>
        </w:tc>
        <w:tc>
          <w:tcPr>
            <w:shd w:val="clear" w:color="auto" w:fill="e7e6e6"/>
            <w:tcBorders>
              <w:top w:val="single" w:color="a6a6a6" w:sz="4" w:space="0"/>
              <w:left w:val="single" w:color="a6a6a6" w:sz="4" w:space="0"/>
              <w:bottom w:val="single" w:color="a6a6a6" w:sz="4" w:space="0"/>
              <w:right w:val="single" w:color="a6a6a6" w:sz="4" w:space="0"/>
            </w:tcBorders>
            <w:tcMar>
              <w:left w:w="90" w:type="dxa"/>
              <w:top w:w="50" w:type="dxa"/>
              <w:right w:w="90" w:type="dxa"/>
              <w:bottom w:w="50" w:type="dxa"/>
            </w:tcMar>
            <w:tcW w:w="3471" w:type="dxa"/>
          </w:tcPr>
          <w:p>
            <w:pPr>
              <w:pBdr/>
              <w:spacing w:after="20"/>
              <w:ind/>
              <w:rPr/>
            </w:pPr>
            <w:r>
              <w:rPr>
                <w:rFonts w:ascii="Calibri" w:hAnsi="Calibri" w:eastAsia="Calibri" w:cs="Calibri"/>
                <w:b/>
                <w:bCs/>
                <w:sz w:val="18"/>
                <w:szCs w:val="18"/>
              </w:rPr>
              <w:t xml:space="preserve">Ожидаемое подтверждение вклада</w:t>
            </w:r>
            <w:r/>
          </w:p>
        </w:tc>
      </w:tr>
      <w:tr>
        <w:trPr>
          <w:cantSplit/>
        </w:trPr>
        <w:tc>
          <w:tcPr>
            <w:tcBorders>
              <w:top w:val="single" w:color="a6a6a6" w:sz="4" w:space="0"/>
              <w:left w:val="single" w:color="a6a6a6" w:sz="4" w:space="0"/>
              <w:bottom w:val="single" w:color="a6a6a6" w:sz="4" w:space="0"/>
              <w:right w:val="single" w:color="a6a6a6" w:sz="4" w:space="0"/>
            </w:tcBorders>
            <w:tcMar>
              <w:left w:w="90" w:type="dxa"/>
              <w:top w:w="50" w:type="dxa"/>
              <w:right w:w="90" w:type="dxa"/>
              <w:bottom w:w="50" w:type="dxa"/>
            </w:tcMar>
            <w:tcW w:w="2120" w:type="dxa"/>
          </w:tcPr>
          <w:p>
            <w:pPr>
              <w:pBdr/>
              <w:spacing w:after="20"/>
              <w:ind/>
              <w:rPr/>
            </w:pPr>
            <w:r>
              <w:rPr>
                <w:rFonts w:ascii="Calibri" w:hAnsi="Calibri" w:eastAsia="Calibri" w:cs="Calibri"/>
                <w:sz w:val="18"/>
                <w:szCs w:val="18"/>
              </w:rPr>
              <w:t xml:space="preserve">Бөгенбаев Санат</w:t>
            </w:r>
            <w:r/>
          </w:p>
        </w:tc>
        <w:tc>
          <w:tcPr>
            <w:tcBorders>
              <w:top w:val="single" w:color="a6a6a6" w:sz="4" w:space="0"/>
              <w:left w:val="single" w:color="a6a6a6" w:sz="4" w:space="0"/>
              <w:bottom w:val="single" w:color="a6a6a6" w:sz="4" w:space="0"/>
              <w:right w:val="single" w:color="a6a6a6" w:sz="4" w:space="0"/>
            </w:tcBorders>
            <w:tcMar>
              <w:left w:w="90" w:type="dxa"/>
              <w:top w:w="50" w:type="dxa"/>
              <w:right w:w="90" w:type="dxa"/>
              <w:bottom w:w="50" w:type="dxa"/>
            </w:tcMar>
            <w:tcW w:w="4047" w:type="dxa"/>
          </w:tcPr>
          <w:p>
            <w:pPr>
              <w:pBdr/>
              <w:spacing w:after="20"/>
              <w:ind/>
              <w:rPr/>
            </w:pPr>
            <w:r>
              <w:rPr>
                <w:rFonts w:ascii="Calibri" w:hAnsi="Calibri" w:eastAsia="Calibri" w:cs="Calibri"/>
                <w:sz w:val="18"/>
                <w:szCs w:val="18"/>
              </w:rPr>
              <w:t xml:space="preserve">Frontend, UI/UX, пользовательские сценарии, доступность, клиентский API-адаптер, представление результата, проектная документация</w:t>
            </w:r>
            <w:r/>
          </w:p>
        </w:tc>
        <w:tc>
          <w:tcPr>
            <w:tcBorders>
              <w:top w:val="single" w:color="a6a6a6" w:sz="4" w:space="0"/>
              <w:left w:val="single" w:color="a6a6a6" w:sz="4" w:space="0"/>
              <w:bottom w:val="single" w:color="a6a6a6" w:sz="4" w:space="0"/>
              <w:right w:val="single" w:color="a6a6a6" w:sz="4" w:space="0"/>
            </w:tcBorders>
            <w:tcMar>
              <w:left w:w="90" w:type="dxa"/>
              <w:top w:w="50" w:type="dxa"/>
              <w:right w:w="90" w:type="dxa"/>
              <w:bottom w:w="50" w:type="dxa"/>
            </w:tcMar>
            <w:tcW w:w="3471" w:type="dxa"/>
          </w:tcPr>
          <w:p>
            <w:pPr>
              <w:pBdr/>
              <w:spacing w:after="20"/>
              <w:ind/>
              <w:rPr/>
            </w:pPr>
            <w:r>
              <w:rPr>
                <w:rFonts w:ascii="Calibri" w:hAnsi="Calibri" w:eastAsia="Calibri" w:cs="Calibri"/>
                <w:sz w:val="18"/>
                <w:szCs w:val="18"/>
              </w:rPr>
              <w:t xml:space="preserve">Код на React, дизайн в Figma, проверки интерфейса, pull request-ы, документы</w:t>
            </w:r>
            <w:r/>
          </w:p>
        </w:tc>
      </w:tr>
      <w:tr>
        <w:trPr>
          <w:cantSplit/>
        </w:trPr>
        <w:tc>
          <w:tcPr>
            <w:tcBorders>
              <w:top w:val="single" w:color="a6a6a6" w:sz="4" w:space="0"/>
              <w:left w:val="single" w:color="a6a6a6" w:sz="4" w:space="0"/>
              <w:bottom w:val="single" w:color="a6a6a6" w:sz="4" w:space="0"/>
              <w:right w:val="single" w:color="a6a6a6" w:sz="4" w:space="0"/>
            </w:tcBorders>
            <w:tcMar>
              <w:left w:w="90" w:type="dxa"/>
              <w:top w:w="50" w:type="dxa"/>
              <w:right w:w="90" w:type="dxa"/>
              <w:bottom w:w="50" w:type="dxa"/>
            </w:tcMar>
            <w:tcW w:w="2120" w:type="dxa"/>
          </w:tcPr>
          <w:p>
            <w:pPr>
              <w:pBdr/>
              <w:spacing w:after="20"/>
              <w:ind/>
              <w:rPr/>
            </w:pPr>
            <w:r>
              <w:rPr>
                <w:rFonts w:ascii="Calibri" w:hAnsi="Calibri" w:eastAsia="Calibri" w:cs="Calibri"/>
                <w:sz w:val="18"/>
                <w:szCs w:val="18"/>
              </w:rPr>
              <w:t xml:space="preserve">Баймен Али</w:t>
            </w:r>
            <w:r/>
          </w:p>
        </w:tc>
        <w:tc>
          <w:tcPr>
            <w:tcBorders>
              <w:top w:val="single" w:color="a6a6a6" w:sz="4" w:space="0"/>
              <w:left w:val="single" w:color="a6a6a6" w:sz="4" w:space="0"/>
              <w:bottom w:val="single" w:color="a6a6a6" w:sz="4" w:space="0"/>
              <w:right w:val="single" w:color="a6a6a6" w:sz="4" w:space="0"/>
            </w:tcBorders>
            <w:tcMar>
              <w:left w:w="90" w:type="dxa"/>
              <w:top w:w="50" w:type="dxa"/>
              <w:right w:w="90" w:type="dxa"/>
              <w:bottom w:w="50" w:type="dxa"/>
            </w:tcMar>
            <w:tcW w:w="4047" w:type="dxa"/>
          </w:tcPr>
          <w:p>
            <w:pPr>
              <w:pBdr/>
              <w:spacing w:after="20"/>
              <w:ind/>
              <w:rPr/>
            </w:pPr>
            <w:r>
              <w:rPr>
                <w:rFonts w:ascii="Calibri" w:hAnsi="Calibri" w:eastAsia="Calibri" w:cs="Calibri"/>
                <w:sz w:val="18"/>
                <w:szCs w:val="18"/>
              </w:rPr>
              <w:t xml:space="preserve">Выбор и описание данных, базовые методы, нейронные сети, обучение и оценка</w:t>
            </w:r>
            <w:r/>
          </w:p>
        </w:tc>
        <w:tc>
          <w:tcPr>
            <w:tcBorders>
              <w:top w:val="single" w:color="a6a6a6" w:sz="4" w:space="0"/>
              <w:left w:val="single" w:color="a6a6a6" w:sz="4" w:space="0"/>
              <w:bottom w:val="single" w:color="a6a6a6" w:sz="4" w:space="0"/>
              <w:right w:val="single" w:color="a6a6a6" w:sz="4" w:space="0"/>
            </w:tcBorders>
            <w:tcMar>
              <w:left w:w="90" w:type="dxa"/>
              <w:top w:w="50" w:type="dxa"/>
              <w:right w:w="90" w:type="dxa"/>
              <w:bottom w:w="50" w:type="dxa"/>
            </w:tcMar>
            <w:tcW w:w="3471" w:type="dxa"/>
          </w:tcPr>
          <w:p>
            <w:pPr>
              <w:pBdr/>
              <w:spacing w:after="20"/>
              <w:ind/>
              <w:rPr/>
            </w:pPr>
            <w:r>
              <w:rPr>
                <w:rFonts w:ascii="Calibri" w:hAnsi="Calibri" w:eastAsia="Calibri" w:cs="Calibri"/>
                <w:sz w:val="18"/>
                <w:szCs w:val="18"/>
              </w:rPr>
              <w:t xml:space="preserve">Паспорта данных, воспроизводимые эксперименты, отчёт об ошибках и ограничениях</w:t>
            </w:r>
            <w:r/>
          </w:p>
        </w:tc>
      </w:tr>
      <w:tr>
        <w:trPr>
          <w:cantSplit/>
        </w:trPr>
        <w:tc>
          <w:tcPr>
            <w:tcBorders>
              <w:top w:val="single" w:color="a6a6a6" w:sz="4" w:space="0"/>
              <w:left w:val="single" w:color="a6a6a6" w:sz="4" w:space="0"/>
              <w:bottom w:val="single" w:color="a6a6a6" w:sz="4" w:space="0"/>
              <w:right w:val="single" w:color="a6a6a6" w:sz="4" w:space="0"/>
            </w:tcBorders>
            <w:tcMar>
              <w:left w:w="90" w:type="dxa"/>
              <w:top w:w="50" w:type="dxa"/>
              <w:right w:w="90" w:type="dxa"/>
              <w:bottom w:w="50" w:type="dxa"/>
            </w:tcMar>
            <w:tcW w:w="2120" w:type="dxa"/>
          </w:tcPr>
          <w:p>
            <w:pPr>
              <w:pBdr/>
              <w:spacing w:after="20"/>
              <w:ind/>
              <w:rPr/>
            </w:pPr>
            <w:r>
              <w:rPr>
                <w:rFonts w:ascii="Calibri" w:hAnsi="Calibri" w:eastAsia="Calibri" w:cs="Calibri"/>
                <w:sz w:val="18"/>
                <w:szCs w:val="18"/>
              </w:rPr>
              <w:t xml:space="preserve">Сеилхан Оралхан</w:t>
            </w:r>
            <w:r/>
          </w:p>
        </w:tc>
        <w:tc>
          <w:tcPr>
            <w:tcBorders>
              <w:top w:val="single" w:color="a6a6a6" w:sz="4" w:space="0"/>
              <w:left w:val="single" w:color="a6a6a6" w:sz="4" w:space="0"/>
              <w:bottom w:val="single" w:color="a6a6a6" w:sz="4" w:space="0"/>
              <w:right w:val="single" w:color="a6a6a6" w:sz="4" w:space="0"/>
            </w:tcBorders>
            <w:tcMar>
              <w:left w:w="90" w:type="dxa"/>
              <w:top w:w="50" w:type="dxa"/>
              <w:right w:w="90" w:type="dxa"/>
              <w:bottom w:w="50" w:type="dxa"/>
            </w:tcMar>
            <w:tcW w:w="4047" w:type="dxa"/>
          </w:tcPr>
          <w:p>
            <w:pPr>
              <w:pBdr/>
              <w:spacing w:after="20"/>
              <w:ind/>
              <w:rPr/>
            </w:pPr>
            <w:r>
              <w:rPr>
                <w:rFonts w:ascii="Calibri" w:hAnsi="Calibri" w:eastAsia="Calibri" w:cs="Calibri"/>
                <w:sz w:val="18"/>
                <w:szCs w:val="18"/>
              </w:rPr>
              <w:t xml:space="preserve">Java / Spring Boot, REST API, серверная валидация, исполнение модели</w:t>
            </w:r>
            <w:r/>
          </w:p>
        </w:tc>
        <w:tc>
          <w:tcPr>
            <w:tcBorders>
              <w:top w:val="single" w:color="a6a6a6" w:sz="4" w:space="0"/>
              <w:left w:val="single" w:color="a6a6a6" w:sz="4" w:space="0"/>
              <w:bottom w:val="single" w:color="a6a6a6" w:sz="4" w:space="0"/>
              <w:right w:val="single" w:color="a6a6a6" w:sz="4" w:space="0"/>
            </w:tcBorders>
            <w:tcMar>
              <w:left w:w="90" w:type="dxa"/>
              <w:top w:w="50" w:type="dxa"/>
              <w:right w:w="90" w:type="dxa"/>
              <w:bottom w:w="50" w:type="dxa"/>
            </w:tcMar>
            <w:tcW w:w="3471" w:type="dxa"/>
          </w:tcPr>
          <w:p>
            <w:pPr>
              <w:pBdr/>
              <w:spacing w:after="20"/>
              <w:ind/>
              <w:rPr/>
            </w:pPr>
            <w:r>
              <w:rPr>
                <w:rFonts w:ascii="Calibri" w:hAnsi="Calibri" w:eastAsia="Calibri" w:cs="Calibri"/>
                <w:sz w:val="18"/>
                <w:szCs w:val="18"/>
              </w:rPr>
              <w:t xml:space="preserve">Согласованный контракт, код backend, проверки интеграции, измерения задержки</w:t>
            </w:r>
            <w:r/>
          </w:p>
        </w:tc>
      </w:tr>
    </w:tbl>
    <w:p>
      <w:pPr>
        <w:pStyle w:val="735"/>
        <w:keepNext w:val="true"/>
        <w:pBdr/>
        <w:spacing/>
        <w:ind/>
        <w:rPr/>
      </w:pPr>
      <w:r>
        <w:rPr>
          <w:rFonts w:ascii="Calibri" w:hAnsi="Calibri" w:eastAsia="Calibri" w:cs="Calibri"/>
        </w:rPr>
        <w:t xml:space="preserve">2. Предпосылки и постановка проблемы</w:t>
      </w:r>
      <w:r/>
    </w:p>
    <w:p>
      <w:pPr>
        <w:pBdr/>
        <w:spacing w:after="120" w:line="276" w:lineRule="auto"/>
        <w:ind/>
        <w:rPr/>
      </w:pPr>
      <w:r>
        <w:rPr>
          <w:rFonts w:ascii="Calibri" w:hAnsi="Calibri" w:eastAsia="Calibri" w:cs="Calibri"/>
        </w:rPr>
        <w:t xml:space="preserve">Практическая инженерная проблема состоит в том, как передать числовые признаки из интерфейса в модель и обратно, не потеряв смысл целевой переменной, единицы измерения, правила подготовки данных и версию модели. Даже корректное число м</w:t>
      </w:r>
      <w:r>
        <w:rPr>
          <w:rFonts w:ascii="Calibri" w:hAnsi="Calibri" w:eastAsia="Calibri" w:cs="Calibri"/>
        </w:rPr>
        <w:t xml:space="preserve">ожно неверно истолковать, если скрыт демонстрационный режим, горизонт прогноза или границы выборки. Поэтому качество итогового результата зависит сразу от трёх вещей: исследовательского протокола, корректности интеграции и ясности представления результата.</w:t>
      </w:r>
      <w:r/>
    </w:p>
    <w:p>
      <w:pPr>
        <w:pBdr/>
        <w:spacing w:after="120" w:line="276" w:lineRule="auto"/>
        <w:ind/>
        <w:rPr/>
      </w:pPr>
      <w:r>
        <w:rPr>
          <w:rFonts w:ascii="Calibri" w:hAnsi="Calibri" w:eastAsia="Calibri" w:cs="Calibri"/>
        </w:rPr>
        <w:t xml:space="preserve">Обзор литературы показывает, что нейронная сеть сама по себе не доказывает преимущества над простыми методами. Нужны честные </w:t>
      </w:r>
      <w:r>
        <w:rPr>
          <w:rFonts w:ascii="Calibri" w:hAnsi="Calibri" w:eastAsia="Calibri" w:cs="Calibri"/>
        </w:rPr>
        <w:t xml:space="preserve">базовые решения, независимая оценка и проверка переноса между популяциями. Критический обзор и его источники приведены в документе «Обзор литературы». Потребность конкретной группы пользователей пока остаётся гипотезой: записей реальных обсуждений ещё нет.</w:t>
      </w:r>
      <w:r/>
    </w:p>
    <w:p>
      <w:pPr>
        <w:pBdr/>
        <w:spacing w:after="120" w:line="276" w:lineRule="auto"/>
        <w:ind/>
        <w:rPr/>
      </w:pPr>
      <w:r>
        <w:rPr>
          <w:rFonts w:ascii="Calibri" w:hAnsi="Calibri" w:eastAsia="Calibri" w:cs="Calibri"/>
        </w:rPr>
        <w:t xml:space="preserve">Проект об</w:t>
      </w:r>
      <w:r>
        <w:rPr>
          <w:rFonts w:ascii="Calibri" w:hAnsi="Calibri" w:eastAsia="Calibri" w:cs="Calibri"/>
        </w:rPr>
        <w:t xml:space="preserve">основывается изучением этих ограничений и созданием проверяемого прототипа, а не обещанием клинической точности. Три независимые задачи позволяют увидеть, как тип данных определяет модель, протокол оценки и способ взаимодействия пользователя с результатом.</w:t>
      </w:r>
      <w:r/>
    </w:p>
    <w:p>
      <w:pPr>
        <w:pStyle w:val="735"/>
        <w:keepNext w:val="true"/>
        <w:pBdr/>
        <w:spacing/>
        <w:ind/>
        <w:rPr/>
      </w:pPr>
      <w:r>
        <w:rPr>
          <w:rFonts w:ascii="Calibri" w:hAnsi="Calibri" w:eastAsia="Calibri" w:cs="Calibri"/>
        </w:rPr>
        <w:t xml:space="preserve">3. Пользователи и постановка исследования</w:t>
      </w:r>
      <w:r/>
    </w:p>
    <w:p>
      <w:pPr>
        <w:pBdr/>
        <w:spacing w:after="120" w:line="276" w:lineRule="auto"/>
        <w:ind/>
        <w:rPr/>
      </w:pPr>
      <w:r>
        <w:rPr>
          <w:rFonts w:ascii="Calibri" w:hAnsi="Calibri" w:eastAsia="Calibri" w:cs="Calibri"/>
        </w:rPr>
        <w:t xml:space="preserve">Предполагаемые основные пользователи — студенты и исследователи, изучающие медицинскую регрессию и интеграцию моделей. Медиц</w:t>
      </w:r>
      <w:r>
        <w:rPr>
          <w:rFonts w:ascii="Calibri" w:hAnsi="Calibri" w:eastAsia="Calibri" w:cs="Calibri"/>
        </w:rPr>
        <w:t xml:space="preserve">инский специалист мог бы выступить консультантом по определениям и по риску неверной интерпретации, но это не подтверждено. Пациенты не являются целевой аудиторией текущего демонстрационного интерфейса, пока не проверены потребность и условия исследования.</w:t>
      </w:r>
      <w:r/>
    </w:p>
    <w:p>
      <w:pPr>
        <w:pBdr/>
        <w:spacing w:after="120" w:line="276" w:lineRule="auto"/>
        <w:ind/>
        <w:rPr/>
      </w:pPr>
      <w:r>
        <w:rPr>
          <w:rFonts w:ascii="Calibri" w:hAnsi="Calibri" w:eastAsia="Calibri" w:cs="Calibri"/>
          <w:b/>
          <w:bCs/>
        </w:rPr>
        <w:t xml:space="preserve">Цель.</w:t>
      </w:r>
      <w:r>
        <w:rPr>
          <w:rFonts w:ascii="Calibri" w:hAnsi="Calibri" w:eastAsia="Calibri" w:cs="Calibri"/>
        </w:rPr>
        <w:t xml:space="preserve"> Разработать и исследовать учебную веб-систему с независимыми модулями числовой оценки и прогнозирования медицинских показателей. Она должна давать воспроизводимое сравнение нейросетевых методов с базовыми решениями и открыто показывать ограничения.</w:t>
      </w:r>
      <w:r/>
    </w:p>
    <w:p>
      <w:pPr>
        <w:pBdr/>
        <w:spacing w:after="120" w:line="276" w:lineRule="auto"/>
        <w:ind/>
        <w:rPr/>
      </w:pPr>
      <w:r>
        <w:rPr>
          <w:rFonts w:ascii="Calibri" w:hAnsi="Calibri" w:eastAsia="Calibri" w:cs="Calibri"/>
          <w:b/>
          <w:bCs/>
        </w:rPr>
        <w:t xml:space="preserve">Исследовательский вопрос.</w:t>
      </w:r>
      <w:r>
        <w:rPr>
          <w:rFonts w:ascii="Calibri" w:hAnsi="Calibri" w:eastAsia="Calibri" w:cs="Calibri"/>
        </w:rPr>
        <w:t xml:space="preserve"> При каких свойствах доступн</w:t>
      </w:r>
      <w:r>
        <w:rPr>
          <w:rFonts w:ascii="Calibri" w:hAnsi="Calibri" w:eastAsia="Calibri" w:cs="Calibri"/>
        </w:rPr>
        <w:t xml:space="preserve">ых табличных и продольных данных нейронные сети снижают ошибку числовой оценки или краткосрочного прогноза по сравнению с заранее заданными базовыми методами, и как перенести полученную модель в веб-прототип воспроизводимо, не меняя смысл входов и выходов?</w:t>
      </w:r>
      <w:r/>
    </w:p>
    <w:p>
      <w:pPr>
        <w:pBdr/>
        <w:spacing w:after="120" w:line="276" w:lineRule="auto"/>
        <w:ind/>
        <w:rPr/>
      </w:pPr>
      <w:r>
        <w:rPr>
          <w:rFonts w:ascii="Calibri" w:hAnsi="Calibri" w:eastAsia="Calibri" w:cs="Calibri"/>
        </w:rPr>
        <w:t xml:space="preserve">Нулевая гипотеза каждого эксперимента</w:t>
      </w:r>
      <w:r>
        <w:rPr>
          <w:rFonts w:ascii="Calibri" w:hAnsi="Calibri" w:eastAsia="Calibri" w:cs="Calibri"/>
        </w:rPr>
        <w:t xml:space="preserve">: нейронная сеть не снижает ошибку относительно своего базового метода на независимой тестовой выборке. Отрицательный результат будет сохранён и обсуждён. Единого общего рейтинга моделей мы не строим, так как три модуля используют разные единицы измерения.</w:t>
      </w:r>
      <w:r/>
    </w:p>
    <w:p>
      <w:pPr>
        <w:pStyle w:val="736"/>
        <w:keepNext w:val="true"/>
        <w:pBdr/>
        <w:spacing/>
        <w:ind/>
        <w:rPr/>
      </w:pPr>
      <w:r>
        <w:rPr>
          <w:rFonts w:ascii="Calibri" w:hAnsi="Calibri" w:eastAsia="Calibri" w:cs="Calibri"/>
        </w:rPr>
        <w:t xml:space="preserve">Задачи исследования</w:t>
      </w:r>
      <w:r/>
    </w:p>
    <w:p>
      <w:pPr>
        <w:pStyle w:val="727"/>
        <w:numPr>
          <w:ilvl w:val="0"/>
          <w:numId w:val="2"/>
        </w:numPr>
        <w:pBdr/>
        <w:spacing w:after="60" w:line="264" w:lineRule="auto"/>
        <w:ind/>
        <w:rPr/>
      </w:pPr>
      <w:r>
        <w:rPr>
          <w:rFonts w:ascii="Calibri" w:hAnsi="Calibri" w:eastAsia="Calibri" w:cs="Calibri"/>
        </w:rPr>
        <w:t xml:space="preserve">Уточнить проблему пользователей через 3–5 реальных обсуждений или содержательное согласование с заказчиком.</w:t>
      </w:r>
      <w:r/>
    </w:p>
    <w:p>
      <w:pPr>
        <w:pStyle w:val="727"/>
        <w:numPr>
          <w:ilvl w:val="0"/>
          <w:numId w:val="2"/>
        </w:numPr>
        <w:pBdr/>
        <w:spacing w:after="60" w:line="264" w:lineRule="auto"/>
        <w:ind/>
        <w:rPr/>
      </w:pPr>
      <w:r>
        <w:rPr>
          <w:rFonts w:ascii="Calibri" w:hAnsi="Calibri" w:eastAsia="Calibri" w:cs="Calibri"/>
        </w:rPr>
        <w:t xml:space="preserve">Проанализировать публикации, существующие системы и технологические альтернативы.</w:t>
      </w:r>
      <w:r/>
    </w:p>
    <w:p>
      <w:pPr>
        <w:pStyle w:val="727"/>
        <w:numPr>
          <w:ilvl w:val="0"/>
          <w:numId w:val="2"/>
        </w:numPr>
        <w:pBdr/>
        <w:spacing w:after="60" w:line="264" w:lineRule="auto"/>
        <w:ind/>
        <w:rPr/>
      </w:pPr>
      <w:r>
        <w:rPr>
          <w:rFonts w:ascii="Calibri" w:hAnsi="Calibri" w:eastAsia="Calibri" w:cs="Calibri"/>
        </w:rPr>
        <w:t xml:space="preserve">Для каждого модуля определить целевую переменную, доступность признаков, единицу наблюдения, источник данных и ограничения данных.</w:t>
      </w:r>
      <w:r/>
    </w:p>
    <w:p>
      <w:pPr>
        <w:pStyle w:val="727"/>
        <w:numPr>
          <w:ilvl w:val="0"/>
          <w:numId w:val="2"/>
        </w:numPr>
        <w:pBdr/>
        <w:spacing w:after="60" w:line="264" w:lineRule="auto"/>
        <w:ind/>
        <w:rPr/>
      </w:pPr>
      <w:r>
        <w:rPr>
          <w:rFonts w:ascii="Calibri" w:hAnsi="Calibri" w:eastAsia="Calibri" w:cs="Calibri"/>
        </w:rPr>
        <w:t xml:space="preserve">До обучения зафиксировать разбиение данных, базовые методы, метрики и правила выбора модели.</w:t>
      </w:r>
      <w:r/>
    </w:p>
    <w:p>
      <w:pPr>
        <w:pStyle w:val="727"/>
        <w:numPr>
          <w:ilvl w:val="0"/>
          <w:numId w:val="2"/>
        </w:numPr>
        <w:pBdr/>
        <w:spacing w:after="60" w:line="264" w:lineRule="auto"/>
        <w:ind/>
        <w:rPr/>
      </w:pPr>
      <w:r>
        <w:rPr>
          <w:rFonts w:ascii="Calibri" w:hAnsi="Calibri" w:eastAsia="Calibri" w:cs="Calibri"/>
        </w:rPr>
        <w:t xml:space="preserve">Поэтапно реализовать и оценить модели, ни разу не используя тестовую выборку для настройки.</w:t>
      </w:r>
      <w:r/>
    </w:p>
    <w:p>
      <w:pPr>
        <w:pStyle w:val="727"/>
        <w:numPr>
          <w:ilvl w:val="0"/>
          <w:numId w:val="2"/>
        </w:numPr>
        <w:pBdr/>
        <w:spacing w:after="60" w:line="264" w:lineRule="auto"/>
        <w:ind/>
        <w:rPr/>
      </w:pPr>
      <w:r>
        <w:rPr>
          <w:rFonts w:ascii="Calibri" w:hAnsi="Calibri" w:eastAsia="Calibri" w:cs="Calibri"/>
        </w:rPr>
        <w:t xml:space="preserve">Согласовать API, валидацию и подготовку признаков, проверить численную эквивалентность Python и Java.</w:t>
      </w:r>
      <w:r/>
    </w:p>
    <w:p>
      <w:pPr>
        <w:pStyle w:val="727"/>
        <w:numPr>
          <w:ilvl w:val="0"/>
          <w:numId w:val="2"/>
        </w:numPr>
        <w:pBdr/>
        <w:spacing w:after="60" w:line="264" w:lineRule="auto"/>
        <w:ind/>
        <w:rPr/>
      </w:pPr>
      <w:r>
        <w:rPr>
          <w:rFonts w:ascii="Calibri" w:hAnsi="Calibri" w:eastAsia="Calibri" w:cs="Calibri"/>
        </w:rPr>
        <w:t xml:space="preserve">Проверить интерфейс, ошибки, приватность, понятность результата и границы применения.</w:t>
      </w:r>
      <w:r/>
    </w:p>
    <w:p>
      <w:pPr>
        <w:pStyle w:val="727"/>
        <w:numPr>
          <w:ilvl w:val="0"/>
          <w:numId w:val="2"/>
        </w:numPr>
        <w:pBdr/>
        <w:spacing w:after="60" w:line="264" w:lineRule="auto"/>
        <w:ind/>
        <w:rPr/>
      </w:pPr>
      <w:r>
        <w:rPr>
          <w:rFonts w:ascii="Calibri" w:hAnsi="Calibri" w:eastAsia="Calibri" w:cs="Calibri"/>
        </w:rPr>
        <w:t xml:space="preserve">Передать воспроизводимые артефакты и честный отчёт о границах обобщения.</w:t>
      </w:r>
      <w:r/>
    </w:p>
    <w:p>
      <w:pPr>
        <w:pStyle w:val="735"/>
        <w:keepNext w:val="true"/>
        <w:pBdr/>
        <w:spacing/>
        <w:ind/>
        <w:rPr/>
      </w:pPr>
      <w:r>
        <w:rPr>
          <w:rFonts w:ascii="Calibri" w:hAnsi="Calibri" w:eastAsia="Calibri" w:cs="Calibri"/>
        </w:rPr>
        <w:t xml:space="preserve">4. Предлагаемые независимые модули</w:t>
      </w:r>
      <w:r/>
    </w:p>
    <w:tbl>
      <w:tblPr>
        <w:tblW w:w="963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1542"/>
        <w:gridCol w:w="3084"/>
        <w:gridCol w:w="2313"/>
        <w:gridCol w:w="2699"/>
      </w:tblGrid>
      <w:tr>
        <w:trPr>
          <w:cantSplit/>
          <w:tblHeader/>
        </w:trPr>
        <w:tc>
          <w:tcPr>
            <w:shd w:val="clear" w:color="auto" w:fill="e7e6e6"/>
            <w:tcBorders>
              <w:top w:val="single" w:color="a6a6a6" w:sz="4" w:space="0"/>
              <w:left w:val="single" w:color="a6a6a6" w:sz="4" w:space="0"/>
              <w:bottom w:val="single" w:color="a6a6a6" w:sz="4" w:space="0"/>
              <w:right w:val="single" w:color="a6a6a6" w:sz="4" w:space="0"/>
            </w:tcBorders>
            <w:tcMar>
              <w:left w:w="90" w:type="dxa"/>
              <w:top w:w="50" w:type="dxa"/>
              <w:right w:w="90" w:type="dxa"/>
              <w:bottom w:w="50" w:type="dxa"/>
            </w:tcMar>
            <w:tcW w:w="1542" w:type="dxa"/>
          </w:tcPr>
          <w:p>
            <w:pPr>
              <w:pBdr/>
              <w:spacing w:after="20"/>
              <w:ind/>
              <w:rPr/>
            </w:pPr>
            <w:r>
              <w:rPr>
                <w:rFonts w:ascii="Calibri" w:hAnsi="Calibri" w:eastAsia="Calibri" w:cs="Calibri"/>
                <w:b/>
                <w:bCs/>
                <w:sz w:val="18"/>
                <w:szCs w:val="18"/>
              </w:rPr>
              <w:t xml:space="preserve">Модуль</w:t>
            </w:r>
            <w:r/>
          </w:p>
        </w:tc>
        <w:tc>
          <w:tcPr>
            <w:shd w:val="clear" w:color="auto" w:fill="e7e6e6"/>
            <w:tcBorders>
              <w:top w:val="single" w:color="a6a6a6" w:sz="4" w:space="0"/>
              <w:left w:val="single" w:color="a6a6a6" w:sz="4" w:space="0"/>
              <w:bottom w:val="single" w:color="a6a6a6" w:sz="4" w:space="0"/>
              <w:right w:val="single" w:color="a6a6a6" w:sz="4" w:space="0"/>
            </w:tcBorders>
            <w:tcMar>
              <w:left w:w="90" w:type="dxa"/>
              <w:top w:w="50" w:type="dxa"/>
              <w:right w:w="90" w:type="dxa"/>
              <w:bottom w:w="50" w:type="dxa"/>
            </w:tcMar>
            <w:tcW w:w="3084" w:type="dxa"/>
          </w:tcPr>
          <w:p>
            <w:pPr>
              <w:pBdr/>
              <w:spacing w:after="20"/>
              <w:ind/>
              <w:rPr/>
            </w:pPr>
            <w:r>
              <w:rPr>
                <w:rFonts w:ascii="Calibri" w:hAnsi="Calibri" w:eastAsia="Calibri" w:cs="Calibri"/>
                <w:b/>
                <w:bCs/>
                <w:sz w:val="18"/>
                <w:szCs w:val="18"/>
              </w:rPr>
              <w:t xml:space="preserve">Кандидаты данных и целевая переменная</w:t>
            </w:r>
            <w:r/>
          </w:p>
        </w:tc>
        <w:tc>
          <w:tcPr>
            <w:shd w:val="clear" w:color="auto" w:fill="e7e6e6"/>
            <w:tcBorders>
              <w:top w:val="single" w:color="a6a6a6" w:sz="4" w:space="0"/>
              <w:left w:val="single" w:color="a6a6a6" w:sz="4" w:space="0"/>
              <w:bottom w:val="single" w:color="a6a6a6" w:sz="4" w:space="0"/>
              <w:right w:val="single" w:color="a6a6a6" w:sz="4" w:space="0"/>
            </w:tcBorders>
            <w:tcMar>
              <w:left w:w="90" w:type="dxa"/>
              <w:top w:w="50" w:type="dxa"/>
              <w:right w:w="90" w:type="dxa"/>
              <w:bottom w:w="50" w:type="dxa"/>
            </w:tcMar>
            <w:tcW w:w="2313" w:type="dxa"/>
          </w:tcPr>
          <w:p>
            <w:pPr>
              <w:pBdr/>
              <w:spacing w:after="20"/>
              <w:ind/>
              <w:rPr/>
            </w:pPr>
            <w:r>
              <w:rPr>
                <w:rFonts w:ascii="Calibri" w:hAnsi="Calibri" w:eastAsia="Calibri" w:cs="Calibri"/>
                <w:b/>
                <w:bCs/>
                <w:sz w:val="18"/>
                <w:szCs w:val="18"/>
              </w:rPr>
              <w:t xml:space="preserve">Методы</w:t>
            </w:r>
            <w:r/>
          </w:p>
        </w:tc>
        <w:tc>
          <w:tcPr>
            <w:shd w:val="clear" w:color="auto" w:fill="e7e6e6"/>
            <w:tcBorders>
              <w:top w:val="single" w:color="a6a6a6" w:sz="4" w:space="0"/>
              <w:left w:val="single" w:color="a6a6a6" w:sz="4" w:space="0"/>
              <w:bottom w:val="single" w:color="a6a6a6" w:sz="4" w:space="0"/>
              <w:right w:val="single" w:color="a6a6a6" w:sz="4" w:space="0"/>
            </w:tcBorders>
            <w:tcMar>
              <w:left w:w="90" w:type="dxa"/>
              <w:top w:w="50" w:type="dxa"/>
              <w:right w:w="90" w:type="dxa"/>
              <w:bottom w:w="50" w:type="dxa"/>
            </w:tcMar>
            <w:tcW w:w="2699" w:type="dxa"/>
          </w:tcPr>
          <w:p>
            <w:pPr>
              <w:pBdr/>
              <w:spacing w:after="20"/>
              <w:ind/>
              <w:rPr/>
            </w:pPr>
            <w:r>
              <w:rPr>
                <w:rFonts w:ascii="Calibri" w:hAnsi="Calibri" w:eastAsia="Calibri" w:cs="Calibri"/>
                <w:b/>
                <w:bCs/>
                <w:sz w:val="18"/>
                <w:szCs w:val="18"/>
              </w:rPr>
              <w:t xml:space="preserve">Граница интерпретации</w:t>
            </w:r>
            <w:r/>
          </w:p>
        </w:tc>
      </w:tr>
      <w:tr>
        <w:trPr>
          <w:cantSplit/>
        </w:trPr>
        <w:tc>
          <w:tcPr>
            <w:tcBorders>
              <w:top w:val="single" w:color="a6a6a6" w:sz="4" w:space="0"/>
              <w:left w:val="single" w:color="a6a6a6" w:sz="4" w:space="0"/>
              <w:bottom w:val="single" w:color="a6a6a6" w:sz="4" w:space="0"/>
              <w:right w:val="single" w:color="a6a6a6" w:sz="4" w:space="0"/>
            </w:tcBorders>
            <w:tcMar>
              <w:left w:w="90" w:type="dxa"/>
              <w:top w:w="50" w:type="dxa"/>
              <w:right w:w="90" w:type="dxa"/>
              <w:bottom w:w="50" w:type="dxa"/>
            </w:tcMar>
            <w:tcW w:w="1542" w:type="dxa"/>
          </w:tcPr>
          <w:p>
            <w:pPr>
              <w:pBdr/>
              <w:spacing w:after="20"/>
              <w:ind/>
              <w:rPr/>
            </w:pPr>
            <w:r>
              <w:rPr>
                <w:rFonts w:ascii="Calibri" w:hAnsi="Calibri" w:eastAsia="Calibri" w:cs="Calibri"/>
                <w:sz w:val="18"/>
                <w:szCs w:val="18"/>
              </w:rPr>
              <w:t xml:space="preserve">M1 Прогрессирование диабета</w:t>
            </w:r>
            <w:r/>
          </w:p>
        </w:tc>
        <w:tc>
          <w:tcPr>
            <w:tcBorders>
              <w:top w:val="single" w:color="a6a6a6" w:sz="4" w:space="0"/>
              <w:left w:val="single" w:color="a6a6a6" w:sz="4" w:space="0"/>
              <w:bottom w:val="single" w:color="a6a6a6" w:sz="4" w:space="0"/>
              <w:right w:val="single" w:color="a6a6a6" w:sz="4" w:space="0"/>
            </w:tcBorders>
            <w:tcMar>
              <w:left w:w="90" w:type="dxa"/>
              <w:top w:w="50" w:type="dxa"/>
              <w:right w:w="90" w:type="dxa"/>
              <w:bottom w:w="50" w:type="dxa"/>
            </w:tcMar>
            <w:tcW w:w="3084" w:type="dxa"/>
          </w:tcPr>
          <w:p>
            <w:pPr>
              <w:pBdr/>
              <w:spacing w:after="20"/>
              <w:ind/>
              <w:rPr/>
            </w:pPr>
            <w:r>
              <w:rPr>
                <w:rFonts w:ascii="Calibri" w:hAnsi="Calibri" w:eastAsia="Calibri" w:cs="Calibri"/>
                <w:sz w:val="18"/>
                <w:szCs w:val="18"/>
              </w:rPr>
              <w:t xml:space="preserve">Набор Diabetes из scikit-learn; числовая мера прогрессирования через год после исходной точки</w:t>
            </w:r>
            <w:r/>
          </w:p>
        </w:tc>
        <w:tc>
          <w:tcPr>
            <w:tcBorders>
              <w:top w:val="single" w:color="a6a6a6" w:sz="4" w:space="0"/>
              <w:left w:val="single" w:color="a6a6a6" w:sz="4" w:space="0"/>
              <w:bottom w:val="single" w:color="a6a6a6" w:sz="4" w:space="0"/>
              <w:right w:val="single" w:color="a6a6a6" w:sz="4" w:space="0"/>
            </w:tcBorders>
            <w:tcMar>
              <w:left w:w="90" w:type="dxa"/>
              <w:top w:w="50" w:type="dxa"/>
              <w:right w:w="90" w:type="dxa"/>
              <w:bottom w:w="50" w:type="dxa"/>
            </w:tcMar>
            <w:tcW w:w="2313" w:type="dxa"/>
          </w:tcPr>
          <w:p>
            <w:pPr>
              <w:pBdr/>
              <w:spacing w:after="20"/>
              <w:ind/>
              <w:rPr/>
            </w:pPr>
            <w:r>
              <w:rPr>
                <w:rFonts w:ascii="Calibri" w:hAnsi="Calibri" w:eastAsia="Calibri" w:cs="Calibri"/>
                <w:sz w:val="18"/>
                <w:szCs w:val="18"/>
              </w:rPr>
              <w:t xml:space="preserve">Среднее по обучающей выборке, линейная / регуляризованная регрессия, MLP</w:t>
            </w:r>
            <w:r/>
          </w:p>
        </w:tc>
        <w:tc>
          <w:tcPr>
            <w:tcBorders>
              <w:top w:val="single" w:color="a6a6a6" w:sz="4" w:space="0"/>
              <w:left w:val="single" w:color="a6a6a6" w:sz="4" w:space="0"/>
              <w:bottom w:val="single" w:color="a6a6a6" w:sz="4" w:space="0"/>
              <w:right w:val="single" w:color="a6a6a6" w:sz="4" w:space="0"/>
            </w:tcBorders>
            <w:tcMar>
              <w:left w:w="90" w:type="dxa"/>
              <w:top w:w="50" w:type="dxa"/>
              <w:right w:w="90" w:type="dxa"/>
              <w:bottom w:w="50" w:type="dxa"/>
            </w:tcMar>
            <w:tcW w:w="2699" w:type="dxa"/>
          </w:tcPr>
          <w:p>
            <w:pPr>
              <w:pBdr/>
              <w:spacing w:after="20"/>
              <w:ind/>
              <w:rPr/>
            </w:pPr>
            <w:r>
              <w:rPr>
                <w:rFonts w:ascii="Calibri" w:hAnsi="Calibri" w:eastAsia="Calibri" w:cs="Calibri"/>
                <w:sz w:val="18"/>
                <w:szCs w:val="18"/>
              </w:rPr>
              <w:t xml:space="preserve">Значение на шкале целевой переменной набора. Не диагноз, не вероятность диабета, не уровень глюкозы.</w:t>
            </w:r>
            <w:r/>
          </w:p>
        </w:tc>
      </w:tr>
      <w:tr>
        <w:trPr>
          <w:cantSplit/>
        </w:trPr>
        <w:tc>
          <w:tcPr>
            <w:tcBorders>
              <w:top w:val="single" w:color="a6a6a6" w:sz="4" w:space="0"/>
              <w:left w:val="single" w:color="a6a6a6" w:sz="4" w:space="0"/>
              <w:bottom w:val="single" w:color="a6a6a6" w:sz="4" w:space="0"/>
              <w:right w:val="single" w:color="a6a6a6" w:sz="4" w:space="0"/>
            </w:tcBorders>
            <w:tcMar>
              <w:left w:w="90" w:type="dxa"/>
              <w:top w:w="50" w:type="dxa"/>
              <w:right w:w="90" w:type="dxa"/>
              <w:bottom w:w="50" w:type="dxa"/>
            </w:tcMar>
            <w:tcW w:w="1542" w:type="dxa"/>
          </w:tcPr>
          <w:p>
            <w:pPr>
              <w:pBdr/>
              <w:spacing w:after="20"/>
              <w:ind/>
              <w:rPr/>
            </w:pPr>
            <w:r>
              <w:rPr>
                <w:rFonts w:ascii="Calibri" w:hAnsi="Calibri" w:eastAsia="Calibri" w:cs="Calibri"/>
                <w:sz w:val="18"/>
                <w:szCs w:val="18"/>
              </w:rPr>
              <w:t xml:space="preserve">M2 Оценка систолического АД</w:t>
            </w:r>
            <w:r/>
          </w:p>
        </w:tc>
        <w:tc>
          <w:tcPr>
            <w:tcBorders>
              <w:top w:val="single" w:color="a6a6a6" w:sz="4" w:space="0"/>
              <w:left w:val="single" w:color="a6a6a6" w:sz="4" w:space="0"/>
              <w:bottom w:val="single" w:color="a6a6a6" w:sz="4" w:space="0"/>
              <w:right w:val="single" w:color="a6a6a6" w:sz="4" w:space="0"/>
            </w:tcBorders>
            <w:tcMar>
              <w:left w:w="90" w:type="dxa"/>
              <w:top w:w="50" w:type="dxa"/>
              <w:right w:w="90" w:type="dxa"/>
              <w:bottom w:w="50" w:type="dxa"/>
            </w:tcMar>
            <w:tcW w:w="3084" w:type="dxa"/>
          </w:tcPr>
          <w:p>
            <w:pPr>
              <w:pBdr/>
              <w:spacing w:after="20"/>
              <w:ind/>
              <w:rPr/>
            </w:pPr>
            <w:r>
              <w:rPr>
                <w:rFonts w:ascii="Calibri" w:hAnsi="Calibri" w:eastAsia="Calibri" w:cs="Calibri"/>
                <w:sz w:val="18"/>
                <w:szCs w:val="18"/>
              </w:rPr>
              <w:t xml:space="preserve">NHANES; оценка измеренного систолического АД по заранее заданным доступным признакам</w:t>
            </w:r>
            <w:r/>
          </w:p>
        </w:tc>
        <w:tc>
          <w:tcPr>
            <w:tcBorders>
              <w:top w:val="single" w:color="a6a6a6" w:sz="4" w:space="0"/>
              <w:left w:val="single" w:color="a6a6a6" w:sz="4" w:space="0"/>
              <w:bottom w:val="single" w:color="a6a6a6" w:sz="4" w:space="0"/>
              <w:right w:val="single" w:color="a6a6a6" w:sz="4" w:space="0"/>
            </w:tcBorders>
            <w:tcMar>
              <w:left w:w="90" w:type="dxa"/>
              <w:top w:w="50" w:type="dxa"/>
              <w:right w:w="90" w:type="dxa"/>
              <w:bottom w:w="50" w:type="dxa"/>
            </w:tcMar>
            <w:tcW w:w="2313" w:type="dxa"/>
          </w:tcPr>
          <w:p>
            <w:pPr>
              <w:pBdr/>
              <w:spacing w:after="20"/>
              <w:ind/>
              <w:rPr/>
            </w:pPr>
            <w:r>
              <w:rPr>
                <w:rFonts w:ascii="Calibri" w:hAnsi="Calibri" w:eastAsia="Calibri" w:cs="Calibri"/>
                <w:sz w:val="18"/>
                <w:szCs w:val="18"/>
              </w:rPr>
              <w:t xml:space="preserve">Среднее по обучающей выборке, регрессия, MLP</w:t>
            </w:r>
            <w:r/>
          </w:p>
        </w:tc>
        <w:tc>
          <w:tcPr>
            <w:tcBorders>
              <w:top w:val="single" w:color="a6a6a6" w:sz="4" w:space="0"/>
              <w:left w:val="single" w:color="a6a6a6" w:sz="4" w:space="0"/>
              <w:bottom w:val="single" w:color="a6a6a6" w:sz="4" w:space="0"/>
              <w:right w:val="single" w:color="a6a6a6" w:sz="4" w:space="0"/>
            </w:tcBorders>
            <w:tcMar>
              <w:left w:w="90" w:type="dxa"/>
              <w:top w:w="50" w:type="dxa"/>
              <w:right w:w="90" w:type="dxa"/>
              <w:bottom w:w="50" w:type="dxa"/>
            </w:tcMar>
            <w:tcW w:w="2699" w:type="dxa"/>
          </w:tcPr>
          <w:p>
            <w:pPr>
              <w:pBdr/>
              <w:spacing w:after="20"/>
              <w:ind/>
              <w:rPr/>
            </w:pPr>
            <w:r>
              <w:rPr>
                <w:rFonts w:ascii="Calibri" w:hAnsi="Calibri" w:eastAsia="Calibri" w:cs="Calibri"/>
                <w:sz w:val="18"/>
                <w:szCs w:val="18"/>
              </w:rPr>
              <w:t xml:space="preserve">мм рт. ст. Одномоментная (cross-sectional) оценка, доказанного прогноза будущего нет.</w:t>
            </w:r>
            <w:r/>
          </w:p>
        </w:tc>
      </w:tr>
      <w:tr>
        <w:trPr>
          <w:cantSplit/>
        </w:trPr>
        <w:tc>
          <w:tcPr>
            <w:tcBorders>
              <w:top w:val="single" w:color="a6a6a6" w:sz="4" w:space="0"/>
              <w:left w:val="single" w:color="a6a6a6" w:sz="4" w:space="0"/>
              <w:bottom w:val="single" w:color="a6a6a6" w:sz="4" w:space="0"/>
              <w:right w:val="single" w:color="a6a6a6" w:sz="4" w:space="0"/>
            </w:tcBorders>
            <w:tcMar>
              <w:left w:w="90" w:type="dxa"/>
              <w:top w:w="50" w:type="dxa"/>
              <w:right w:w="90" w:type="dxa"/>
              <w:bottom w:w="50" w:type="dxa"/>
            </w:tcMar>
            <w:tcW w:w="1542" w:type="dxa"/>
          </w:tcPr>
          <w:p>
            <w:pPr>
              <w:pBdr/>
              <w:spacing w:after="20"/>
              <w:ind/>
              <w:rPr/>
            </w:pPr>
            <w:r>
              <w:rPr>
                <w:rFonts w:ascii="Calibri" w:hAnsi="Calibri" w:eastAsia="Calibri" w:cs="Calibri"/>
                <w:sz w:val="18"/>
                <w:szCs w:val="18"/>
              </w:rPr>
              <w:t xml:space="preserve">M3 Прогноз глюкозы</w:t>
            </w:r>
            <w:r/>
          </w:p>
        </w:tc>
        <w:tc>
          <w:tcPr>
            <w:tcBorders>
              <w:top w:val="single" w:color="a6a6a6" w:sz="4" w:space="0"/>
              <w:left w:val="single" w:color="a6a6a6" w:sz="4" w:space="0"/>
              <w:bottom w:val="single" w:color="a6a6a6" w:sz="4" w:space="0"/>
              <w:right w:val="single" w:color="a6a6a6" w:sz="4" w:space="0"/>
            </w:tcBorders>
            <w:tcMar>
              <w:left w:w="90" w:type="dxa"/>
              <w:top w:w="50" w:type="dxa"/>
              <w:right w:w="90" w:type="dxa"/>
              <w:bottom w:w="50" w:type="dxa"/>
            </w:tcMar>
            <w:tcW w:w="3084" w:type="dxa"/>
          </w:tcPr>
          <w:p>
            <w:pPr>
              <w:pBdr/>
              <w:spacing w:after="20"/>
              <w:ind/>
              <w:rPr/>
            </w:pPr>
            <w:r>
              <w:rPr>
                <w:rFonts w:ascii="Calibri" w:hAnsi="Calibri" w:eastAsia="Calibri" w:cs="Calibri"/>
                <w:sz w:val="18"/>
                <w:szCs w:val="18"/>
              </w:rPr>
              <w:t xml:space="preserve">Подходящий продольный набор PhysioNet, ещё не выбран; следующее значение при достаточной истории</w:t>
            </w:r>
            <w:r/>
          </w:p>
        </w:tc>
        <w:tc>
          <w:tcPr>
            <w:tcBorders>
              <w:top w:val="single" w:color="a6a6a6" w:sz="4" w:space="0"/>
              <w:left w:val="single" w:color="a6a6a6" w:sz="4" w:space="0"/>
              <w:bottom w:val="single" w:color="a6a6a6" w:sz="4" w:space="0"/>
              <w:right w:val="single" w:color="a6a6a6" w:sz="4" w:space="0"/>
            </w:tcBorders>
            <w:tcMar>
              <w:left w:w="90" w:type="dxa"/>
              <w:top w:w="50" w:type="dxa"/>
              <w:right w:w="90" w:type="dxa"/>
              <w:bottom w:w="50" w:type="dxa"/>
            </w:tcMar>
            <w:tcW w:w="2313" w:type="dxa"/>
          </w:tcPr>
          <w:p>
            <w:pPr>
              <w:pBdr/>
              <w:spacing w:after="20"/>
              <w:ind/>
              <w:rPr/>
            </w:pPr>
            <w:r>
              <w:rPr>
                <w:rFonts w:ascii="Calibri" w:hAnsi="Calibri" w:eastAsia="Calibri" w:cs="Calibri"/>
                <w:sz w:val="18"/>
                <w:szCs w:val="18"/>
              </w:rPr>
              <w:t xml:space="preserve">Последнее значение / простой временной базовый метод, подходящая нейронная сеть (кандидат — LSTM)</w:t>
            </w:r>
            <w:r/>
          </w:p>
        </w:tc>
        <w:tc>
          <w:tcPr>
            <w:tcBorders>
              <w:top w:val="single" w:color="a6a6a6" w:sz="4" w:space="0"/>
              <w:left w:val="single" w:color="a6a6a6" w:sz="4" w:space="0"/>
              <w:bottom w:val="single" w:color="a6a6a6" w:sz="4" w:space="0"/>
              <w:right w:val="single" w:color="a6a6a6" w:sz="4" w:space="0"/>
            </w:tcBorders>
            <w:tcMar>
              <w:left w:w="90" w:type="dxa"/>
              <w:top w:w="50" w:type="dxa"/>
              <w:right w:w="90" w:type="dxa"/>
              <w:bottom w:w="50" w:type="dxa"/>
            </w:tcMar>
            <w:tcW w:w="2699" w:type="dxa"/>
          </w:tcPr>
          <w:p>
            <w:pPr>
              <w:pBdr/>
              <w:spacing w:after="20"/>
              <w:ind/>
              <w:rPr/>
            </w:pPr>
            <w:r>
              <w:rPr>
                <w:rFonts w:ascii="Calibri" w:hAnsi="Calibri" w:eastAsia="Calibri" w:cs="Calibri"/>
                <w:sz w:val="18"/>
                <w:szCs w:val="18"/>
              </w:rPr>
              <w:t xml:space="preserve">Единицы по словарю данных. Горизонт и частота не утверждены. Нерегулярные измерения в реанимации не равны CGM.</w:t>
            </w:r>
            <w:r/>
          </w:p>
        </w:tc>
      </w:tr>
    </w:tbl>
    <w:p>
      <w:pPr>
        <w:pBdr/>
        <w:spacing w:after="60"/>
        <w:ind/>
        <w:rPr/>
      </w:pPr>
      <w:r/>
      <w:r/>
    </w:p>
    <w:p>
      <w:pPr>
        <w:pBdr/>
        <w:spacing w:after="120" w:line="276" w:lineRule="auto"/>
        <w:ind/>
        <w:rPr/>
      </w:pPr>
      <w:r>
        <w:rPr>
          <w:rFonts w:ascii="Calibri" w:hAnsi="Calibri" w:eastAsia="Calibri" w:cs="Calibri"/>
        </w:rPr>
        <w:t xml:space="preserve">Офи</w:t>
      </w:r>
      <w:r>
        <w:rPr>
          <w:rFonts w:ascii="Calibri" w:hAnsi="Calibri" w:eastAsia="Calibri" w:cs="Calibri"/>
        </w:rPr>
        <w:t xml:space="preserve">циальные описания кандидатов: scikit-learn Diabetes (scikit-learn.org), NHANES (cdc.gov/nchs/nhanes), каталог баз данных PhysioNet (physionet.org). Упоминание набора данных не означает, что у нас есть доступ, согласованная лицензия или окончательный выбор.</w:t>
      </w:r>
      <w:r/>
    </w:p>
    <w:p>
      <w:pPr>
        <w:pBdr/>
        <w:spacing w:after="120" w:line="276" w:lineRule="auto"/>
        <w:ind/>
        <w:rPr/>
      </w:pPr>
      <w:r>
        <w:rPr>
          <w:rFonts w:ascii="Calibri" w:hAnsi="Calibri" w:eastAsia="Calibri" w:cs="Calibri"/>
        </w:rPr>
        <w:t xml:space="preserve">Пять полей текущей демонстрационной формы не определяют схему трёх моделей. Например, нормированные</w:t>
      </w:r>
      <w:r>
        <w:rPr>
          <w:rFonts w:ascii="Calibri" w:hAnsi="Calibri" w:eastAsia="Calibri" w:cs="Calibri"/>
        </w:rPr>
        <w:t xml:space="preserve"> признаки Diabetes нельзя показать как сырые клинические единицы без документированного обратимого преобразования. Табличный контракт GET не описывает последовательность измерений для M3; для неё после первой защиты нужны отдельная схема и согласование UX.</w:t>
      </w:r>
      <w:r/>
    </w:p>
    <w:p>
      <w:pPr>
        <w:pStyle w:val="735"/>
        <w:keepNext w:val="true"/>
        <w:pBdr/>
        <w:spacing/>
        <w:ind/>
        <w:rPr/>
      </w:pPr>
      <w:r>
        <w:rPr>
          <w:rFonts w:ascii="Calibri" w:hAnsi="Calibri" w:eastAsia="Calibri" w:cs="Calibri"/>
        </w:rPr>
        <w:t xml:space="preserve">5. Границы и ожидаемые результаты</w:t>
      </w:r>
      <w:r/>
    </w:p>
    <w:p>
      <w:pPr>
        <w:pBdr/>
        <w:spacing w:after="120" w:line="276" w:lineRule="auto"/>
        <w:ind/>
        <w:rPr/>
      </w:pPr>
      <w:r>
        <w:rPr>
          <w:rFonts w:ascii="Calibri" w:hAnsi="Calibri" w:eastAsia="Calibri" w:cs="Calibri"/>
          <w:b/>
          <w:bCs/>
        </w:rPr>
        <w:t xml:space="preserve">В границах проекта:</w:t>
      </w:r>
      <w:r>
        <w:rPr>
          <w:rFonts w:ascii="Calibri" w:hAnsi="Calibri" w:eastAsia="Calibri" w:cs="Calibri"/>
        </w:rPr>
        <w:t xml:space="preserve"> исследовательские паспорта трёх задач, сравнение с базовыми методами, воспроизводимые эксперименты, веб-интерфейс, серверная ва</w:t>
      </w:r>
      <w:r>
        <w:rPr>
          <w:rFonts w:ascii="Calibri" w:hAnsi="Calibri" w:eastAsia="Calibri" w:cs="Calibri"/>
        </w:rPr>
        <w:t xml:space="preserve">лидация входных данных, интеграция по согласованному API, сообщения об ошибках и ограничения результата. Развёртывание модели планируется после подтверждения экспериментального артефакта. Каждая следующая интеграция зависит от результата предыдущего этапа.</w:t>
      </w:r>
      <w:r/>
    </w:p>
    <w:p>
      <w:pPr>
        <w:pBdr/>
        <w:spacing w:after="120" w:line="276" w:lineRule="auto"/>
        <w:ind/>
        <w:rPr/>
      </w:pPr>
      <w:r>
        <w:rPr>
          <w:rFonts w:ascii="Calibri" w:hAnsi="Calibri" w:eastAsia="Calibri" w:cs="Calibri"/>
          <w:b/>
          <w:bCs/>
        </w:rPr>
        <w:t xml:space="preserve">Вне границ проекта:</w:t>
      </w:r>
      <w:r>
        <w:rPr>
          <w:rFonts w:ascii="Calibri" w:hAnsi="Calibri" w:eastAsia="Calibri" w:cs="Calibri"/>
        </w:rPr>
        <w:t xml:space="preserve"> диагностика, выбор лечения или дозы инсулина, управление медицинскими устройствами, доказательство клинической эффективности</w:t>
      </w:r>
      <w:r>
        <w:rPr>
          <w:rFonts w:ascii="Calibri" w:hAnsi="Calibri" w:eastAsia="Calibri" w:cs="Calibri"/>
        </w:rPr>
        <w:t xml:space="preserve">, работа с реальными пациентами, сертификация, обязательная авторизация и долговременное хранение истории. Страницы аккаунта и истории существуют только в интерфейсе по макету Figma; их серверные действия отключены и не считаются готовой функциональностью.</w:t>
      </w:r>
      <w:r/>
    </w:p>
    <w:p>
      <w:pPr>
        <w:pBdr/>
        <w:spacing w:after="120" w:line="276" w:lineRule="auto"/>
        <w:ind/>
        <w:rPr/>
      </w:pPr>
      <w:r>
        <w:rPr>
          <w:rFonts w:ascii="Calibri" w:hAnsi="Calibri" w:eastAsia="Calibri" w:cs="Calibri"/>
          <w:b/>
          <w:bCs/>
        </w:rPr>
        <w:t xml:space="preserve">Ожидаемые результаты:</w:t>
      </w:r>
      <w:r>
        <w:rPr>
          <w:rFonts w:ascii="Calibri" w:hAnsi="Calibri" w:eastAsia="Calibri" w:cs="Calibri"/>
        </w:rPr>
        <w:t xml:space="preserve"> согласованная спецификация требований; документированные данные и ограничения; сравнение базовых методов и нейронных сетей отдельно по каждой задаче; перенос как минимум первого согла</w:t>
      </w:r>
      <w:r>
        <w:rPr>
          <w:rFonts w:ascii="Calibri" w:hAnsi="Calibri" w:eastAsia="Calibri" w:cs="Calibri"/>
        </w:rPr>
        <w:t xml:space="preserve">сованного артефакта модели через проверяемый конвейер; проверки интерфейса и интеграции; отчёт о воспроизводимости. Завершение всех трёх моделей — цель следующих этапов, и она зависит от пригодности данных. Показать их работающими 24 октября мы не обещаем.</w:t>
      </w:r>
      <w:r/>
    </w:p>
    <w:p>
      <w:pPr>
        <w:pStyle w:val="735"/>
        <w:keepNext w:val="true"/>
        <w:pBdr/>
        <w:spacing/>
        <w:ind/>
        <w:rPr/>
      </w:pPr>
      <w:r>
        <w:rPr>
          <w:rFonts w:ascii="Calibri" w:hAnsi="Calibri" w:eastAsia="Calibri" w:cs="Calibri"/>
        </w:rPr>
        <w:t xml:space="preserve">6. Подтверждённое состояние на 21 октября</w:t>
      </w:r>
      <w:r/>
    </w:p>
    <w:tbl>
      <w:tblPr>
        <w:tblW w:w="963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2313"/>
        <w:gridCol w:w="3855"/>
        <w:gridCol w:w="3470"/>
      </w:tblGrid>
      <w:tr>
        <w:trPr>
          <w:cantSplit/>
          <w:tblHeader/>
        </w:trPr>
        <w:tc>
          <w:tcPr>
            <w:shd w:val="clear" w:color="auto" w:fill="e7e6e6"/>
            <w:tcBorders>
              <w:top w:val="single" w:color="a6a6a6" w:sz="4" w:space="0"/>
              <w:left w:val="single" w:color="a6a6a6" w:sz="4" w:space="0"/>
              <w:bottom w:val="single" w:color="a6a6a6" w:sz="4" w:space="0"/>
              <w:right w:val="single" w:color="a6a6a6" w:sz="4" w:space="0"/>
            </w:tcBorders>
            <w:tcMar>
              <w:left w:w="90" w:type="dxa"/>
              <w:top w:w="50" w:type="dxa"/>
              <w:right w:w="90" w:type="dxa"/>
              <w:bottom w:w="50" w:type="dxa"/>
            </w:tcMar>
            <w:tcW w:w="2313" w:type="dxa"/>
          </w:tcPr>
          <w:p>
            <w:pPr>
              <w:pBdr/>
              <w:spacing w:after="20"/>
              <w:ind/>
              <w:rPr/>
            </w:pPr>
            <w:r>
              <w:rPr>
                <w:rFonts w:ascii="Calibri" w:hAnsi="Calibri" w:eastAsia="Calibri" w:cs="Calibri"/>
                <w:b/>
                <w:bCs/>
                <w:sz w:val="18"/>
                <w:szCs w:val="18"/>
              </w:rPr>
              <w:t xml:space="preserve">Область</w:t>
            </w:r>
            <w:r/>
          </w:p>
        </w:tc>
        <w:tc>
          <w:tcPr>
            <w:shd w:val="clear" w:color="auto" w:fill="e7e6e6"/>
            <w:tcBorders>
              <w:top w:val="single" w:color="a6a6a6" w:sz="4" w:space="0"/>
              <w:left w:val="single" w:color="a6a6a6" w:sz="4" w:space="0"/>
              <w:bottom w:val="single" w:color="a6a6a6" w:sz="4" w:space="0"/>
              <w:right w:val="single" w:color="a6a6a6" w:sz="4" w:space="0"/>
            </w:tcBorders>
            <w:tcMar>
              <w:left w:w="90" w:type="dxa"/>
              <w:top w:w="50" w:type="dxa"/>
              <w:right w:w="90" w:type="dxa"/>
              <w:bottom w:w="50" w:type="dxa"/>
            </w:tcMar>
            <w:tcW w:w="3855" w:type="dxa"/>
          </w:tcPr>
          <w:p>
            <w:pPr>
              <w:pBdr/>
              <w:spacing w:after="20"/>
              <w:ind/>
              <w:rPr/>
            </w:pPr>
            <w:r>
              <w:rPr>
                <w:rFonts w:ascii="Calibri" w:hAnsi="Calibri" w:eastAsia="Calibri" w:cs="Calibri"/>
                <w:b/>
                <w:bCs/>
                <w:sz w:val="18"/>
                <w:szCs w:val="18"/>
              </w:rPr>
              <w:t xml:space="preserve">Подтверждение</w:t>
            </w:r>
            <w:r/>
          </w:p>
        </w:tc>
        <w:tc>
          <w:tcPr>
            <w:shd w:val="clear" w:color="auto" w:fill="e7e6e6"/>
            <w:tcBorders>
              <w:top w:val="single" w:color="a6a6a6" w:sz="4" w:space="0"/>
              <w:left w:val="single" w:color="a6a6a6" w:sz="4" w:space="0"/>
              <w:bottom w:val="single" w:color="a6a6a6" w:sz="4" w:space="0"/>
              <w:right w:val="single" w:color="a6a6a6" w:sz="4" w:space="0"/>
            </w:tcBorders>
            <w:tcMar>
              <w:left w:w="90" w:type="dxa"/>
              <w:top w:w="50" w:type="dxa"/>
              <w:right w:w="90" w:type="dxa"/>
              <w:bottom w:w="50" w:type="dxa"/>
            </w:tcMar>
            <w:tcW w:w="3470" w:type="dxa"/>
          </w:tcPr>
          <w:p>
            <w:pPr>
              <w:pBdr/>
              <w:spacing w:after="20"/>
              <w:ind/>
              <w:rPr/>
            </w:pPr>
            <w:r>
              <w:rPr>
                <w:rFonts w:ascii="Calibri" w:hAnsi="Calibri" w:eastAsia="Calibri" w:cs="Calibri"/>
                <w:b/>
                <w:bCs/>
                <w:sz w:val="18"/>
                <w:szCs w:val="18"/>
              </w:rPr>
              <w:t xml:space="preserve">Статус</w:t>
            </w:r>
            <w:r/>
          </w:p>
        </w:tc>
      </w:tr>
      <w:tr>
        <w:trPr>
          <w:cantSplit/>
        </w:trPr>
        <w:tc>
          <w:tcPr>
            <w:tcBorders>
              <w:top w:val="single" w:color="a6a6a6" w:sz="4" w:space="0"/>
              <w:left w:val="single" w:color="a6a6a6" w:sz="4" w:space="0"/>
              <w:bottom w:val="single" w:color="a6a6a6" w:sz="4" w:space="0"/>
              <w:right w:val="single" w:color="a6a6a6" w:sz="4" w:space="0"/>
            </w:tcBorders>
            <w:tcMar>
              <w:left w:w="90" w:type="dxa"/>
              <w:top w:w="50" w:type="dxa"/>
              <w:right w:w="90" w:type="dxa"/>
              <w:bottom w:w="50" w:type="dxa"/>
            </w:tcMar>
            <w:tcW w:w="2313" w:type="dxa"/>
          </w:tcPr>
          <w:p>
            <w:pPr>
              <w:pBdr/>
              <w:spacing w:after="20"/>
              <w:ind/>
              <w:rPr/>
            </w:pPr>
            <w:r>
              <w:rPr>
                <w:rFonts w:ascii="Calibri" w:hAnsi="Calibri" w:eastAsia="Calibri" w:cs="Calibri"/>
                <w:sz w:val="18"/>
                <w:szCs w:val="18"/>
              </w:rPr>
              <w:t xml:space="preserve">Frontend на React / TypeScript / Vite</w:t>
            </w:r>
            <w:r/>
          </w:p>
        </w:tc>
        <w:tc>
          <w:tcPr>
            <w:tcBorders>
              <w:top w:val="single" w:color="a6a6a6" w:sz="4" w:space="0"/>
              <w:left w:val="single" w:color="a6a6a6" w:sz="4" w:space="0"/>
              <w:bottom w:val="single" w:color="a6a6a6" w:sz="4" w:space="0"/>
              <w:right w:val="single" w:color="a6a6a6" w:sz="4" w:space="0"/>
            </w:tcBorders>
            <w:tcMar>
              <w:left w:w="90" w:type="dxa"/>
              <w:top w:w="50" w:type="dxa"/>
              <w:right w:w="90" w:type="dxa"/>
              <w:bottom w:w="50" w:type="dxa"/>
            </w:tcMar>
            <w:tcW w:w="3855" w:type="dxa"/>
          </w:tcPr>
          <w:p>
            <w:pPr>
              <w:pBdr/>
              <w:spacing w:after="20"/>
              <w:ind/>
              <w:rPr/>
            </w:pPr>
            <w:r>
              <w:rPr>
                <w:rFonts w:ascii="Calibri" w:hAnsi="Calibri" w:eastAsia="Calibri" w:cs="Calibri"/>
                <w:sz w:val="18"/>
                <w:szCs w:val="18"/>
              </w:rPr>
              <w:t xml:space="preserve">Опубликованное одностраничное демо в репозитории frontend (README, src/, тесты)</w:t>
            </w:r>
            <w:r/>
          </w:p>
        </w:tc>
        <w:tc>
          <w:tcPr>
            <w:tcBorders>
              <w:top w:val="single" w:color="a6a6a6" w:sz="4" w:space="0"/>
              <w:left w:val="single" w:color="a6a6a6" w:sz="4" w:space="0"/>
              <w:bottom w:val="single" w:color="a6a6a6" w:sz="4" w:space="0"/>
              <w:right w:val="single" w:color="a6a6a6" w:sz="4" w:space="0"/>
            </w:tcBorders>
            <w:tcMar>
              <w:left w:w="90" w:type="dxa"/>
              <w:top w:w="50" w:type="dxa"/>
              <w:right w:w="90" w:type="dxa"/>
              <w:bottom w:w="50" w:type="dxa"/>
            </w:tcMar>
            <w:tcW w:w="3470" w:type="dxa"/>
          </w:tcPr>
          <w:p>
            <w:pPr>
              <w:pBdr/>
              <w:spacing w:after="20"/>
              <w:ind/>
              <w:rPr/>
            </w:pPr>
            <w:r>
              <w:rPr>
                <w:rFonts w:ascii="Calibri" w:hAnsi="Calibri" w:eastAsia="Calibri" w:cs="Calibri"/>
                <w:sz w:val="18"/>
                <w:szCs w:val="18"/>
              </w:rPr>
              <w:t xml:space="preserve">Реализовано. Расширенный интерфейс по макету Figma будет добавлен отдельно.</w:t>
            </w:r>
            <w:r/>
          </w:p>
        </w:tc>
      </w:tr>
      <w:tr>
        <w:trPr>
          <w:cantSplit/>
        </w:trPr>
        <w:tc>
          <w:tcPr>
            <w:tcBorders>
              <w:top w:val="single" w:color="a6a6a6" w:sz="4" w:space="0"/>
              <w:left w:val="single" w:color="a6a6a6" w:sz="4" w:space="0"/>
              <w:bottom w:val="single" w:color="a6a6a6" w:sz="4" w:space="0"/>
              <w:right w:val="single" w:color="a6a6a6" w:sz="4" w:space="0"/>
            </w:tcBorders>
            <w:tcMar>
              <w:left w:w="90" w:type="dxa"/>
              <w:top w:w="50" w:type="dxa"/>
              <w:right w:w="90" w:type="dxa"/>
              <w:bottom w:w="50" w:type="dxa"/>
            </w:tcMar>
            <w:tcW w:w="2313" w:type="dxa"/>
          </w:tcPr>
          <w:p>
            <w:pPr>
              <w:pBdr/>
              <w:spacing w:after="20"/>
              <w:ind/>
              <w:rPr/>
            </w:pPr>
            <w:r>
              <w:rPr>
                <w:rFonts w:ascii="Calibri" w:hAnsi="Calibri" w:eastAsia="Calibri" w:cs="Calibri"/>
                <w:sz w:val="18"/>
                <w:szCs w:val="18"/>
              </w:rPr>
              <w:t xml:space="preserve">UI / UX</w:t>
            </w:r>
            <w:r/>
          </w:p>
        </w:tc>
        <w:tc>
          <w:tcPr>
            <w:tcBorders>
              <w:top w:val="single" w:color="a6a6a6" w:sz="4" w:space="0"/>
              <w:left w:val="single" w:color="a6a6a6" w:sz="4" w:space="0"/>
              <w:bottom w:val="single" w:color="a6a6a6" w:sz="4" w:space="0"/>
              <w:right w:val="single" w:color="a6a6a6" w:sz="4" w:space="0"/>
            </w:tcBorders>
            <w:tcMar>
              <w:left w:w="90" w:type="dxa"/>
              <w:top w:w="50" w:type="dxa"/>
              <w:right w:w="90" w:type="dxa"/>
              <w:bottom w:w="50" w:type="dxa"/>
            </w:tcMar>
            <w:tcW w:w="3855" w:type="dxa"/>
          </w:tcPr>
          <w:p>
            <w:pPr>
              <w:pBdr/>
              <w:spacing w:after="20"/>
              <w:ind/>
              <w:rPr/>
            </w:pPr>
            <w:r>
              <w:rPr>
                <w:rFonts w:ascii="Calibri" w:hAnsi="Calibri" w:eastAsia="Calibri" w:cs="Calibri"/>
                <w:sz w:val="18"/>
                <w:szCs w:val="18"/>
              </w:rPr>
              <w:t xml:space="preserve">Код, docs/design, файл Figma, скриншоты</w:t>
            </w:r>
            <w:r/>
          </w:p>
        </w:tc>
        <w:tc>
          <w:tcPr>
            <w:tcBorders>
              <w:top w:val="single" w:color="a6a6a6" w:sz="4" w:space="0"/>
              <w:left w:val="single" w:color="a6a6a6" w:sz="4" w:space="0"/>
              <w:bottom w:val="single" w:color="a6a6a6" w:sz="4" w:space="0"/>
              <w:right w:val="single" w:color="a6a6a6" w:sz="4" w:space="0"/>
            </w:tcBorders>
            <w:tcMar>
              <w:left w:w="90" w:type="dxa"/>
              <w:top w:w="50" w:type="dxa"/>
              <w:right w:w="90" w:type="dxa"/>
              <w:bottom w:w="50" w:type="dxa"/>
            </w:tcMar>
            <w:tcW w:w="3470" w:type="dxa"/>
          </w:tcPr>
          <w:p>
            <w:pPr>
              <w:pBdr/>
              <w:spacing w:after="20"/>
              <w:ind/>
              <w:rPr/>
            </w:pPr>
            <w:r>
              <w:rPr>
                <w:rFonts w:ascii="Calibri" w:hAnsi="Calibri" w:eastAsia="Calibri" w:cs="Calibri"/>
                <w:sz w:val="18"/>
                <w:szCs w:val="18"/>
              </w:rPr>
              <w:t xml:space="preserve">Прототип есть. Одобрение дизайна научным руководителем не подтверждено.</w:t>
            </w:r>
            <w:r/>
          </w:p>
        </w:tc>
      </w:tr>
      <w:tr>
        <w:trPr>
          <w:cantSplit/>
        </w:trPr>
        <w:tc>
          <w:tcPr>
            <w:tcBorders>
              <w:top w:val="single" w:color="a6a6a6" w:sz="4" w:space="0"/>
              <w:left w:val="single" w:color="a6a6a6" w:sz="4" w:space="0"/>
              <w:bottom w:val="single" w:color="a6a6a6" w:sz="4" w:space="0"/>
              <w:right w:val="single" w:color="a6a6a6" w:sz="4" w:space="0"/>
            </w:tcBorders>
            <w:tcMar>
              <w:left w:w="90" w:type="dxa"/>
              <w:top w:w="50" w:type="dxa"/>
              <w:right w:w="90" w:type="dxa"/>
              <w:bottom w:w="50" w:type="dxa"/>
            </w:tcMar>
            <w:tcW w:w="2313" w:type="dxa"/>
          </w:tcPr>
          <w:p>
            <w:pPr>
              <w:pBdr/>
              <w:spacing w:after="20"/>
              <w:ind/>
              <w:rPr/>
            </w:pPr>
            <w:r>
              <w:rPr>
                <w:rFonts w:ascii="Calibri" w:hAnsi="Calibri" w:eastAsia="Calibri" w:cs="Calibri"/>
                <w:sz w:val="18"/>
                <w:szCs w:val="18"/>
              </w:rPr>
              <w:t xml:space="preserve">Демо</w:t>
            </w:r>
            <w:r/>
          </w:p>
        </w:tc>
        <w:tc>
          <w:tcPr>
            <w:tcBorders>
              <w:top w:val="single" w:color="a6a6a6" w:sz="4" w:space="0"/>
              <w:left w:val="single" w:color="a6a6a6" w:sz="4" w:space="0"/>
              <w:bottom w:val="single" w:color="a6a6a6" w:sz="4" w:space="0"/>
              <w:right w:val="single" w:color="a6a6a6" w:sz="4" w:space="0"/>
            </w:tcBorders>
            <w:tcMar>
              <w:left w:w="90" w:type="dxa"/>
              <w:top w:w="50" w:type="dxa"/>
              <w:right w:w="90" w:type="dxa"/>
              <w:bottom w:w="50" w:type="dxa"/>
            </w:tcMar>
            <w:tcW w:w="3855" w:type="dxa"/>
          </w:tcPr>
          <w:p>
            <w:pPr>
              <w:pBdr/>
              <w:spacing w:after="20"/>
              <w:ind/>
              <w:rPr/>
            </w:pPr>
            <w:r>
              <w:rPr>
                <w:rFonts w:ascii="Calibri" w:hAnsi="Calibri" w:eastAsia="Calibri" w:cs="Calibri"/>
                <w:sz w:val="18"/>
                <w:szCs w:val="18"/>
              </w:rPr>
              <w:t xml:space="preserve">src/api/demo.ts, src/config/indicator.ts</w:t>
            </w:r>
            <w:r/>
          </w:p>
        </w:tc>
        <w:tc>
          <w:tcPr>
            <w:tcBorders>
              <w:top w:val="single" w:color="a6a6a6" w:sz="4" w:space="0"/>
              <w:left w:val="single" w:color="a6a6a6" w:sz="4" w:space="0"/>
              <w:bottom w:val="single" w:color="a6a6a6" w:sz="4" w:space="0"/>
              <w:right w:val="single" w:color="a6a6a6" w:sz="4" w:space="0"/>
            </w:tcBorders>
            <w:tcMar>
              <w:left w:w="90" w:type="dxa"/>
              <w:top w:w="50" w:type="dxa"/>
              <w:right w:w="90" w:type="dxa"/>
              <w:bottom w:w="50" w:type="dxa"/>
            </w:tcMar>
            <w:tcW w:w="3470" w:type="dxa"/>
          </w:tcPr>
          <w:p>
            <w:pPr>
              <w:pBdr/>
              <w:spacing w:after="20"/>
              <w:ind/>
              <w:rPr/>
            </w:pPr>
            <w:r>
              <w:rPr>
                <w:rFonts w:ascii="Calibri" w:hAnsi="Calibri" w:eastAsia="Calibri" w:cs="Calibri"/>
                <w:sz w:val="18"/>
                <w:szCs w:val="18"/>
              </w:rPr>
              <w:t xml:space="preserve">Фиксированное значение 134,2 мм рт. ст. Вывода модели нет.</w:t>
            </w:r>
            <w:r/>
          </w:p>
        </w:tc>
      </w:tr>
      <w:tr>
        <w:trPr>
          <w:cantSplit/>
        </w:trPr>
        <w:tc>
          <w:tcPr>
            <w:tcBorders>
              <w:top w:val="single" w:color="a6a6a6" w:sz="4" w:space="0"/>
              <w:left w:val="single" w:color="a6a6a6" w:sz="4" w:space="0"/>
              <w:bottom w:val="single" w:color="a6a6a6" w:sz="4" w:space="0"/>
              <w:right w:val="single" w:color="a6a6a6" w:sz="4" w:space="0"/>
            </w:tcBorders>
            <w:tcMar>
              <w:left w:w="90" w:type="dxa"/>
              <w:top w:w="50" w:type="dxa"/>
              <w:right w:w="90" w:type="dxa"/>
              <w:bottom w:w="50" w:type="dxa"/>
            </w:tcMar>
            <w:tcW w:w="2313" w:type="dxa"/>
          </w:tcPr>
          <w:p>
            <w:pPr>
              <w:pBdr/>
              <w:spacing w:after="20"/>
              <w:ind/>
              <w:rPr/>
            </w:pPr>
            <w:r>
              <w:rPr>
                <w:rFonts w:ascii="Calibri" w:hAnsi="Calibri" w:eastAsia="Calibri" w:cs="Calibri"/>
                <w:sz w:val="18"/>
                <w:szCs w:val="18"/>
              </w:rPr>
              <w:t xml:space="preserve">Клиентский HTTP-адаптер</w:t>
            </w:r>
            <w:r/>
          </w:p>
        </w:tc>
        <w:tc>
          <w:tcPr>
            <w:tcBorders>
              <w:top w:val="single" w:color="a6a6a6" w:sz="4" w:space="0"/>
              <w:left w:val="single" w:color="a6a6a6" w:sz="4" w:space="0"/>
              <w:bottom w:val="single" w:color="a6a6a6" w:sz="4" w:space="0"/>
              <w:right w:val="single" w:color="a6a6a6" w:sz="4" w:space="0"/>
            </w:tcBorders>
            <w:tcMar>
              <w:left w:w="90" w:type="dxa"/>
              <w:top w:w="50" w:type="dxa"/>
              <w:right w:w="90" w:type="dxa"/>
              <w:bottom w:w="50" w:type="dxa"/>
            </w:tcMar>
            <w:tcW w:w="3855" w:type="dxa"/>
          </w:tcPr>
          <w:p>
            <w:pPr>
              <w:pBdr/>
              <w:spacing w:after="20"/>
              <w:ind/>
              <w:rPr/>
            </w:pPr>
            <w:r>
              <w:rPr>
                <w:rFonts w:ascii="Calibri" w:hAnsi="Calibri" w:eastAsia="Calibri" w:cs="Calibri"/>
                <w:sz w:val="18"/>
                <w:szCs w:val="18"/>
              </w:rPr>
              <w:t xml:space="preserve">src/api/http.ts, contract.ts, тесты API</w:t>
            </w:r>
            <w:r/>
          </w:p>
        </w:tc>
        <w:tc>
          <w:tcPr>
            <w:tcBorders>
              <w:top w:val="single" w:color="a6a6a6" w:sz="4" w:space="0"/>
              <w:left w:val="single" w:color="a6a6a6" w:sz="4" w:space="0"/>
              <w:bottom w:val="single" w:color="a6a6a6" w:sz="4" w:space="0"/>
              <w:right w:val="single" w:color="a6a6a6" w:sz="4" w:space="0"/>
            </w:tcBorders>
            <w:tcMar>
              <w:left w:w="90" w:type="dxa"/>
              <w:top w:w="50" w:type="dxa"/>
              <w:right w:w="90" w:type="dxa"/>
              <w:bottom w:w="50" w:type="dxa"/>
            </w:tcMar>
            <w:tcW w:w="3470" w:type="dxa"/>
          </w:tcPr>
          <w:p>
            <w:pPr>
              <w:pBdr/>
              <w:spacing w:after="20"/>
              <w:ind/>
              <w:rPr/>
            </w:pPr>
            <w:r>
              <w:rPr>
                <w:rFonts w:ascii="Calibri" w:hAnsi="Calibri" w:eastAsia="Calibri" w:cs="Calibri"/>
                <w:sz w:val="18"/>
                <w:szCs w:val="18"/>
              </w:rPr>
              <w:t xml:space="preserve">Реализовано. Сквозной запуск с backend ещё предстоит.</w:t>
            </w:r>
            <w:r/>
          </w:p>
        </w:tc>
      </w:tr>
      <w:tr>
        <w:trPr>
          <w:cantSplit/>
        </w:trPr>
        <w:tc>
          <w:tcPr>
            <w:tcBorders>
              <w:top w:val="single" w:color="a6a6a6" w:sz="4" w:space="0"/>
              <w:left w:val="single" w:color="a6a6a6" w:sz="4" w:space="0"/>
              <w:bottom w:val="single" w:color="a6a6a6" w:sz="4" w:space="0"/>
              <w:right w:val="single" w:color="a6a6a6" w:sz="4" w:space="0"/>
            </w:tcBorders>
            <w:tcMar>
              <w:left w:w="90" w:type="dxa"/>
              <w:top w:w="50" w:type="dxa"/>
              <w:right w:w="90" w:type="dxa"/>
              <w:bottom w:w="50" w:type="dxa"/>
            </w:tcMar>
            <w:tcW w:w="2313" w:type="dxa"/>
          </w:tcPr>
          <w:p>
            <w:pPr>
              <w:pBdr/>
              <w:spacing w:after="20"/>
              <w:ind/>
              <w:rPr/>
            </w:pPr>
            <w:r>
              <w:rPr>
                <w:rFonts w:ascii="Calibri" w:hAnsi="Calibri" w:eastAsia="Calibri" w:cs="Calibri"/>
                <w:sz w:val="18"/>
                <w:szCs w:val="18"/>
              </w:rPr>
              <w:t xml:space="preserve">Backend на Java / Spring Boot</w:t>
            </w:r>
            <w:r/>
          </w:p>
        </w:tc>
        <w:tc>
          <w:tcPr>
            <w:tcBorders>
              <w:top w:val="single" w:color="a6a6a6" w:sz="4" w:space="0"/>
              <w:left w:val="single" w:color="a6a6a6" w:sz="4" w:space="0"/>
              <w:bottom w:val="single" w:color="a6a6a6" w:sz="4" w:space="0"/>
              <w:right w:val="single" w:color="a6a6a6" w:sz="4" w:space="0"/>
            </w:tcBorders>
            <w:tcMar>
              <w:left w:w="90" w:type="dxa"/>
              <w:top w:w="50" w:type="dxa"/>
              <w:right w:w="90" w:type="dxa"/>
              <w:bottom w:w="50" w:type="dxa"/>
            </w:tcMar>
            <w:tcW w:w="3855" w:type="dxa"/>
          </w:tcPr>
          <w:p>
            <w:pPr>
              <w:pBdr/>
              <w:spacing w:after="20"/>
              <w:ind/>
              <w:rPr/>
            </w:pPr>
            <w:r>
              <w:rPr>
                <w:rFonts w:ascii="Calibri" w:hAnsi="Calibri" w:eastAsia="Calibri" w:cs="Calibri"/>
                <w:sz w:val="18"/>
                <w:szCs w:val="18"/>
              </w:rPr>
              <w:t xml:space="preserve">README backend (предоставлен командой): endpoints, валидация, модель ошибок, demo-профиль, Swagger</w:t>
            </w:r>
            <w:r/>
          </w:p>
        </w:tc>
        <w:tc>
          <w:tcPr>
            <w:tcBorders>
              <w:top w:val="single" w:color="a6a6a6" w:sz="4" w:space="0"/>
              <w:left w:val="single" w:color="a6a6a6" w:sz="4" w:space="0"/>
              <w:bottom w:val="single" w:color="a6a6a6" w:sz="4" w:space="0"/>
              <w:right w:val="single" w:color="a6a6a6" w:sz="4" w:space="0"/>
            </w:tcBorders>
            <w:tcMar>
              <w:left w:w="90" w:type="dxa"/>
              <w:top w:w="50" w:type="dxa"/>
              <w:right w:w="90" w:type="dxa"/>
              <w:bottom w:w="50" w:type="dxa"/>
            </w:tcMar>
            <w:tcW w:w="3470" w:type="dxa"/>
          </w:tcPr>
          <w:p>
            <w:pPr>
              <w:pBdr/>
              <w:spacing w:after="20"/>
              <w:ind/>
              <w:rPr/>
            </w:pPr>
            <w:r>
              <w:rPr>
                <w:rFonts w:ascii="Calibri" w:hAnsi="Calibri" w:eastAsia="Calibri" w:cs="Calibri"/>
                <w:sz w:val="18"/>
                <w:szCs w:val="18"/>
              </w:rPr>
              <w:t xml:space="preserve">Описан как работающий с демонстрационным провайдером. До подключения модели возвращает 503 MODEL_UNAVAILABLE.</w:t>
            </w:r>
            <w:r/>
          </w:p>
        </w:tc>
      </w:tr>
      <w:tr>
        <w:trPr>
          <w:cantSplit/>
        </w:trPr>
        <w:tc>
          <w:tcPr>
            <w:tcBorders>
              <w:top w:val="single" w:color="a6a6a6" w:sz="4" w:space="0"/>
              <w:left w:val="single" w:color="a6a6a6" w:sz="4" w:space="0"/>
              <w:bottom w:val="single" w:color="a6a6a6" w:sz="4" w:space="0"/>
              <w:right w:val="single" w:color="a6a6a6" w:sz="4" w:space="0"/>
            </w:tcBorders>
            <w:tcMar>
              <w:left w:w="90" w:type="dxa"/>
              <w:top w:w="50" w:type="dxa"/>
              <w:right w:w="90" w:type="dxa"/>
              <w:bottom w:w="50" w:type="dxa"/>
            </w:tcMar>
            <w:tcW w:w="2313" w:type="dxa"/>
          </w:tcPr>
          <w:p>
            <w:pPr>
              <w:pBdr/>
              <w:spacing w:after="20"/>
              <w:ind/>
              <w:rPr/>
            </w:pPr>
            <w:r>
              <w:rPr>
                <w:rFonts w:ascii="Calibri" w:hAnsi="Calibri" w:eastAsia="Calibri" w:cs="Calibri"/>
                <w:sz w:val="18"/>
                <w:szCs w:val="18"/>
              </w:rPr>
              <w:t xml:space="preserve">Модели M1, M2, M3</w:t>
            </w:r>
            <w:r/>
          </w:p>
        </w:tc>
        <w:tc>
          <w:tcPr>
            <w:tcBorders>
              <w:top w:val="single" w:color="a6a6a6" w:sz="4" w:space="0"/>
              <w:left w:val="single" w:color="a6a6a6" w:sz="4" w:space="0"/>
              <w:bottom w:val="single" w:color="a6a6a6" w:sz="4" w:space="0"/>
              <w:right w:val="single" w:color="a6a6a6" w:sz="4" w:space="0"/>
            </w:tcBorders>
            <w:tcMar>
              <w:left w:w="90" w:type="dxa"/>
              <w:top w:w="50" w:type="dxa"/>
              <w:right w:w="90" w:type="dxa"/>
              <w:bottom w:w="50" w:type="dxa"/>
            </w:tcMar>
            <w:tcW w:w="3855" w:type="dxa"/>
          </w:tcPr>
          <w:p>
            <w:pPr>
              <w:pBdr/>
              <w:spacing w:after="20"/>
              <w:ind/>
              <w:rPr/>
            </w:pPr>
            <w:r>
              <w:rPr>
                <w:rFonts w:ascii="Calibri" w:hAnsi="Calibri" w:eastAsia="Calibri" w:cs="Calibri"/>
                <w:sz w:val="18"/>
                <w:szCs w:val="18"/>
              </w:rPr>
              <w:t xml:space="preserve">Наборы данных, веса, ноутбуки и результаты экспериментов не переданы</w:t>
            </w:r>
            <w:r/>
          </w:p>
        </w:tc>
        <w:tc>
          <w:tcPr>
            <w:tcBorders>
              <w:top w:val="single" w:color="a6a6a6" w:sz="4" w:space="0"/>
              <w:left w:val="single" w:color="a6a6a6" w:sz="4" w:space="0"/>
              <w:bottom w:val="single" w:color="a6a6a6" w:sz="4" w:space="0"/>
              <w:right w:val="single" w:color="a6a6a6" w:sz="4" w:space="0"/>
            </w:tcBorders>
            <w:tcMar>
              <w:left w:w="90" w:type="dxa"/>
              <w:top w:w="50" w:type="dxa"/>
              <w:right w:w="90" w:type="dxa"/>
              <w:bottom w:w="50" w:type="dxa"/>
            </w:tcMar>
            <w:tcW w:w="3470" w:type="dxa"/>
          </w:tcPr>
          <w:p>
            <w:pPr>
              <w:pBdr/>
              <w:spacing w:after="20"/>
              <w:ind/>
              <w:rPr/>
            </w:pPr>
            <w:r>
              <w:rPr>
                <w:rFonts w:ascii="Calibri" w:hAnsi="Calibri" w:eastAsia="Calibri" w:cs="Calibri"/>
                <w:sz w:val="18"/>
                <w:szCs w:val="18"/>
              </w:rPr>
              <w:t xml:space="preserve">Не реализовано. В плане.</w:t>
            </w:r>
            <w:r/>
          </w:p>
        </w:tc>
      </w:tr>
      <w:tr>
        <w:trPr>
          <w:cantSplit/>
        </w:trPr>
        <w:tc>
          <w:tcPr>
            <w:tcBorders>
              <w:top w:val="single" w:color="a6a6a6" w:sz="4" w:space="0"/>
              <w:left w:val="single" w:color="a6a6a6" w:sz="4" w:space="0"/>
              <w:bottom w:val="single" w:color="a6a6a6" w:sz="4" w:space="0"/>
              <w:right w:val="single" w:color="a6a6a6" w:sz="4" w:space="0"/>
            </w:tcBorders>
            <w:tcMar>
              <w:left w:w="90" w:type="dxa"/>
              <w:top w:w="50" w:type="dxa"/>
              <w:right w:w="90" w:type="dxa"/>
              <w:bottom w:w="50" w:type="dxa"/>
            </w:tcMar>
            <w:tcW w:w="2313" w:type="dxa"/>
          </w:tcPr>
          <w:p>
            <w:pPr>
              <w:pBdr/>
              <w:spacing w:after="20"/>
              <w:ind/>
              <w:rPr/>
            </w:pPr>
            <w:r>
              <w:rPr>
                <w:rFonts w:ascii="Calibri" w:hAnsi="Calibri" w:eastAsia="Calibri" w:cs="Calibri"/>
                <w:sz w:val="18"/>
                <w:szCs w:val="18"/>
              </w:rPr>
              <w:t xml:space="preserve">Исследование пользователей</w:t>
            </w:r>
            <w:r/>
          </w:p>
        </w:tc>
        <w:tc>
          <w:tcPr>
            <w:tcBorders>
              <w:top w:val="single" w:color="a6a6a6" w:sz="4" w:space="0"/>
              <w:left w:val="single" w:color="a6a6a6" w:sz="4" w:space="0"/>
              <w:bottom w:val="single" w:color="a6a6a6" w:sz="4" w:space="0"/>
              <w:right w:val="single" w:color="a6a6a6" w:sz="4" w:space="0"/>
            </w:tcBorders>
            <w:tcMar>
              <w:left w:w="90" w:type="dxa"/>
              <w:top w:w="50" w:type="dxa"/>
              <w:right w:w="90" w:type="dxa"/>
              <w:bottom w:w="50" w:type="dxa"/>
            </w:tcMar>
            <w:tcW w:w="3855" w:type="dxa"/>
          </w:tcPr>
          <w:p>
            <w:pPr>
              <w:pBdr/>
              <w:spacing w:after="20"/>
              <w:ind/>
              <w:rPr/>
            </w:pPr>
            <w:r>
              <w:rPr>
                <w:rFonts w:ascii="Calibri" w:hAnsi="Calibri" w:eastAsia="Calibri" w:cs="Calibri"/>
                <w:sz w:val="18"/>
                <w:szCs w:val="18"/>
              </w:rPr>
              <w:t xml:space="preserve">Заполненный документ 02 и отдельные синтетические материалы</w:t>
            </w:r>
            <w:r/>
          </w:p>
        </w:tc>
        <w:tc>
          <w:tcPr>
            <w:tcBorders>
              <w:top w:val="single" w:color="a6a6a6" w:sz="4" w:space="0"/>
              <w:left w:val="single" w:color="a6a6a6" w:sz="4" w:space="0"/>
              <w:bottom w:val="single" w:color="a6a6a6" w:sz="4" w:space="0"/>
              <w:right w:val="single" w:color="a6a6a6" w:sz="4" w:space="0"/>
            </w:tcBorders>
            <w:tcMar>
              <w:left w:w="90" w:type="dxa"/>
              <w:top w:w="50" w:type="dxa"/>
              <w:right w:w="90" w:type="dxa"/>
              <w:bottom w:w="50" w:type="dxa"/>
            </w:tcMar>
            <w:tcW w:w="3470" w:type="dxa"/>
          </w:tcPr>
          <w:p>
            <w:pPr>
              <w:pBdr/>
              <w:spacing w:after="20"/>
              <w:ind/>
              <w:rPr/>
            </w:pPr>
            <w:r>
              <w:rPr>
                <w:rFonts w:ascii="Calibri" w:hAnsi="Calibri" w:eastAsia="Calibri" w:cs="Calibri"/>
                <w:sz w:val="18"/>
                <w:szCs w:val="18"/>
              </w:rPr>
              <w:t xml:space="preserve">Записи сохранены; происхождение и метод проведения не проверялись. Синтетические материалы не являются интервью</w:t>
            </w:r>
            <w:r/>
          </w:p>
        </w:tc>
      </w:tr>
      <w:tr>
        <w:trPr>
          <w:cantSplit/>
        </w:trPr>
        <w:tc>
          <w:tcPr>
            <w:tcBorders>
              <w:top w:val="single" w:color="a6a6a6" w:sz="4" w:space="0"/>
              <w:left w:val="single" w:color="a6a6a6" w:sz="4" w:space="0"/>
              <w:bottom w:val="single" w:color="a6a6a6" w:sz="4" w:space="0"/>
              <w:right w:val="single" w:color="a6a6a6" w:sz="4" w:space="0"/>
            </w:tcBorders>
            <w:tcMar>
              <w:left w:w="90" w:type="dxa"/>
              <w:top w:w="50" w:type="dxa"/>
              <w:right w:w="90" w:type="dxa"/>
              <w:bottom w:w="50" w:type="dxa"/>
            </w:tcMar>
            <w:tcW w:w="2313" w:type="dxa"/>
          </w:tcPr>
          <w:p>
            <w:pPr>
              <w:pBdr/>
              <w:spacing w:after="20"/>
              <w:ind/>
              <w:rPr/>
            </w:pPr>
            <w:r>
              <w:rPr>
                <w:rFonts w:ascii="Calibri" w:hAnsi="Calibri" w:eastAsia="Calibri" w:cs="Calibri"/>
                <w:sz w:val="18"/>
                <w:szCs w:val="18"/>
              </w:rPr>
              <w:t xml:space="preserve">Научное руководство</w:t>
            </w:r>
            <w:r/>
          </w:p>
        </w:tc>
        <w:tc>
          <w:tcPr>
            <w:tcBorders>
              <w:top w:val="single" w:color="a6a6a6" w:sz="4" w:space="0"/>
              <w:left w:val="single" w:color="a6a6a6" w:sz="4" w:space="0"/>
              <w:bottom w:val="single" w:color="a6a6a6" w:sz="4" w:space="0"/>
              <w:right w:val="single" w:color="a6a6a6" w:sz="4" w:space="0"/>
            </w:tcBorders>
            <w:tcMar>
              <w:left w:w="90" w:type="dxa"/>
              <w:top w:w="50" w:type="dxa"/>
              <w:right w:w="90" w:type="dxa"/>
              <w:bottom w:w="50" w:type="dxa"/>
            </w:tcMar>
            <w:tcW w:w="3855" w:type="dxa"/>
          </w:tcPr>
          <w:p>
            <w:pPr>
              <w:pBdr/>
              <w:spacing w:after="20"/>
              <w:ind/>
              <w:rPr/>
            </w:pPr>
            <w:r>
              <w:rPr>
                <w:rFonts w:ascii="Calibri" w:hAnsi="Calibri" w:eastAsia="Calibri" w:cs="Calibri"/>
                <w:sz w:val="18"/>
                <w:szCs w:val="18"/>
              </w:rPr>
              <w:t xml:space="preserve">Полное ФИО подтверждено командой 16 октября 2026 г.; журнал отзывов (документ 11), Jira MED-17</w:t>
            </w:r>
            <w:r/>
          </w:p>
        </w:tc>
        <w:tc>
          <w:tcPr>
            <w:tcBorders>
              <w:top w:val="single" w:color="a6a6a6" w:sz="4" w:space="0"/>
              <w:left w:val="single" w:color="a6a6a6" w:sz="4" w:space="0"/>
              <w:bottom w:val="single" w:color="a6a6a6" w:sz="4" w:space="0"/>
              <w:right w:val="single" w:color="a6a6a6" w:sz="4" w:space="0"/>
            </w:tcBorders>
            <w:tcMar>
              <w:left w:w="90" w:type="dxa"/>
              <w:top w:w="50" w:type="dxa"/>
              <w:right w:w="90" w:type="dxa"/>
              <w:bottom w:w="50" w:type="dxa"/>
            </w:tcMar>
            <w:tcW w:w="3470" w:type="dxa"/>
          </w:tcPr>
          <w:p>
            <w:pPr>
              <w:pBdr/>
              <w:spacing w:after="20"/>
              <w:ind/>
              <w:rPr/>
            </w:pPr>
            <w:r>
              <w:rPr>
                <w:rFonts w:ascii="Calibri" w:hAnsi="Calibri" w:eastAsia="Calibri" w:cs="Calibri"/>
                <w:sz w:val="18"/>
                <w:szCs w:val="18"/>
              </w:rPr>
              <w:t xml:space="preserve">Отзыв к первой предзащите получен 24.10.2026 (положительный, 4 замечания с ответами команды). Документ о назначении и согласование: PENDING</w:t>
            </w:r>
            <w:r/>
          </w:p>
        </w:tc>
      </w:tr>
    </w:tbl>
    <w:p>
      <w:pPr>
        <w:pBdr/>
        <w:spacing w:after="60"/>
        <w:ind/>
        <w:rPr/>
      </w:pPr>
      <w:r/>
      <w:r/>
    </w:p>
    <w:p>
      <w:pPr>
        <w:pStyle w:val="735"/>
        <w:keepNext w:val="true"/>
        <w:pBdr/>
        <w:spacing/>
        <w:ind/>
        <w:rPr/>
      </w:pPr>
      <w:r>
        <w:rPr>
          <w:rFonts w:ascii="Calibri" w:hAnsi="Calibri" w:eastAsia="Calibri" w:cs="Calibri"/>
        </w:rPr>
        <w:t xml:space="preserve">7. Стратегия реализации и этапы</w:t>
      </w:r>
      <w:r/>
    </w:p>
    <w:p>
      <w:pPr>
        <w:pBdr/>
        <w:spacing w:after="120" w:line="276" w:lineRule="auto"/>
        <w:ind/>
        <w:rPr/>
      </w:pPr>
      <w:r>
        <w:rPr>
          <w:rFonts w:ascii="Calibri" w:hAnsi="Calibri" w:eastAsia="Calibri" w:cs="Calibri"/>
        </w:rPr>
        <w:t xml:space="preserve">До 24 октября приоритетами являются подтверждение темы и руководителя, реальные обсуждения, обзор, требования, диаграммы и план оценки. Работающее приложение университет к этой дате не требует.</w:t>
      </w:r>
      <w:r/>
    </w:p>
    <w:p>
      <w:pPr>
        <w:pBdr/>
        <w:spacing w:after="120" w:line="276" w:lineRule="auto"/>
        <w:ind/>
        <w:rPr/>
      </w:pPr>
      <w:r>
        <w:rPr>
          <w:rFonts w:ascii="Calibri" w:hAnsi="Calibri" w:eastAsia="Calibri" w:cs="Calibri"/>
        </w:rPr>
        <w:t xml:space="preserve">Первое последующее </w:t>
      </w:r>
      <w:r>
        <w:rPr>
          <w:rFonts w:ascii="Calibri" w:hAnsi="Calibri" w:eastAsia="Calibri" w:cs="Calibri"/>
        </w:rPr>
        <w:t xml:space="preserve">приращение — M1 как ограниченная табличная задача: паспорт Diabetes, базовый метод, MLP, отчёт и проверка переноса. Второе — M2, после выбора цикла NHANES, правила для систолического АД и доступных признаков. Третье — M3, только после проверки продольного </w:t>
      </w:r>
      <w:r>
        <w:rPr>
          <w:rFonts w:ascii="Calibri" w:hAnsi="Calibri" w:eastAsia="Calibri" w:cs="Calibri"/>
        </w:rPr>
        <w:t xml:space="preserve">источника, доступа, числа независимых субъектов и приемлемого горизонта. Если временные данные окажутся непригодными, это будет задокументировано до того, как будет обещан LSTM, а замена набора данных передаётся руководителю без изменения официальной темы.</w:t>
      </w:r>
      <w:r/>
    </w:p>
    <w:p>
      <w:pPr>
        <w:pBdr/>
        <w:spacing w:after="120" w:line="276" w:lineRule="auto"/>
        <w:ind/>
        <w:rPr/>
      </w:pPr>
      <w:r>
        <w:rPr>
          <w:rFonts w:ascii="Calibri" w:hAnsi="Calibri" w:eastAsia="Calibri" w:cs="Calibri"/>
        </w:rPr>
        <w:t xml:space="preserve">Подробный календарь и ответственные приведены в документе «Управление проектом». Даты после первой защиты — предложение команды, а не расписание университета.</w:t>
      </w:r>
      <w:r/>
    </w:p>
    <w:p>
      <w:pPr>
        <w:pStyle w:val="735"/>
        <w:keepNext w:val="true"/>
        <w:pBdr/>
        <w:spacing/>
        <w:ind/>
        <w:rPr/>
      </w:pPr>
      <w:r>
        <w:rPr>
          <w:rFonts w:ascii="Calibri" w:hAnsi="Calibri" w:eastAsia="Calibri" w:cs="Calibri"/>
        </w:rPr>
        <w:t xml:space="preserve">8. Риски и ограничения</w:t>
      </w:r>
      <w:r/>
    </w:p>
    <w:p>
      <w:pPr>
        <w:pBdr/>
        <w:spacing w:after="120" w:line="276" w:lineRule="auto"/>
        <w:ind/>
        <w:rPr/>
      </w:pPr>
      <w:r>
        <w:rPr>
          <w:rFonts w:ascii="Calibri" w:hAnsi="Calibri" w:eastAsia="Calibri" w:cs="Calibri"/>
        </w:rPr>
        <w:t xml:space="preserve">Основные риски: отсутствие реального подтверждения потребности; малый первый набор данных; утечка при разбиении; популяционное смещение данных NHANES и реанимации; отсутствие подходя</w:t>
      </w:r>
      <w:r>
        <w:rPr>
          <w:rFonts w:ascii="Calibri" w:hAnsi="Calibri" w:eastAsia="Calibri" w:cs="Calibri"/>
        </w:rPr>
        <w:t xml:space="preserve">щей временной частоты для M3; несогласованный API; расхождение предобработки в Python и Java; восприятие демонстрационного числа как медицинского вывода; слишком большой объём работы для трёх модулей. Меры снижения и ответственные указаны в реестре рисков.</w:t>
      </w:r>
      <w:r/>
    </w:p>
    <w:p>
      <w:pPr>
        <w:pBdr/>
        <w:spacing w:after="120" w:line="276" w:lineRule="auto"/>
        <w:ind/>
        <w:rPr/>
      </w:pPr>
      <w:r>
        <w:rPr>
          <w:rFonts w:ascii="Calibri" w:hAnsi="Calibri" w:eastAsia="Calibri" w:cs="Calibri"/>
        </w:rPr>
        <w:t xml:space="preserve">Границы исследования должны сопровождать каждый результат: использованная в</w:t>
      </w:r>
      <w:r>
        <w:rPr>
          <w:rFonts w:ascii="Calibri" w:hAnsi="Calibri" w:eastAsia="Calibri" w:cs="Calibri"/>
        </w:rPr>
        <w:t xml:space="preserve">ыборка, пропуски, единицы, дата и горизонт целевой переменной, ошибка базового метода, неопределённость оценок и отсутствие клинической валидации. Законченный интерфейс или сходство с медицинским сервисом не доказывают безопасность медицинского применения.</w:t>
      </w:r>
      <w:r/>
    </w:p>
    <w:p>
      <w:pPr>
        <w:pStyle w:val="735"/>
        <w:keepNext w:val="true"/>
        <w:pBdr/>
        <w:spacing/>
        <w:ind/>
        <w:rPr/>
      </w:pPr>
      <w:r>
        <w:rPr>
          <w:rFonts w:ascii="Calibri" w:hAnsi="Calibri" w:eastAsia="Calibri" w:cs="Calibri"/>
        </w:rPr>
        <w:t xml:space="preserve">9. Решения для согласования</w:t>
      </w:r>
      <w:r/>
    </w:p>
    <w:p>
      <w:pPr>
        <w:pStyle w:val="727"/>
        <w:numPr>
          <w:ilvl w:val="0"/>
          <w:numId w:val="3"/>
        </w:numPr>
        <w:pBdr/>
        <w:spacing w:after="60" w:line="264" w:lineRule="auto"/>
        <w:ind/>
        <w:rPr/>
      </w:pPr>
      <w:r>
        <w:rPr>
          <w:rFonts w:ascii="Calibri" w:hAnsi="Calibri" w:eastAsia="Calibri" w:cs="Calibri"/>
        </w:rPr>
        <w:t xml:space="preserve">Документальное подтверждение назначения научного руководителя и утверждение официальной темы.</w:t>
      </w:r>
      <w:r/>
    </w:p>
    <w:p>
      <w:pPr>
        <w:pStyle w:val="727"/>
        <w:numPr>
          <w:ilvl w:val="0"/>
          <w:numId w:val="3"/>
        </w:numPr>
        <w:pBdr/>
        <w:spacing w:after="60" w:line="264" w:lineRule="auto"/>
        <w:ind/>
        <w:rPr/>
      </w:pPr>
      <w:r>
        <w:rPr>
          <w:rFonts w:ascii="Calibri" w:hAnsi="Calibri" w:eastAsia="Calibri" w:cs="Calibri"/>
        </w:rPr>
        <w:t xml:space="preserve">Согласование целевой аудитории и порядка реальных обсуждений.</w:t>
      </w:r>
      <w:r/>
    </w:p>
    <w:p>
      <w:pPr>
        <w:pStyle w:val="727"/>
        <w:numPr>
          <w:ilvl w:val="0"/>
          <w:numId w:val="3"/>
        </w:numPr>
        <w:pBdr/>
        <w:spacing w:after="60" w:line="264" w:lineRule="auto"/>
        <w:ind/>
        <w:rPr/>
      </w:pPr>
      <w:r>
        <w:rPr>
          <w:rFonts w:ascii="Calibri" w:hAnsi="Calibri" w:eastAsia="Calibri" w:cs="Calibri"/>
        </w:rPr>
        <w:t xml:space="preserve">Утверждение последовательности M1, M2, M3 и минимального результата каждого этапа.</w:t>
      </w:r>
      <w:r/>
    </w:p>
    <w:p>
      <w:pPr>
        <w:pStyle w:val="727"/>
        <w:numPr>
          <w:ilvl w:val="0"/>
          <w:numId w:val="3"/>
        </w:numPr>
        <w:pBdr/>
        <w:spacing w:after="60" w:line="264" w:lineRule="auto"/>
        <w:ind/>
        <w:rPr/>
      </w:pPr>
      <w:r>
        <w:rPr>
          <w:rFonts w:ascii="Calibri" w:hAnsi="Calibri" w:eastAsia="Calibri" w:cs="Calibri"/>
        </w:rPr>
        <w:t xml:space="preserve">Рассмотрение паспортов данных и доступа к данным.</w:t>
      </w:r>
      <w:r/>
    </w:p>
    <w:p>
      <w:pPr>
        <w:pStyle w:val="727"/>
        <w:numPr>
          <w:ilvl w:val="0"/>
          <w:numId w:val="3"/>
        </w:numPr>
        <w:pBdr/>
        <w:spacing w:after="60" w:line="264" w:lineRule="auto"/>
        <w:ind/>
        <w:rPr/>
      </w:pPr>
      <w:r>
        <w:rPr>
          <w:rFonts w:ascii="Calibri" w:hAnsi="Calibri" w:eastAsia="Calibri" w:cs="Calibri"/>
        </w:rPr>
        <w:t xml:space="preserve">Выбор подхода к интеграции (ONNX в Java, сервис на Python или иной путь).</w:t>
      </w:r>
      <w:r/>
    </w:p>
    <w:p>
      <w:pPr>
        <w:pStyle w:val="727"/>
        <w:numPr>
          <w:ilvl w:val="0"/>
          <w:numId w:val="3"/>
        </w:numPr>
        <w:pBdr/>
        <w:spacing w:after="60" w:line="264" w:lineRule="auto"/>
        <w:ind/>
        <w:rPr/>
      </w:pPr>
      <w:r>
        <w:rPr>
          <w:rFonts w:ascii="Calibri" w:hAnsi="Calibri" w:eastAsia="Calibri" w:cs="Calibri"/>
        </w:rPr>
        <w:t xml:space="preserve">Подтверждение критериев оценки до начала экспериментов.</w:t>
      </w:r>
      <w:r/>
    </w:p>
    <w:sectPr>
      <w:footerReference w:type="default" r:id="rId9"/>
      <w:footnotePr/>
      <w:endnotePr/>
      <w:type w:val="nextPage"/>
      <w:pgSz w:h="16838" w:orient="portrait" w:w="11906"/>
      <w:pgMar w:top="1134" w:right="1134" w:bottom="1134" w:left="1134" w:header="708" w:footer="708" w:gutter="0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/>
      <w:ind/>
      <w:jc w:val="center"/>
      <w:rPr/>
    </w:pPr>
    <w:r>
      <w:rPr>
        <w:rFonts w:ascii="Calibri" w:hAnsi="Calibri" w:eastAsia="Calibri" w:cs="Calibri"/>
        <w:color w:val="666666"/>
        <w:sz w:val="16"/>
        <w:szCs w:val="16"/>
      </w:rPr>
      <w:t xml:space="preserve">MedPredict  |  Предложение проекта  |  Страница </w:t>
      <w:fldChar w:fldCharType="begin"/>
      <w:instrText xml:space="preserve">PAGE</w:instrText>
      <w:fldChar w:fldCharType="separate"/>
      <w:fldChar w:fldCharType="end"/>
      <w:t xml:space="preserve"> из </w:t>
      <w:fldChar w:fldCharType="begin"/>
      <w:instrText xml:space="preserve">NUMPAGES</w:instrText>
      <w:fldChar w:fldCharType="separate"/>
      <w:fldChar w:fldCharType="end"/>
    </w:r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●"/>
      <w:numFmt w:val="bullet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/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/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/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/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●"/>
      <w:numFmt w:val="bullet"/>
      <w:pPr>
        <w:pBdr/>
        <w:spacing/>
        <w:ind w:hanging="360" w:left="5760"/>
      </w:pPr>
      <w:rPr/>
      <w:start w:val="1"/>
      <w:suff w:val="tab"/>
    </w:lvl>
    <w:lvl w:ilvl="8">
      <w:isLgl w:val="false"/>
      <w:lvlJc w:val="left"/>
      <w:lvlText w:val="●"/>
      <w:numFmt w:val="bullet"/>
      <w:pPr>
        <w:pBdr/>
        <w:spacing/>
        <w:ind w:hanging="360" w:left="6480"/>
      </w:pPr>
      <w:rPr/>
      <w:start w:val="1"/>
      <w:suff w:val="tab"/>
    </w:lvl>
  </w:abstractNum>
  <w:abstractNum w:abstractNumId="1">
    <w:lvl w:ilvl="0">
      <w:isLgl w:val="false"/>
      <w:lvlJc w:val="left"/>
      <w:lvlText w:val="•"/>
      <w:numFmt w:val="bullet"/>
      <w:pPr>
        <w:pBdr/>
        <w:spacing/>
        <w:ind w:hanging="270" w:left="54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">
    <w:lvl w:ilvl="0">
      <w:isLgl w:val="false"/>
      <w:lvlJc w:val="left"/>
      <w:lvlText w:val="%1."/>
      <w:numFmt w:val="decimal"/>
      <w:pPr>
        <w:pBdr/>
        <w:spacing/>
        <w:ind w:hanging="360" w:left="54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num w:numId="1">
    <w:abstractNumId w:val="0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Calibri" w:hAnsi="Calibri" w:eastAsia="Calibri" w:cs="Calibri"/>
        <w:sz w:val="22"/>
        <w:szCs w:val="22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1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">
    <w:name w:val="Table Grid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9e2f3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eebf6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472c4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cc3e6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45">
    <w:name w:val="Heading 7"/>
    <w:basedOn w:val="720"/>
    <w:next w:val="720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720"/>
    <w:next w:val="720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720"/>
    <w:next w:val="720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8" w:default="1">
    <w:name w:val="Default Paragraph Font"/>
    <w:uiPriority w:val="1"/>
    <w:semiHidden/>
    <w:unhideWhenUsed/>
    <w:pPr>
      <w:pBdr/>
      <w:spacing/>
      <w:ind/>
    </w:pPr>
  </w:style>
  <w:style w:type="numbering" w:styleId="149" w:default="1">
    <w:name w:val="No List"/>
    <w:uiPriority w:val="99"/>
    <w:semiHidden/>
    <w:unhideWhenUsed/>
    <w:pPr>
      <w:pBdr/>
      <w:spacing/>
      <w:ind/>
    </w:pPr>
  </w:style>
  <w:style w:type="character" w:styleId="150">
    <w:name w:val="Heading 1 Char"/>
    <w:basedOn w:val="148"/>
    <w:link w:val="73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148"/>
    <w:link w:val="73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148"/>
    <w:link w:val="72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148"/>
    <w:link w:val="723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148"/>
    <w:link w:val="72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148"/>
    <w:link w:val="725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148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148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148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60">
    <w:name w:val="Title Char"/>
    <w:basedOn w:val="148"/>
    <w:link w:val="721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720"/>
    <w:next w:val="720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148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720"/>
    <w:next w:val="720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148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1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720"/>
    <w:next w:val="720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148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1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70">
    <w:name w:val="No Spacing"/>
    <w:basedOn w:val="720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1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148"/>
    <w:uiPriority w:val="20"/>
    <w:qFormat/>
    <w:pPr>
      <w:pBdr/>
      <w:spacing/>
      <w:ind/>
    </w:pPr>
    <w:rPr>
      <w:i/>
      <w:iCs/>
    </w:rPr>
  </w:style>
  <w:style w:type="character" w:styleId="174">
    <w:name w:val="Subtle Reference"/>
    <w:basedOn w:val="1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1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720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148"/>
    <w:link w:val="176"/>
    <w:uiPriority w:val="99"/>
    <w:pPr>
      <w:pBdr/>
      <w:spacing/>
      <w:ind/>
    </w:pPr>
  </w:style>
  <w:style w:type="paragraph" w:styleId="178">
    <w:name w:val="Footer"/>
    <w:basedOn w:val="720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148"/>
    <w:link w:val="178"/>
    <w:uiPriority w:val="99"/>
    <w:pPr>
      <w:pBdr/>
      <w:spacing/>
      <w:ind/>
    </w:pPr>
  </w:style>
  <w:style w:type="paragraph" w:styleId="180">
    <w:name w:val="Caption"/>
    <w:basedOn w:val="720"/>
    <w:next w:val="720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character" w:styleId="188">
    <w:name w:val="FollowedHyperlink"/>
    <w:basedOn w:val="1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720"/>
    <w:next w:val="720"/>
    <w:uiPriority w:val="39"/>
    <w:unhideWhenUsed/>
    <w:pPr>
      <w:pBdr/>
      <w:spacing w:after="100"/>
      <w:ind/>
    </w:pPr>
  </w:style>
  <w:style w:type="paragraph" w:styleId="190">
    <w:name w:val="toc 2"/>
    <w:basedOn w:val="720"/>
    <w:next w:val="720"/>
    <w:uiPriority w:val="39"/>
    <w:unhideWhenUsed/>
    <w:pPr>
      <w:pBdr/>
      <w:spacing w:after="100"/>
      <w:ind w:left="220"/>
    </w:pPr>
  </w:style>
  <w:style w:type="paragraph" w:styleId="191">
    <w:name w:val="toc 3"/>
    <w:basedOn w:val="720"/>
    <w:next w:val="720"/>
    <w:uiPriority w:val="39"/>
    <w:unhideWhenUsed/>
    <w:pPr>
      <w:pBdr/>
      <w:spacing w:after="100"/>
      <w:ind w:left="440"/>
    </w:pPr>
  </w:style>
  <w:style w:type="paragraph" w:styleId="192">
    <w:name w:val="toc 4"/>
    <w:basedOn w:val="720"/>
    <w:next w:val="720"/>
    <w:uiPriority w:val="39"/>
    <w:unhideWhenUsed/>
    <w:pPr>
      <w:pBdr/>
      <w:spacing w:after="100"/>
      <w:ind w:left="660"/>
    </w:pPr>
  </w:style>
  <w:style w:type="paragraph" w:styleId="193">
    <w:name w:val="toc 5"/>
    <w:basedOn w:val="720"/>
    <w:next w:val="720"/>
    <w:uiPriority w:val="39"/>
    <w:unhideWhenUsed/>
    <w:pPr>
      <w:pBdr/>
      <w:spacing w:after="100"/>
      <w:ind w:left="880"/>
    </w:pPr>
  </w:style>
  <w:style w:type="paragraph" w:styleId="194">
    <w:name w:val="toc 6"/>
    <w:basedOn w:val="720"/>
    <w:next w:val="720"/>
    <w:uiPriority w:val="39"/>
    <w:unhideWhenUsed/>
    <w:pPr>
      <w:pBdr/>
      <w:spacing w:after="100"/>
      <w:ind w:left="1100"/>
    </w:pPr>
  </w:style>
  <w:style w:type="paragraph" w:styleId="195">
    <w:name w:val="toc 7"/>
    <w:basedOn w:val="720"/>
    <w:next w:val="720"/>
    <w:uiPriority w:val="39"/>
    <w:unhideWhenUsed/>
    <w:pPr>
      <w:pBdr/>
      <w:spacing w:after="100"/>
      <w:ind w:left="1320"/>
    </w:pPr>
  </w:style>
  <w:style w:type="paragraph" w:styleId="196">
    <w:name w:val="toc 8"/>
    <w:basedOn w:val="720"/>
    <w:next w:val="720"/>
    <w:uiPriority w:val="39"/>
    <w:unhideWhenUsed/>
    <w:pPr>
      <w:pBdr/>
      <w:spacing w:after="100"/>
      <w:ind w:left="1540"/>
    </w:pPr>
  </w:style>
  <w:style w:type="paragraph" w:styleId="197">
    <w:name w:val="toc 9"/>
    <w:basedOn w:val="720"/>
    <w:next w:val="720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148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720"/>
    <w:next w:val="720"/>
    <w:uiPriority w:val="99"/>
    <w:unhideWhenUsed/>
    <w:pPr>
      <w:pBdr/>
      <w:spacing w:after="0" w:afterAutospacing="0"/>
      <w:ind/>
    </w:pPr>
  </w:style>
  <w:style w:type="paragraph" w:styleId="720" w:default="1">
    <w:name w:val="Normal"/>
    <w:qFormat/>
    <w:pPr>
      <w:pBdr/>
      <w:spacing/>
      <w:ind/>
    </w:pPr>
  </w:style>
  <w:style w:type="paragraph" w:styleId="721">
    <w:name w:val="Title"/>
    <w:basedOn w:val="720"/>
    <w:next w:val="720"/>
    <w:qFormat/>
    <w:pPr>
      <w:pBdr/>
      <w:spacing/>
      <w:ind/>
    </w:pPr>
    <w:rPr>
      <w:sz w:val="56"/>
      <w:szCs w:val="56"/>
    </w:rPr>
  </w:style>
  <w:style w:type="paragraph" w:styleId="722">
    <w:name w:val="Heading 3"/>
    <w:basedOn w:val="720"/>
    <w:next w:val="720"/>
    <w:qFormat/>
    <w:pPr>
      <w:pBdr/>
      <w:spacing/>
      <w:ind/>
    </w:pPr>
    <w:rPr>
      <w:color w:val="1f4d78"/>
      <w:sz w:val="24"/>
      <w:szCs w:val="24"/>
    </w:rPr>
  </w:style>
  <w:style w:type="paragraph" w:styleId="723">
    <w:name w:val="Heading 4"/>
    <w:basedOn w:val="720"/>
    <w:next w:val="720"/>
    <w:qFormat/>
    <w:pPr>
      <w:pBdr/>
      <w:spacing/>
      <w:ind/>
    </w:pPr>
    <w:rPr>
      <w:i/>
      <w:iCs/>
      <w:color w:val="2e74b5"/>
    </w:rPr>
  </w:style>
  <w:style w:type="paragraph" w:styleId="724">
    <w:name w:val="Heading 5"/>
    <w:basedOn w:val="720"/>
    <w:next w:val="720"/>
    <w:qFormat/>
    <w:pPr>
      <w:pBdr/>
      <w:spacing/>
      <w:ind/>
    </w:pPr>
    <w:rPr>
      <w:color w:val="2e74b5"/>
    </w:rPr>
  </w:style>
  <w:style w:type="paragraph" w:styleId="725">
    <w:name w:val="Heading 6"/>
    <w:basedOn w:val="720"/>
    <w:next w:val="720"/>
    <w:qFormat/>
    <w:pPr>
      <w:pBdr/>
      <w:spacing/>
      <w:ind/>
    </w:pPr>
    <w:rPr>
      <w:color w:val="1f4d78"/>
    </w:rPr>
  </w:style>
  <w:style w:type="paragraph" w:styleId="726">
    <w:name w:val="Strong"/>
    <w:basedOn w:val="720"/>
    <w:next w:val="720"/>
    <w:qFormat/>
    <w:pPr>
      <w:pBdr/>
      <w:spacing/>
      <w:ind/>
    </w:pPr>
    <w:rPr>
      <w:b/>
      <w:bCs/>
    </w:rPr>
  </w:style>
  <w:style w:type="paragraph" w:styleId="727">
    <w:name w:val="List Paragraph"/>
    <w:basedOn w:val="720"/>
    <w:qFormat/>
    <w:pPr>
      <w:pBdr/>
      <w:spacing/>
      <w:ind/>
    </w:pPr>
  </w:style>
  <w:style w:type="character" w:styleId="728">
    <w:name w:val="Hyperlink"/>
    <w:uiPriority w:val="99"/>
    <w:unhideWhenUsed/>
    <w:pPr>
      <w:pBdr/>
      <w:spacing/>
      <w:ind/>
    </w:pPr>
    <w:rPr>
      <w:color w:val="0563c1"/>
      <w:u w:val="single"/>
    </w:rPr>
  </w:style>
  <w:style w:type="character" w:styleId="729">
    <w:name w:val="footnote reference"/>
    <w:uiPriority w:val="99"/>
    <w:semiHidden/>
    <w:unhideWhenUsed/>
    <w:pPr>
      <w:pBdr/>
      <w:spacing/>
      <w:ind/>
    </w:pPr>
    <w:rPr>
      <w:vertAlign w:val="superscript"/>
    </w:rPr>
  </w:style>
  <w:style w:type="paragraph" w:styleId="730">
    <w:name w:val="footnote text"/>
    <w:basedOn w:val="720"/>
    <w:link w:val="73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731">
    <w:name w:val="Footnote Text Char"/>
    <w:link w:val="730"/>
    <w:uiPriority w:val="99"/>
    <w:semiHidden/>
    <w:unhideWhenUsed/>
    <w:pPr>
      <w:pBdr/>
      <w:spacing/>
      <w:ind/>
    </w:pPr>
    <w:rPr>
      <w:sz w:val="20"/>
      <w:szCs w:val="20"/>
    </w:rPr>
  </w:style>
  <w:style w:type="character" w:styleId="732">
    <w:name w:val="endnote reference"/>
    <w:uiPriority w:val="99"/>
    <w:semiHidden/>
    <w:unhideWhenUsed/>
    <w:pPr>
      <w:pBdr/>
      <w:spacing/>
      <w:ind/>
    </w:pPr>
    <w:rPr>
      <w:vertAlign w:val="superscript"/>
    </w:rPr>
  </w:style>
  <w:style w:type="paragraph" w:styleId="733">
    <w:name w:val="endnote text"/>
    <w:basedOn w:val="720"/>
    <w:link w:val="73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734">
    <w:name w:val="Endnote Text Char"/>
    <w:link w:val="733"/>
    <w:uiPriority w:val="99"/>
    <w:semiHidden/>
    <w:unhideWhenUsed/>
    <w:pPr>
      <w:pBdr/>
      <w:spacing/>
      <w:ind/>
    </w:pPr>
    <w:rPr>
      <w:sz w:val="20"/>
      <w:szCs w:val="20"/>
    </w:rPr>
  </w:style>
  <w:style w:type="paragraph" w:styleId="735">
    <w:name w:val="Heading 1"/>
    <w:basedOn w:val="720"/>
    <w:next w:val="720"/>
    <w:qFormat/>
    <w:pPr>
      <w:pBdr/>
      <w:spacing w:after="120" w:before="320"/>
      <w:ind/>
      <w:outlineLvl w:val="0"/>
    </w:pPr>
    <w:rPr>
      <w:rFonts w:ascii="Calibri" w:hAnsi="Calibri" w:eastAsia="Calibri" w:cs="Calibri"/>
      <w:b/>
      <w:bCs/>
      <w:color w:val="000000"/>
      <w:sz w:val="30"/>
      <w:szCs w:val="30"/>
    </w:rPr>
  </w:style>
  <w:style w:type="paragraph" w:styleId="736">
    <w:name w:val="Heading 2"/>
    <w:basedOn w:val="720"/>
    <w:next w:val="720"/>
    <w:qFormat/>
    <w:pPr>
      <w:pBdr/>
      <w:spacing w:after="90" w:before="220"/>
      <w:ind/>
      <w:outlineLvl w:val="1"/>
    </w:pPr>
    <w:rPr>
      <w:rFonts w:ascii="Calibri" w:hAnsi="Calibri" w:eastAsia="Calibri" w:cs="Calibri"/>
      <w:b/>
      <w:bCs/>
      <w:color w:val="000000"/>
      <w:sz w:val="25"/>
      <w:szCs w:val="25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footer" Target="footer1.xml" 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ONLYOFFICE/9.4.0.129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Предложение проекта</dc:title>
  <dc:creator>Команда MedPredict</dc:creator>
  <dc:description>Документация MedPredict к предварительной защите</dc:description>
  <cp:revision>2</cp:revision>
  <dcterms:created xsi:type="dcterms:W3CDTF">2026-10-20T21:45:32Z</dcterms:created>
  <dcterms:modified xsi:type="dcterms:W3CDTF">2026-10-21T08:23:39Z</dcterms:modified>
</cp:coreProperties>
</file>