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MedPredict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План тестирования и оценки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Как команда покажет, что цели проекта достигнуты: протоколы, метрики, условия измерений и базовые методы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Сведения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к первой предварительной защите 24 октября 2026 г. (версия 1.0 датирована 16 октября)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Протокол. Собственных результатов обучения или клинических экспериментов нет. Все числовые критерии ниже — предлагаемый протокол, который необходимо согласовать до любого эксперимента.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Ответственные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Баймен Али (отчёт по модели), Сеилхан Оралхан (интеграция и серверные измерения), Бөгенбаев Санат (UI и сценарии); руководитель оценивает научную достаточность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Предмет оценки и исходные условия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Тема проекта — «Разработка интеллектуальной системы прогнозирования медицинских показателей на основе нейронных сетей». Отдельно проверяются три вещи: исследовательское качество моделей, корректность технической интеграции и понятность пользовательского сценария. Фиксированный демонстрационный ответ 134,2 не входит в метрики модели, время вывода или клинические заключения.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Основа: Спецификация требований, документ об архитектуре, Обзор литературы и требования университета. Научные руководства из обзора — TRIPOD+AI, PROBAST+AI и руководство по внешней валидации. Следование этому плану не означает, что получено медицинское одобрение.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До обучения Али фиксирует паспорт каждого набора данных: источник и версия, разрешение / лицензия, единица наблюдения, включения и исключения, целевая переменная и её момент времени, признаки, действительно доступные на момент оценки, единицы, пропуски и границы популяции. Руководитель рассматривает постановку. Оралхан и Санат согласуют, что схема данных соответствует API и экрану. Для M3 дополнительно нужен контракт последовательности; текущие поля number / select его не заменяют.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Протоколы для трёх модулей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Протоколы трёх модулей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5536"/>
        <w:gridCol w:w="3788"/>
        <w:gridCol w:w="3207"/>
      </w:tblGrid>
      <w:tr>
        <w:trPr>
          <w:cantSplit/>
          <w:tblHeader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5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Разбиение и предотвращение утечки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Базовый метод и модель</w:t>
            </w:r>
          </w:p>
        </w:tc>
        <w:tc>
          <w:tcPr>
            <w:tcW w:type="dxa" w:w="32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Требуемый результат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M1 Diabetes Progression</w:t>
            </w:r>
          </w:p>
        </w:tc>
        <w:tc>
          <w:tcPr>
            <w:tcW w:type="dxa" w:w="5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Независимые строки пациентов. Предложение: 20% закрытого теста с фиксированным seed; настройка только на оставшихся 80% с 5-кратной CV. Если схема меняется, зафиксировать её до оценки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Среднее по обучающей выборке; линейная / регуляризованная регрессия; MLP с ограниченным поиском</w:t>
            </w:r>
          </w:p>
        </w:tc>
        <w:tc>
          <w:tcPr>
            <w:tcW w:type="dxa" w:w="32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MAE и RMSE в единицах шкалы цели, разброс, размеры частей, сравнение на одних и тех же тестовых строках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M2 Систолическое АД по NHANES</w:t>
            </w:r>
          </w:p>
        </w:tc>
        <w:tc>
          <w:tcPr>
            <w:tcW w:type="dxa" w:w="5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Зафиксировать цикл и объединения по SEQN; не разделять измерения одного человека. Отделить тест до настройки; если есть отдельный цикл, рассмотреть внешнюю проверку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Среднее по обучающей выборке; регрессия; MLP. Древовидный базовый метод возможен как дополнение, а не замена обязательного базового метода</w:t>
            </w:r>
          </w:p>
        </w:tc>
        <w:tc>
          <w:tcPr>
            <w:tcW w:type="dxa" w:w="32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MAE / RMSE в мм рт. ст., правило получения целевого систолического АД из повторов, границы выборки и доступности признаков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M3 Глюкоза</w:t>
            </w:r>
          </w:p>
        </w:tc>
        <w:tc>
          <w:tcPr>
            <w:tcW w:type="dxa" w:w="5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Разбиение по субъектам до формирования окон; внутри субъекта соблюдать время. Окна train / validation / test не пересекают границы и не используют будущие значения. Горизонт и контекст утверждаются после аудита данных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Персистентность: последнее известное значение; простой временной базовый метод, если подходит; нейронная сеть, возможно LSTM</w:t>
            </w:r>
          </w:p>
        </w:tc>
        <w:tc>
          <w:tcPr>
            <w:tcW w:type="dxa" w:w="32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MAE / RMSE по горизонтам, число субъектов / окон, единицы, правила пропусков, ошибки по субъектам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M1.</w:t>
      </w:r>
      <w:r>
        <w:rPr>
          <w:rFonts w:ascii="Calibri" w:cs="Calibri" w:eastAsia="Calibri" w:hAnsi="Calibri"/>
        </w:rPr>
        <w:t xml:space="preserve"> Проверить параметры загрузчика. Предпочтительны исходные признаки (scaled=False, если это поддерживает зафиксированная версия), а стандартизацию подбирать внутри Pipeline только на обучающей части / складке CV. Глобально нормированный учебный массив нельзя молча использовать как доказательство отсутствия утечки при предобработке. Клинические единицы не приписываются признакам, которые уже нормированы.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M2.</w:t>
      </w:r>
      <w:r>
        <w:rPr>
          <w:rFonts w:ascii="Calibri" w:cs="Calibri" w:eastAsia="Calibri" w:hAnsi="Calibri"/>
        </w:rPr>
        <w:t xml:space="preserve"> До обращения к тестовой выборке зафиксировать допустимые измерения систолического АД и агрегирование повторов по кодбуку конкретного цикла. Служебные коды отказа / «не измерено» не превращаются в реальные числа. Производные целевого АД не используются как вход. Нужно указать, чем является исследование: оценкой качества прогнозов внутри выборки или популяционным анализом: выводы о всём населении США требуют отдельной обработки сложного дизайна NHANES и весов. Национальная применимость для Казахстана не предполагается.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M3.</w:t>
      </w:r>
      <w:r>
        <w:rPr>
          <w:rFonts w:ascii="Calibri" w:cs="Calibri" w:eastAsia="Calibri" w:hAnsi="Calibri"/>
        </w:rPr>
        <w:t xml:space="preserve"> Записи глюкозы в реанимации могут быть нерегулярными и отличаются от CGM. Нужны проверки плотности измерений, единиц, качества меток времени, минимальной истории и определения точки прогноза. Нельзя интерполировать через границу теста и использовать более позднее измерение для заполнения прошлого. Перенос на нового субъекта следует отделять от персонального прогноза; эти режимы нельзя смешивать в одной оценке. Если данных недостаточно, модуль остаётся нереализованным, а не получает произвольный горизонт.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Очистка и обучение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До разбиения допускаются только формат, единицы и детерминированное удаление явных дубликатов по заранее описанному правилу. Обучаемые преобразования (импутация, масштабирование, отбор признаков, кодирование категорий и настройка гиперпараметров) выполняются только внутри train / CV. Правила исключения опираются на словарь данных и постановку, а не на желание улучшить тестовую метрику. Схема исключений и число пропусков по частям публикуются.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Простой базовый метод получает те же доступные признаки и ту же тестовую выборку. Для MLP / LSTM поиск по архитектуре, регуляризации, скорости обучения, размеру батча и ранней остановке по валидации ограничивается заранее. Предлагаемые seed для повторов — 17, 42 и 2026; итоговый список и бюджет фиксируются до запуска. Лучший seed на тестовой выборке не выбирается. Для небольших данных вместо расширения пространства поиска рассматривается повторная вложенная CV; итоговая схема должна быть одной схемой, записанной заранее.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Сохраняются версии библиотек и среды, конфигурация оборудования, seed, индексы / правило разбиения, предобработка только на train, параметры обучения, критерий остановки, артефакт и его SHA-256. Ограниченные данные не помещаются в публичный Git: хранится допустимая процедура их получения и проверяемый манифест без идентификаторов пациентов.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Метрики и интерпретация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n наблюдений и ошибок e_i = y_hat_i − y_i: MAE = Σ|e_i| / n; RMSE = √(Σe_i² / n). MAE читается как средняя абсолютная ошибка; RMSE подчёркивает большие отклонения. Обе метрики сохраняют единицы цели, поэтому их нельзя сравнивать между шкалой Diabetes, мм рт. ст. и глюкозой как общий рейтинг. R² может быть дополнением и не заменяет ошибки в исходных единицах. «Точность 95%» для непрерывного исхода без определения не используется.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Отчёт содержит базовый метод, нейронную сеть, разницу ошибок на одинаковых наблюдениях и неопределённость. Для независимых пациентов допустим парный бутстреп тестовых наблюдений; для временных рядов — повторная выборка субъектов / блоков с сохранением зависимости. Предлагаются 1 000 повторов бутстрепа и 95% интервалы, если позволяет эффективный размер выборки. Метод и число повторов согласуются до итоговой оценки; интервал не обещает переноса на другую популяцию.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Проверяются распределение остатков, крупные ошибки, зависимость от диапазона истинного исхода, полнота данных и подгруппы достаточного размера. Для M3 дополнительно различаются участки роста и падения, запаздывание прогноза и дальние горизонты. Выводов по подгруппам на основе единичных случаев не делается; числа и границы показываются вместе. Объяснения важности признаков, если они есть, описывают поведение модели и не являются причинным объяснением болезни.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Критерий завершения исследования:</w:t>
      </w:r>
      <w:r>
        <w:rPr>
          <w:rFonts w:ascii="Calibri" w:cs="Calibri" w:eastAsia="Calibri" w:hAnsi="Calibri"/>
        </w:rPr>
        <w:t xml:space="preserve"> протокол воспроизводится, базовый метод и сеть оценены честно, границы и отрицательные результаты сохранены. </w:t>
      </w:r>
      <w:r>
        <w:rPr>
          <w:rFonts w:ascii="Calibri" w:cs="Calibri" w:eastAsia="Calibri" w:hAnsi="Calibri"/>
          <w:b/>
          <w:bCs/>
        </w:rPr>
        <w:t xml:space="preserve">Критерий заявления об улучшении:</w:t>
      </w:r>
      <w:r>
        <w:rPr>
          <w:rFonts w:ascii="Calibri" w:cs="Calibri" w:eastAsia="Calibri" w:hAnsi="Calibri"/>
        </w:rPr>
        <w:t xml:space="preserve"> заранее выбранная основная метрика и её неопределённость подтверждают заявленный эффект на независимых данных. Если улучшения нет, исследовательскую работу всё равно можно завершить, но утверждение о превосходстве исключается. Клинические пороги качества без предметного обоснования не задаются.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Техническая проверка</w:t>
      </w:r>
    </w:p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2. Сценарии интеграции для проверки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1"/>
        <w:gridCol w:w="5245"/>
        <w:gridCol w:w="5245"/>
        <w:gridCol w:w="1749"/>
      </w:tblGrid>
      <w:tr>
        <w:trPr>
          <w:cantSplit/>
          <w:tblHeader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 и требования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Метод и тестовые данные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T01 FR-02/04/10, NFR-02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Реальные GET / POST: корректные входы и ответы по согласованному docs/api-contract.md; сначала с demo-профилем backend, позднее с профилем модели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Поля, типы, единицы и версия соответствуют контракту; недопустимый ответ не показывается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Оралхан + Санат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T02 FR-03/06, NFR-02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Пустые, неизвестные, лишние / опасные ключи; строки вместо чисел, NaN / Infinity, неверные категории и согласованные границы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Клиент и сервер независимо отклоняют недопустимый ввод; ошибка привязана к полю, где применимо; стек и данные не раскрываются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Оралхан + Санат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T03 FR-05/06, NFR-05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Отмена, правка и уход со страницы при задержанном ответе; 400 / 5xx / тайм-аут, повреждённое тело и повреждённые метаданные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Запоздавший ответ игнорируется, ввод сохраняется, реальный режим не переключается на демо, автоматического повтора POST нет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Санат + Оралхан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T04 FR-07/10, NFR-06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Прямой Python и выбранный путь Java / сервис на одном артефакте модели и неизменной предобработке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Разница каждого контрольного выхода укладывается в заранее согласованный абсолютный / относительный допуск; NaN и неверная единица означают провал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 + Оралхан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T05 FR-12/13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После нового согласованного контракта: M1 / M2 / M3, отсутствующий артефакт и переключение модулей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Недоступный модуль не вычисляет результат; ввод и единицы не смешиваются; версии прослеживаются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Оралхан + Санат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T06 FR-08, NFR-01/07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PDF на синтетических данных на трёх языках, сбой локального шрифта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Экспорт готового ответа без повторного POST, корректные единицы, пометка демо и предупреждение; возможен явный повтор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Санат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T07 NFR-01/08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Просмотр клиента, сети, конфигурации и, отдельно, журналов сервера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Показателей нет в URL / хранилище / аналитике / журналах; нет секретов в VITE_*; TLS / CORS / политика данных согласованы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Оралхан + Санат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T08 FR-09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Отправить Accept-Language (kk / ru / en) и проверить сообщения об ошибках backend на каждом языке</w:t>
            </w:r>
          </w:p>
        </w:tc>
        <w:tc>
          <w:tcPr>
            <w:tcW w:type="dxa" w:w="5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Сообщения об ошибках следуют языку интерфейса; неподдерживаемый язык переходит на настроенный язык по умолчанию; коды и имена полей не меняются</w:t>
            </w:r>
          </w:p>
        </w:tc>
        <w:tc>
          <w:tcPr>
            <w:tcW w:type="dxa" w:w="17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Санат + Оралхан</w:t>
            </w:r>
          </w:p>
        </w:tc>
      </w:tr>
    </w:tbl>
    <w:p>
      <w:pPr>
        <w:spacing w:after="60"/>
      </w:pPr>
    </w:p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T04 заранее готовятся минимум 20 синтетических корректных контрольных входов, охватывающих обычные значения и допустимые границы; негативные случаи — отдельно. В качестве отправной точки для float32 предлагается обсудить допуск abs(a − b) ≤ 1e-5 + 1e-4 · abs(a) и проверить, что он обоснован для выбранного артефакта. Это числовой инженерный допуск, а не допустимая медицинская ошибка и не уже утверждённый критерий. Допуск не расширяется задним числом без анализа причины. При сервисе на Python проверяется тот же путь сериализации и предобработки; эта проверка называется эквивалентностью путей, а не выполнением модели в Java.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Время ответа и воспроизводимость измерений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NFR-09 описываются CPU / RAM / ОС, Java / Python / среда выполнения, модель и её размер, холодный / тёплый режим, источник и сеть, параллелизм, объём данных и границы таймера. Измеряются минимум 30 успешных тёплых POST-запросов от отправки до полностью прочитанного и проверенного ответа; холодные вызовы считаются отдельно. Публикуются p50 / p95, число ошибок / тайм-аутов и общее число попыток. Неудачные запросы не исключаются из знаменателя доли ошибок. Серверная предобработка / вывод измеряются отдельно от задержки браузера.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Бюджет B для p95 утверждается до приёмочного прогона после пилота и после определения среды; его числовое значение — </w:t>
      </w:r>
      <w:r>
        <w:rPr>
          <w:rFonts w:ascii="Calibri" w:cs="Calibri" w:eastAsia="Calibri" w:hAnsi="Calibri"/>
          <w:b/>
          <w:bCs/>
        </w:rPr>
        <w:t xml:space="preserve">PENDING</w:t>
      </w:r>
      <w:r>
        <w:rPr>
          <w:rFonts w:ascii="Calibri" w:cs="Calibri" w:eastAsia="Calibri" w:hAnsi="Calibri"/>
        </w:rPr>
        <w:t xml:space="preserve">. Предлагаемый критерий: p95 ≤ B и отсутствие необъяснённых ошибок в согласованном наборе. Текущий тайм-аут 15 000 мс защищает UI; это не SLA и не измеренное время. Задержка демо включает искусственную паузу и не характеризует модель. Пропускная способность под нагрузкой заявляется только при отдельном плане параллелизма и длительности.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Удобство использования и понимание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Участники — реальные представители согласованной аудитории из плана исследования пользователей, после получения согласия. Пилот из 3–5 человек даёт качественные свидетельства, а не популяционную статистику. Тестируется существующий интерфейс с вымышленными значениями; несуществующие модули обсуждаются только как концепция.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6"/>
        <w:gridCol w:w="3471"/>
      </w:tblGrid>
      <w:tr>
        <w:trPr>
          <w:cantSplit/>
          <w:tblHeader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фиксировать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Предлагаемый критерий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Найти назначение и открыть форму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Выполнение без подсказки, время, неверные повороты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Показать число выполненных / предпринятых задач; разобрать каждую трудность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Отправить пустую форму и исправить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Число ошибок, найденное поле, помощь, повторы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Критические блокировки с клавиатуры и неясные ошибки исправляются или явно регистрируются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Получить демо и объяснить результат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Первое объяснение числа, единиц и зависимости от ввода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Перед заявлением о ясности каждый участник пилота без подсказки отличает фиксированное демо от ответа модели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Объяснить ограничения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Ответ на вопрос о диагнозе и медицинском действии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Ни один участник пилота не принимает демо за диагноз; если принимает — пересмотреть текст и проверить снова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Изменить данные и сохранить / обсудить результат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Понимание сброса, PDF, приватности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Поведение соответствует FR-05 / 07 / 08; непонимание и причины документируются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Время, помощь и ошибки фиксируются отдельно. После задач задаются нейтральные открытые вопросы о проблемах и альтернативах. Согласие с гипотезой не приписывается участнику по одному клику. При 3 участниках пишется «2 из 3», а не обобщённый процент удобства. Скринридер, контрастность и физические устройства требуют отдельного ручного протокола.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Выполненная ограниченная проверка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16 октября 2026 г. локальное демо Vite в успешном сценарии было запущено на 127.0.0.1:4183 в Chromium 156.0.8078.4 при 1440 на 1050 и 390 на 844. Сделано семь скриншотов. Проверены главный экран, пустая форма, пять связанных ошибок и фокус на возрасте, заполнение примера, фиксированное значение 134,2, отключённые вход / история и мобильный результат. В изученных состояниях не обнаружено оверлея Vite, ошибок / предупреждений консоли или горизонтального переполнения; POST-запросов не было, localStorage / sessionStorage были пусты. Использовались только синтетические данные.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Это отдельный документационный сценарий, а не повтор полного набора E2E. Прежние данные о 78 модульных тестах и проверках Chromium находятся в неизменённом docs/verification.md и не представляются как новый запуск. Обучение, реальные GET / POST, соответствие Python / Java, измерения SLA, интервью пользователей, Safari / Firefox и скринридер в этом наборе не выполнялись.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Артефакты и решение о приёмке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каждого будущего запуска хранятся идентификатор эксперимента, дата, исполнитель, код / артефакт / среда, манифест входных данных, метод разбиения, таблица метрик, ошибки и решение с границами. Шаблон результата: «не запускалось / выполнено / воспроизведено / принято с ограничениями / отклонено», без заранее заполненных чисел. Али отвечает за отчёт по модели, Оралхан — за интеграцию и серверные измерения, Санат — за UI и сценарии; руководитель оценивает научную достаточность. В настоящее время приёмка модели и сквозной работы остаётся PENDING.</w:t>
      </w:r>
    </w:p>
    <w:sectPr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План тестирования и оценки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План тестирования и оценки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План тестирования и оценки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План тестирования и оценки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План тестирования и оценки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theme" Target="theme/theme1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тестирования и оценки</dc:title>
  <dc:creator>Команда MedPredict</dc:creator>
  <dc:description>Документация MedPredict к предварительной защите</dc:description>
  <cp:lastModifiedBy>Un-named</cp:lastModifiedBy>
  <cp:revision>1</cp:revision>
  <dcterms:created xsi:type="dcterms:W3CDTF">2026-10-20T21:52:26.271Z</dcterms:created>
  <dcterms:modified xsi:type="dcterms:W3CDTF">2026-10-20T21:52:26.272Z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