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5.xml"/>
  <Override ContentType="application/vnd.openxmlformats-officedocument.wordprocessingml.footer+xml" PartName="/word/footer6.xml"/>
  <Override ContentType="application/vnd.openxmlformats-officedocument.wordprocessingml.footer+xml" PartName="/word/footer7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Calibri" w:cs="Calibri" w:eastAsia="Calibri" w:hAnsi="Calibri"/>
          <w:b/>
          <w:bCs/>
          <w:color w:val="595959"/>
          <w:sz w:val="22"/>
          <w:szCs w:val="22"/>
        </w:rPr>
        <w:t xml:space="preserve">MedPredict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40"/>
          <w:szCs w:val="40"/>
        </w:rPr>
        <w:t xml:space="preserve">Сравнение технологий</w:t>
      </w:r>
    </w:p>
    <w:p>
      <w:pPr>
        <w:spacing w:after="16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Три ключевых технических решения, по три альтернативы для каждого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7518"/>
      </w:tblGrid>
      <w:tr>
        <w:trPr>
          <w:cantSplit/>
          <w:tblHeader/>
        </w:trPr>
        <w:tc>
          <w:tcPr>
            <w:tcW w:type="dxa" w:w="2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Параметр</w:t>
            </w:r>
          </w:p>
        </w:tc>
        <w:tc>
          <w:tcPr>
            <w:tcW w:type="dxa" w:w="75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Сведения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Версия</w:t>
            </w:r>
          </w:p>
        </w:tc>
        <w:tc>
          <w:tcPr>
            <w:tcW w:type="dxa" w:w="75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1.1 к первой предварительной защите 24 октября 2026 г. Репозиторий и источники проверены 16 октября, README backend добавлен 21 октября 2026 г.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Статус</w:t>
            </w:r>
          </w:p>
        </w:tc>
        <w:tc>
          <w:tcPr>
            <w:tcW w:type="dxa" w:w="75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Обоснование реализованного frontend и предлагаемых решений для backend / ML. Сравнительные технические испытания альтернатив не проводились.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Ответственные</w:t>
            </w:r>
          </w:p>
        </w:tc>
        <w:tc>
          <w:tcPr>
            <w:tcW w:type="dxa" w:w="75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Сеилхан Оралхан (backend), Баймен Али (модели), Бөгенбаев Санат (frontend, оформление)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1. Основа и границы анализа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Изучены репозиторий frontend (AGENTS.md, package.json, README, конфигурация показателя, HTTP-адаптер, контракт API), README backend, предоставленный командой, и более раннее сравнение технологий. Данный документ расширяет прежний анализом моделей и путей интеграции.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Frontend реализован на React + TypeScript + Vite. В package.json заявлены React ^19.2.0, TypeScript ~5.9.3, Vite ^7.2.0, jsPDF, Vitest и Playwright. Это заявленные диапазоны, а не утверждение о последних версиях или серверной среде. HTTP-адаптер и проверка JSON есть, но работа с реальной моделью не доказана. Фиксированный демонстрационный ответ не является выводом модели.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README backend описывает сервис на Java 17+ / Spring Boot / Maven (springdoc 2.8.13, Spring Boot 3.5) с GET /api/v1/model/info и POST /api/v1/predictions, серверной валидацией, локализованными ошибками, Swagger UI, списком разрешённых источников CORS, без базы данных и без журналирования тела запроса. По умолчанию оба endpoint отвечают 503 MODEL_UNAVAILABLE; отдельный demo-профиль возвращает фиксированное значение 134,2. Обученная модель, ноутбуки и результаты экспериментов не переданы. Поэтому ниже Spring Boot — направление команды, под которое уже есть код, а MLP / LSTM и подходы к выводу модели — кандидаты.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Рассматриваются три значимых решения по три альтернативы. Критерии одинаковы по смыслу: сложность разработки, совместимость, сопровождение, ожидаемая вычислительная стоимость, тестирование, соответствие ролям команды, развёртывание и ограничения. Утверждения об ожидаемой сложности — инженерные выводы для данного проекта, а не измеренные рейтинги.</w:t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2. Решение 1: основной backend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Техническая возможность REST-контроллеров и JSON подтверждается руководством Spring; OpenAPI и проверка данных — документацией FastAPI; модульная организация приложения на TypeScript и средства валидации — документацией NestJS (источники T1–T5).</w:t>
      </w:r>
    </w:p>
    <w:p>
      <w:pPr>
        <w:sectPr>
          <w:footerReference w:type="default" r:id="rId6"/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Таблица 1. Альтернативы основного backend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1"/>
        <w:gridCol w:w="4079"/>
        <w:gridCol w:w="4079"/>
        <w:gridCol w:w="4081"/>
      </w:tblGrid>
      <w:tr>
        <w:trPr>
          <w:cantSplit/>
          <w:tblHeader/>
        </w:trPr>
        <w:tc>
          <w:tcPr>
            <w:tcW w:type="dxa" w:w="233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Критерий</w:t>
            </w:r>
          </w:p>
        </w:tc>
        <w:tc>
          <w:tcPr>
            <w:tcW w:type="dxa" w:w="40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Java / Spring Boot</w:t>
            </w:r>
          </w:p>
        </w:tc>
        <w:tc>
          <w:tcPr>
            <w:tcW w:type="dxa" w:w="40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Python / FastAPI</w:t>
            </w:r>
          </w:p>
        </w:tc>
        <w:tc>
          <w:tcPr>
            <w:tcW w:type="dxa" w:w="40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Node.js / NestJS</w:t>
            </w:r>
          </w:p>
        </w:tc>
      </w:tr>
      <w:tr>
        <w:trPr>
          <w:cantSplit/>
        </w:trPr>
        <w:tc>
          <w:tcPr>
            <w:tcW w:type="dxa" w:w="233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Сложность разработки</w:t>
            </w:r>
          </w:p>
        </w:tc>
        <w:tc>
          <w:tcPr>
            <w:tcW w:type="dxa" w:w="40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REST-контроллеры и DTO; необходимо согласовать ошибки и валидацию</w:t>
            </w:r>
          </w:p>
        </w:tc>
        <w:tc>
          <w:tcPr>
            <w:tcW w:type="dxa" w:w="40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Типизированные схемы входа; весь серверный сценарий всё равно нужно писать</w:t>
            </w:r>
          </w:p>
        </w:tc>
        <w:tc>
          <w:tcPr>
            <w:tcW w:type="dxa" w:w="40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Контроллеры, модули, провайдеры и валидация во время выполнения; одного типа TypeScript недостаточно</w:t>
            </w:r>
          </w:p>
        </w:tc>
      </w:tr>
      <w:tr>
        <w:trPr>
          <w:cantSplit/>
        </w:trPr>
        <w:tc>
          <w:tcPr>
            <w:tcW w:type="dxa" w:w="233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Совместимость</w:t>
            </w:r>
          </w:p>
        </w:tc>
        <w:tc>
          <w:tcPr>
            <w:tcW w:type="dxa" w:w="40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Соответствует направлению команды; frontend обращается по HTTP / JSON</w:t>
            </w:r>
          </w:p>
        </w:tc>
        <w:tc>
          <w:tcPr>
            <w:tcW w:type="dxa" w:w="40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Удобно, если среда модели — Python; клиентский JSON совместим</w:t>
            </w:r>
          </w:p>
        </w:tc>
        <w:tc>
          <w:tcPr>
            <w:tcW w:type="dxa" w:w="40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Совместим по HTTP / JSON; общий язык с frontend не делает сетевой ответ проверенным</w:t>
            </w:r>
          </w:p>
        </w:tc>
      </w:tr>
      <w:tr>
        <w:trPr>
          <w:cantSplit/>
        </w:trPr>
        <w:tc>
          <w:tcPr>
            <w:tcW w:type="dxa" w:w="233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Сопровождение</w:t>
            </w:r>
          </w:p>
        </w:tc>
        <w:tc>
          <w:tcPr>
            <w:tcW w:type="dxa" w:w="40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Один backend на Java, если вывод выполняется в JVM; артефакт модели версионируется отдельно</w:t>
            </w:r>
          </w:p>
        </w:tc>
        <w:tc>
          <w:tcPr>
            <w:tcW w:type="dxa" w:w="40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Возможна единая среда Python для модели и API, но её зависимости нужно фиксировать</w:t>
            </w:r>
          </w:p>
        </w:tc>
        <w:tc>
          <w:tcPr>
            <w:tcW w:type="dxa" w:w="40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Один серверный проект на TypeScript; связь с моделью на Python / Java остаётся отдельным решением</w:t>
            </w:r>
          </w:p>
        </w:tc>
      </w:tr>
      <w:tr>
        <w:trPr>
          <w:cantSplit/>
        </w:trPr>
        <w:tc>
          <w:tcPr>
            <w:tcW w:type="dxa" w:w="233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Ожидаемая вычислительная стоимость</w:t>
            </w:r>
          </w:p>
        </w:tc>
        <w:tc>
          <w:tcPr>
            <w:tcW w:type="dxa" w:w="40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Определяется моделью, преобразованиями и конфигурацией JVM; преимущество по задержке не измерено</w:t>
            </w:r>
          </w:p>
        </w:tc>
        <w:tc>
          <w:tcPr>
            <w:tcW w:type="dxa" w:w="40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Определяется моделью и числом процессов; одна асинхронность не ускоряет вычисления модели</w:t>
            </w:r>
          </w:p>
        </w:tc>
        <w:tc>
          <w:tcPr>
            <w:tcW w:type="dxa" w:w="40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Способ выполнения вычислений модели нужно определить; название среды выполнения не доказывает низкую задержку</w:t>
            </w:r>
          </w:p>
        </w:tc>
      </w:tr>
      <w:tr>
        <w:trPr>
          <w:cantSplit/>
        </w:trPr>
        <w:tc>
          <w:tcPr>
            <w:tcW w:type="dxa" w:w="233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Тестирование</w:t>
            </w:r>
          </w:p>
        </w:tc>
        <w:tc>
          <w:tcPr>
            <w:tcW w:type="dxa" w:w="40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Контроллеры, DTO, ошибки, CORS, модель и контракт. README backend сообщает, что тесты повторяют пакеты продакшн-кода и запускаются через Maven wrapper (результаты здесь не проверены)</w:t>
            </w:r>
          </w:p>
        </w:tc>
        <w:tc>
          <w:tcPr>
            <w:tcW w:type="dxa" w:w="40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Схемы, ошибки, воспроизводимость среды, модель и контракт</w:t>
            </w:r>
          </w:p>
        </w:tc>
        <w:tc>
          <w:tcPr>
            <w:tcW w:type="dxa" w:w="40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DTO / схемы, контроллеры / провайдеры, ошибки и контракт; средства тестирования описаны в T5</w:t>
            </w:r>
          </w:p>
        </w:tc>
      </w:tr>
      <w:tr>
        <w:trPr>
          <w:cantSplit/>
        </w:trPr>
        <w:tc>
          <w:tcPr>
            <w:tcW w:type="dxa" w:w="233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Роли команды</w:t>
            </w:r>
          </w:p>
        </w:tc>
        <w:tc>
          <w:tcPr>
            <w:tcW w:type="dxa" w:w="40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Ответственность Оралхана уже назначена в проекте, код существует</w:t>
            </w:r>
          </w:p>
        </w:tc>
        <w:tc>
          <w:tcPr>
            <w:tcW w:type="dxa" w:w="40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Нужно было бы согласовать, кто сопровождает API на Python: Оралхан или Али</w:t>
            </w:r>
          </w:p>
        </w:tc>
        <w:tc>
          <w:tcPr>
            <w:tcW w:type="dxa" w:w="40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Потребовалась бы смена серверного стека и ответственного; опыт команды не установлен</w:t>
            </w:r>
          </w:p>
        </w:tc>
      </w:tr>
      <w:tr>
        <w:trPr>
          <w:cantSplit/>
        </w:trPr>
        <w:tc>
          <w:tcPr>
            <w:tcW w:type="dxa" w:w="233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Развёртывание</w:t>
            </w:r>
          </w:p>
        </w:tc>
        <w:tc>
          <w:tcPr>
            <w:tcW w:type="dxa" w:w="40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Приложение Java; официальный пример использует исполняемый JAR; по README HTTPS настраивается на границе развёртывания</w:t>
            </w:r>
          </w:p>
        </w:tc>
        <w:tc>
          <w:tcPr>
            <w:tcW w:type="dxa" w:w="40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Сервис на Python с зафиксированными пакетами и процессами</w:t>
            </w:r>
          </w:p>
        </w:tc>
        <w:tc>
          <w:tcPr>
            <w:tcW w:type="dxa" w:w="40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Приложение Node с серверными зависимостями; наличие Node для Vite — это не backend</w:t>
            </w:r>
          </w:p>
        </w:tc>
      </w:tr>
      <w:tr>
        <w:trPr>
          <w:cantSplit/>
        </w:trPr>
        <w:tc>
          <w:tcPr>
            <w:tcW w:type="dxa" w:w="233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Ограничения</w:t>
            </w:r>
          </w:p>
        </w:tc>
        <w:tc>
          <w:tcPr>
            <w:tcW w:type="dxa" w:w="40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Формат модели должен быть совместим с JVM, иначе нужен отдельный сервис вывода</w:t>
            </w:r>
          </w:p>
        </w:tc>
        <w:tc>
          <w:tcPr>
            <w:tcW w:type="dxa" w:w="40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Замена основного backend меняет договорённость команды; доступность пакетов не гарантирует безопасность</w:t>
            </w:r>
          </w:p>
        </w:tc>
        <w:tc>
          <w:tcPr>
            <w:tcW w:type="dxa" w:w="40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NestJS в репозитории нет; переход не обоснован выявленной потребностью</w:t>
            </w:r>
          </w:p>
        </w:tc>
      </w:tr>
    </w:tbl>
    <w:p>
      <w:pPr>
        <w:spacing w:after="60"/>
      </w:pPr>
    </w:p>
    <w:p>
      <w:pPr>
        <w:sectPr>
          <w:footerReference w:type="default" r:id="rId7"/>
          <w:pgSz w:w="16838" w:h="11906" w:orient="landscape"/>
          <w:pgMar w:top="1134" w:right="1134" w:bottom="1134" w:left="1134" w:header="708" w:footer="708" w:gutter="0"/>
          <w:pgNumType/>
          <w:docGrid w:linePitch="360"/>
        </w:sectPr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Предлагаемое решение.</w:t>
      </w:r>
      <w:r>
        <w:rPr>
          <w:rFonts w:ascii="Calibri" w:cs="Calibri" w:eastAsia="Calibri" w:hAnsi="Calibri"/>
        </w:rPr>
        <w:t xml:space="preserve"> Сохранить Java / Spring Boot как основной backend в соответствии с распределением ответственности; существующий код backend это поддерживает. FastAPI остаётся допустимым вариантом для внутреннего сервиса вывода на Python, если этого потребует выбранная модель. Оснований переходить на NestJS сейчас нет. Это решение о стоимости интеграции и ответственности, а не о безусловном превосходстве Java.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Предстоит подтвердить с Оралханом: версии Java / Spring, формальное утверждение формата GET с информацией о модели (реализован в backend, но предложен сначала frontend), проверки единиц, CORS и способ вызова модели. История и аутентификация не входят в архитектуру как готовые функции; README backend прямо указывает, что они вне границ проекта.</w:t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3. Решение 2: методы моделирования по задачам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MLP и LSTM не следует выбирать как взаимозаменяемые «более точные нейронные сети». Выбор зависит от структуры наблюдения. Линейные модели и MLP принимают табличный вектор признаков; LSTM предназначена для последовательности и имеет рекуррентное состояние. Эти возможности подтверждены первичной документацией линейных моделей scikit-learn, MLPRegressor и слоя LSTM в Keras (T13–T15). Их точность на данных MedPredict не измерялась.</w:t>
      </w:r>
    </w:p>
    <w:p>
      <w:pPr>
        <w:sectPr>
          <w:footerReference w:type="default" r:id="rId8"/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Таблица 2. Три группы методов; выбор уточняется внутри каждого модуля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39"/>
        <w:gridCol w:w="4079"/>
        <w:gridCol w:w="4225"/>
        <w:gridCol w:w="4227"/>
      </w:tblGrid>
      <w:tr>
        <w:trPr>
          <w:cantSplit/>
          <w:tblHeader/>
        </w:trPr>
        <w:tc>
          <w:tcPr>
            <w:tcW w:type="dxa" w:w="20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Критерий</w:t>
            </w:r>
          </w:p>
        </w:tc>
        <w:tc>
          <w:tcPr>
            <w:tcW w:type="dxa" w:w="40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Простые базовые методы</w:t>
            </w:r>
          </w:p>
        </w:tc>
        <w:tc>
          <w:tcPr>
            <w:tcW w:type="dxa" w:w="42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MLP</w:t>
            </w:r>
          </w:p>
        </w:tc>
        <w:tc>
          <w:tcPr>
            <w:tcW w:type="dxa" w:w="42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LSTM</w:t>
            </w:r>
          </w:p>
        </w:tc>
      </w:tr>
      <w:tr>
        <w:trPr>
          <w:cantSplit/>
        </w:trPr>
        <w:tc>
          <w:tcPr>
            <w:tcW w:type="dxa" w:w="20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Сложность разработки</w:t>
            </w:r>
          </w:p>
        </w:tc>
        <w:tc>
          <w:tcPr>
            <w:tcW w:type="dxa" w:w="40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Таблицы: среднее и линейная / Ridge-регрессия; ряды: последнее значение и простой тренд</w:t>
            </w:r>
          </w:p>
        </w:tc>
        <w:tc>
          <w:tcPr>
            <w:tcW w:type="dxa" w:w="42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Настройка слоёв, регуляризации, оптимизатора и ранней остановки</w:t>
            </w:r>
          </w:p>
        </w:tc>
        <w:tc>
          <w:tcPr>
            <w:tcW w:type="dxa" w:w="42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Дополнительно окна, порядок времени, частота, пропуски, состояние и горизонт</w:t>
            </w:r>
          </w:p>
        </w:tc>
      </w:tr>
      <w:tr>
        <w:trPr>
          <w:cantSplit/>
        </w:trPr>
        <w:tc>
          <w:tcPr>
            <w:tcW w:type="dxa" w:w="20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Соответствие задаче</w:t>
            </w:r>
          </w:p>
        </w:tc>
        <w:tc>
          <w:tcPr>
            <w:tcW w:type="dxa" w:w="40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Обязательная точка сравнения для всех модулей; конкретный базовый метод зависит от данных</w:t>
            </w:r>
          </w:p>
        </w:tc>
        <w:tc>
          <w:tcPr>
            <w:tcW w:type="dxa" w:w="42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Кандидат для Diabetes и NHANES; для ряда может работать с фиксированным окном</w:t>
            </w:r>
          </w:p>
        </w:tc>
        <w:tc>
          <w:tcPr>
            <w:tcW w:type="dxa" w:w="42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Кандидат для продольного ряда глюкозы; временная структура не предполагается в табличных строках</w:t>
            </w:r>
          </w:p>
        </w:tc>
      </w:tr>
      <w:tr>
        <w:trPr>
          <w:cantSplit/>
        </w:trPr>
        <w:tc>
          <w:tcPr>
            <w:tcW w:type="dxa" w:w="20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Сопровождение</w:t>
            </w:r>
          </w:p>
        </w:tc>
        <w:tc>
          <w:tcPr>
            <w:tcW w:type="dxa" w:w="40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Явный набор признаков / коэффициенты или правило прогноза</w:t>
            </w:r>
          </w:p>
        </w:tc>
        <w:tc>
          <w:tcPr>
            <w:tcW w:type="dxa" w:w="42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Версии весов, предобработки и гиперпараметров</w:t>
            </w:r>
          </w:p>
        </w:tc>
        <w:tc>
          <w:tcPr>
            <w:tcW w:type="dxa" w:w="42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Версии весов плюс правила окон, состояния, меток времени и доступности входов</w:t>
            </w:r>
          </w:p>
        </w:tc>
      </w:tr>
      <w:tr>
        <w:trPr>
          <w:cantSplit/>
        </w:trPr>
        <w:tc>
          <w:tcPr>
            <w:tcW w:type="dxa" w:w="20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Ожидаемая стоимость</w:t>
            </w:r>
          </w:p>
        </w:tc>
        <w:tc>
          <w:tcPr>
            <w:tcW w:type="dxa" w:w="40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Вычислительный бюджет легко контролировать; задержку всё равно нужно измерять</w:t>
            </w:r>
          </w:p>
        </w:tc>
        <w:tc>
          <w:tcPr>
            <w:tcW w:type="dxa" w:w="42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Стоимость зависит от размера сети и батча; выигрыш по ошибке неизвестен</w:t>
            </w:r>
          </w:p>
        </w:tc>
        <w:tc>
          <w:tcPr>
            <w:tcW w:type="dxa" w:w="42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Длина последовательности и архитектура влияют на стоимость; необходимость GPU не установлена</w:t>
            </w:r>
          </w:p>
        </w:tc>
      </w:tr>
      <w:tr>
        <w:trPr>
          <w:cantSplit/>
        </w:trPr>
        <w:tc>
          <w:tcPr>
            <w:tcW w:type="dxa" w:w="20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Тестирование</w:t>
            </w:r>
          </w:p>
        </w:tc>
        <w:tc>
          <w:tcPr>
            <w:tcW w:type="dxa" w:w="40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Одно разбиение, без утечки, MAE / RMSE и контроль единиц</w:t>
            </w:r>
          </w:p>
        </w:tc>
        <w:tc>
          <w:tcPr>
            <w:tcW w:type="dxa" w:w="42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Те же данные / разбиение; масштабирование, начальные значения генератора, сходимость и переобучение</w:t>
            </w:r>
          </w:p>
        </w:tc>
        <w:tc>
          <w:tcPr>
            <w:tcW w:type="dxa" w:w="42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Временное и, где нужно, межпациентное разбиение; без будущих признаков и без перекрывающихся окон</w:t>
            </w:r>
          </w:p>
        </w:tc>
      </w:tr>
      <w:tr>
        <w:trPr>
          <w:cantSplit/>
        </w:trPr>
        <w:tc>
          <w:tcPr>
            <w:tcW w:type="dxa" w:w="20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Роли команды</w:t>
            </w:r>
          </w:p>
        </w:tc>
        <w:tc>
          <w:tcPr>
            <w:tcW w:type="dxa" w:w="40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Али фиксирует протокол и обучает базовый метод до нейронной сети</w:t>
            </w:r>
          </w:p>
        </w:tc>
        <w:tc>
          <w:tcPr>
            <w:tcW w:type="dxa" w:w="42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Али выбирает архитектуру в рамках согласованного бюджета поиска</w:t>
            </w:r>
          </w:p>
        </w:tc>
        <w:tc>
          <w:tcPr>
            <w:tcW w:type="dxa" w:w="42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Али и руководитель сначала подтверждают пригодность продольных данных</w:t>
            </w:r>
          </w:p>
        </w:tc>
      </w:tr>
      <w:tr>
        <w:trPr>
          <w:cantSplit/>
        </w:trPr>
        <w:tc>
          <w:tcPr>
            <w:tcW w:type="dxa" w:w="20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Развёртывание</w:t>
            </w:r>
          </w:p>
        </w:tc>
        <w:tc>
          <w:tcPr>
            <w:tcW w:type="dxa" w:w="40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Коэффициенты / артефакт или правило; нужна та же предобработка</w:t>
            </w:r>
          </w:p>
        </w:tc>
        <w:tc>
          <w:tcPr>
            <w:tcW w:type="dxa" w:w="42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Экспорт / загрузка модели и проверка равенства вычислений</w:t>
            </w:r>
          </w:p>
        </w:tc>
        <w:tc>
          <w:tcPr>
            <w:tcW w:type="dxa" w:w="42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Поддержка последовательных входов; текущий API формы временной ряд не описывает</w:t>
            </w:r>
          </w:p>
        </w:tc>
      </w:tr>
      <w:tr>
        <w:trPr>
          <w:cantSplit/>
        </w:trPr>
        <w:tc>
          <w:tcPr>
            <w:tcW w:type="dxa" w:w="20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Ограничения</w:t>
            </w:r>
          </w:p>
        </w:tc>
        <w:tc>
          <w:tcPr>
            <w:tcW w:type="dxa" w:w="407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Линейной зависимости и простого продолжения ряда может быть недостаточно</w:t>
            </w:r>
          </w:p>
        </w:tc>
        <w:tc>
          <w:tcPr>
            <w:tcW w:type="dxa" w:w="42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Нелинейность не гарантирует улучшения; результаты зависят от данных и настройки</w:t>
            </w:r>
          </w:p>
        </w:tc>
        <w:tc>
          <w:tcPr>
            <w:tcW w:type="dxa" w:w="42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Последовательность нельзя создавать произвольной сортировкой людей; дополнительную сложность должен оправдывать эксперимент</w:t>
            </w:r>
          </w:p>
        </w:tc>
      </w:tr>
    </w:tbl>
    <w:p>
      <w:pPr>
        <w:spacing w:after="60"/>
      </w:pP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Таблица 3. Постановка по модулям и предварительный выбор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1"/>
        <w:gridCol w:w="4371"/>
        <w:gridCol w:w="3788"/>
        <w:gridCol w:w="4080"/>
      </w:tblGrid>
      <w:tr>
        <w:trPr>
          <w:cantSplit/>
          <w:tblHeader/>
        </w:trPr>
        <w:tc>
          <w:tcPr>
            <w:tcW w:type="dxa" w:w="233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Модуль</w:t>
            </w:r>
          </w:p>
        </w:tc>
        <w:tc>
          <w:tcPr>
            <w:tcW w:type="dxa" w:w="43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Допустимая цель и данные</w:t>
            </w:r>
          </w:p>
        </w:tc>
        <w:tc>
          <w:tcPr>
            <w:tcW w:type="dxa" w:w="37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Методы для сравнения</w:t>
            </w:r>
          </w:p>
        </w:tc>
        <w:tc>
          <w:tcPr>
            <w:tcW w:type="dxa" w:w="4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Что нужно до выбора</w:t>
            </w:r>
          </w:p>
        </w:tc>
      </w:tr>
      <w:tr>
        <w:trPr>
          <w:cantSplit/>
        </w:trPr>
        <w:tc>
          <w:tcPr>
            <w:tcW w:type="dxa" w:w="233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Diabetes Progression</w:t>
            </w:r>
          </w:p>
        </w:tc>
        <w:tc>
          <w:tcPr>
            <w:tcW w:type="dxa" w:w="43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Числовая мера прогрессирования через год по исходным признакам; scikit-learn описывает 442 наблюдения и 10 признаков (T6, T7)</w:t>
            </w:r>
          </w:p>
        </w:tc>
        <w:tc>
          <w:tcPr>
            <w:tcW w:type="dxa" w:w="37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Среднее / линейная или Ridge-регрессия и MLP; LSTM не оправдана структурой этого табличного набора</w:t>
            </w:r>
          </w:p>
        </w:tc>
        <w:tc>
          <w:tcPr>
            <w:tcW w:type="dxa" w:w="4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Утвердить единицы и прочтение цели, разбиение, доступность признаков и предобработку; не называть результат диагнозом</w:t>
            </w:r>
          </w:p>
        </w:tc>
      </w:tr>
      <w:tr>
        <w:trPr>
          <w:cantSplit/>
        </w:trPr>
        <w:tc>
          <w:tcPr>
            <w:tcW w:type="dxa" w:w="233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Systolic Blood Pressure Estimation</w:t>
            </w:r>
          </w:p>
        </w:tc>
        <w:tc>
          <w:tcPr>
            <w:tcW w:type="dxa" w:w="43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Систолическое АД в мм рт. ст. из NHANES; пример кодбука BPX_J содержит несколько последовательных измерений за обследование (T8)</w:t>
            </w:r>
          </w:p>
        </w:tc>
        <w:tc>
          <w:tcPr>
            <w:tcW w:type="dxa" w:w="37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Среднее / линейная или Ridge-регрессия и MLP</w:t>
            </w:r>
          </w:p>
        </w:tc>
        <w:tc>
          <w:tcPr>
            <w:tcW w:type="dxa" w:w="4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Выбрать цикл, популяцию, признаки и правило формирования цели; повторные измерения одного визита не доказывают долговременную динамику</w:t>
            </w:r>
          </w:p>
        </w:tc>
      </w:tr>
      <w:tr>
        <w:trPr>
          <w:cantSplit/>
        </w:trPr>
        <w:tc>
          <w:tcPr>
            <w:tcW w:type="dxa" w:w="233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Glucose Forecasting</w:t>
            </w:r>
          </w:p>
        </w:tc>
        <w:tc>
          <w:tcPr>
            <w:tcW w:type="dxa" w:w="43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Будущая глюкоза, если существует подходящий продольный набор PhysioNet; конкретный ресурс и горизонт не выбраны (T9)</w:t>
            </w:r>
          </w:p>
        </w:tc>
        <w:tc>
          <w:tcPr>
            <w:tcW w:type="dxa" w:w="37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Последнее значение / простой тренд, MLP на окне, LSTM как кандидат</w:t>
            </w:r>
          </w:p>
        </w:tc>
        <w:tc>
          <w:tcPr>
            <w:tcW w:type="dxa" w:w="40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Проверить доступ, лицензию, пациентов, частоту, пропуски, горизонты, длину рядов и допустимые признаки; не обещать 30 минут по аналогии с устройством</w:t>
            </w:r>
          </w:p>
        </w:tc>
      </w:tr>
    </w:tbl>
    <w:p>
      <w:pPr>
        <w:spacing w:after="60"/>
      </w:pPr>
    </w:p>
    <w:p>
      <w:pPr>
        <w:sectPr>
          <w:footerReference w:type="default" r:id="rId9"/>
          <w:pgSz w:w="16838" w:h="11906" w:orient="landscape"/>
          <w:pgMar w:top="1134" w:right="1134" w:bottom="1134" w:left="1134" w:header="708" w:footer="708" w:gutter="0"/>
          <w:pgNumType/>
          <w:docGrid w:linePitch="360"/>
        </w:sectPr>
      </w:pPr>
    </w:p>
    <w:p>
      <w:pPr>
        <w:spacing w:after="120" w:line="276"/>
      </w:pPr>
      <w:r>
        <w:rPr>
          <w:rFonts w:ascii="Calibri" w:cs="Calibri" w:eastAsia="Calibri" w:hAnsi="Calibri"/>
        </w:rPr>
        <w:t xml:space="preserve">Число наблюдений Diabetes приведено из документации набора данных, а не из загрузки или запуска обучения. Для NHANES справочник BPX_J иллюстрирует проверяемую структуру переменных и не означает, что цикл 2017–2018 утверждён для проекта. Каталог PhysioNet сам по себе не подтверждает пригодность конкретных данных по глюкозе.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Предлагаемое решение.</w:t>
      </w:r>
      <w:r>
        <w:rPr>
          <w:rFonts w:ascii="Calibri" w:cs="Calibri" w:eastAsia="Calibri" w:hAnsi="Calibri"/>
        </w:rPr>
        <w:t xml:space="preserve"> Первым экспериментом сделать базовый метод и небольшой MLP для Diabetes, затем распространить воспроизводимый протокол на NHANES. Glucose Forecasting реализовывать после отдельного решения о данных. Предпочтение MLP / LSTM в теме диплома не позволяет отказаться от базового метода или сообщать выдуманное улучшение. Если сеть не превосходит базовый метод на утверждённом тесте, отрицательный результат описывается честно; условия дальнейшей работы вытекают из анализа ошибок.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Разбиение данных выполняется до любой обучаемой предобработки. Для строгого эксперимента Diabetes вопрос о сырых данных должен быть решён явно: load_diabetes по умолчанию возвращает масштабированные признаки, а scaled=False даёт исходный вид, чтобы преобразования подбирались только на обучающей части (T7). Преобразования, оценённые на всей выборке, нельзя выдавать за подобранные только на train.</w:t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4. Решение 3: интеграция модели с backend на Java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ONNX Runtime предоставляет Java API для запуска моделей ONNX. Его существование не гарантирует, что экспортируется любой оценщик: документация scikit-learn указывает на неполную поддержку и дополнительные затраты для пользовательских преобразований (T10, T11). В качестве третьего технически возможного пути рассмотрен PMML с JPMML-Evaluator: официальный проект описывает вычисление регрессий и нейронных сетей в JVM. Поддержку конкретной выбранной модели, предобработки и лицензию необходимо проверять отдельно (T12).</w:t>
      </w:r>
    </w:p>
    <w:p>
      <w:pPr>
        <w:sectPr>
          <w:footerReference w:type="default" r:id="rId10"/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Таблица 4. Способы запуска вывода за REST API на Spring Boot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39"/>
        <w:gridCol w:w="4225"/>
        <w:gridCol w:w="4225"/>
        <w:gridCol w:w="4081"/>
      </w:tblGrid>
      <w:tr>
        <w:trPr>
          <w:cantSplit/>
          <w:tblHeader/>
        </w:trPr>
        <w:tc>
          <w:tcPr>
            <w:tcW w:type="dxa" w:w="20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Критерий</w:t>
            </w:r>
          </w:p>
        </w:tc>
        <w:tc>
          <w:tcPr>
            <w:tcW w:type="dxa" w:w="42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ONNX Runtime внутри Java</w:t>
            </w:r>
          </w:p>
        </w:tc>
        <w:tc>
          <w:tcPr>
            <w:tcW w:type="dxa" w:w="42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Отдельный сервис вывода на Python</w:t>
            </w:r>
          </w:p>
        </w:tc>
        <w:tc>
          <w:tcPr>
            <w:tcW w:type="dxa" w:w="40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PMML / JPMML-Evaluator внутри Java</w:t>
            </w:r>
          </w:p>
        </w:tc>
      </w:tr>
      <w:tr>
        <w:trPr>
          <w:cantSplit/>
        </w:trPr>
        <w:tc>
          <w:tcPr>
            <w:tcW w:type="dxa" w:w="20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Сложность разработки</w:t>
            </w:r>
          </w:p>
        </w:tc>
        <w:tc>
          <w:tcPr>
            <w:tcW w:type="dxa" w:w="42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Экспорт всей поддерживаемой цепочки, имена / типы / формы тензоров, загрузка сессии</w:t>
            </w:r>
          </w:p>
        </w:tc>
        <w:tc>
          <w:tcPr>
            <w:tcW w:type="dxa" w:w="42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API на Python вокруг исходной модели; внутренний контракт, тайм-ауты и недоступность сервиса</w:t>
            </w:r>
          </w:p>
        </w:tc>
        <w:tc>
          <w:tcPr>
            <w:tcW w:type="dxa" w:w="40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Экспорт PMML, отображение схемы полей и проверка преобразований</w:t>
            </w:r>
          </w:p>
        </w:tc>
      </w:tr>
      <w:tr>
        <w:trPr>
          <w:cantSplit/>
        </w:trPr>
        <w:tc>
          <w:tcPr>
            <w:tcW w:type="dxa" w:w="20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Совместимость</w:t>
            </w:r>
          </w:p>
        </w:tc>
        <w:tc>
          <w:tcPr>
            <w:tcW w:type="dxa" w:w="42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JVM с ONNX; нужна совместимость opset, среды выполнения, платформы и модели</w:t>
            </w:r>
          </w:p>
        </w:tc>
        <w:tc>
          <w:tcPr>
            <w:tcW w:type="dxa" w:w="42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Можно использовать исходную модель Python, если обучение действительно выполнялось на Python</w:t>
            </w:r>
          </w:p>
        </w:tc>
        <w:tc>
          <w:tcPr>
            <w:tcW w:type="dxa" w:w="40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Подходит для поддерживаемых моделей PMML; поддержку произвольной LSTM предполагать нельзя</w:t>
            </w:r>
          </w:p>
        </w:tc>
      </w:tr>
      <w:tr>
        <w:trPr>
          <w:cantSplit/>
        </w:trPr>
        <w:tc>
          <w:tcPr>
            <w:tcW w:type="dxa" w:w="20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Сопровождение</w:t>
            </w:r>
          </w:p>
        </w:tc>
        <w:tc>
          <w:tcPr>
            <w:tcW w:type="dxa" w:w="42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Backend и файл модели развёртываются вместе; версии предобработки и артефакта фиксируются</w:t>
            </w:r>
          </w:p>
        </w:tc>
        <w:tc>
          <w:tcPr>
            <w:tcW w:type="dxa" w:w="42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Два сервиса и два набора зависимостей; модель можно выпускать отдельно при согласованной версии</w:t>
            </w:r>
          </w:p>
        </w:tc>
        <w:tc>
          <w:tcPr>
            <w:tcW w:type="dxa" w:w="40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JVM и артефакт PMML; нужны поддерживаемый конвертер и проверенные версии</w:t>
            </w:r>
          </w:p>
        </w:tc>
      </w:tr>
      <w:tr>
        <w:trPr>
          <w:cantSplit/>
        </w:trPr>
        <w:tc>
          <w:tcPr>
            <w:tcW w:type="dxa" w:w="20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Ожидаемая стоимость</w:t>
            </w:r>
          </w:p>
        </w:tc>
        <w:tc>
          <w:tcPr>
            <w:tcW w:type="dxa" w:w="42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Нет внутреннего HTTP-вызова, но есть стоимость среды выполнения и преобразования входа; реальная задержка неизвестна</w:t>
            </w:r>
          </w:p>
        </w:tc>
        <w:tc>
          <w:tcPr>
            <w:tcW w:type="dxa" w:w="42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Добавляется обмен между сервисами; его вклад и стоимость модели нужно измерить</w:t>
            </w:r>
          </w:p>
        </w:tc>
        <w:tc>
          <w:tcPr>
            <w:tcW w:type="dxa" w:w="40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Нет внутреннего HTTP-вызова; скорость с ONNX / Python не сравнивалась</w:t>
            </w:r>
          </w:p>
        </w:tc>
      </w:tr>
      <w:tr>
        <w:trPr>
          <w:cantSplit/>
        </w:trPr>
        <w:tc>
          <w:tcPr>
            <w:tcW w:type="dxa" w:w="20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Тестирование</w:t>
            </w:r>
          </w:p>
        </w:tc>
        <w:tc>
          <w:tcPr>
            <w:tcW w:type="dxa" w:w="42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Эталон Python против ONNX Java на одном наборе входов; проверка типов, единиц и ошибок</w:t>
            </w:r>
          </w:p>
        </w:tc>
        <w:tc>
          <w:tcPr>
            <w:tcW w:type="dxa" w:w="42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Spring → Python, несовпадение версий, тайм-аут и отказ; совпадение с офлайн-выводом</w:t>
            </w:r>
          </w:p>
        </w:tc>
        <w:tc>
          <w:tcPr>
            <w:tcW w:type="dxa" w:w="40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Эталон Python против PMML Java; имена полей, пропуски, категории и преобразования</w:t>
            </w:r>
          </w:p>
        </w:tc>
      </w:tr>
      <w:tr>
        <w:trPr>
          <w:cantSplit/>
        </w:trPr>
        <w:tc>
          <w:tcPr>
            <w:tcW w:type="dxa" w:w="20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Роли команды</w:t>
            </w:r>
          </w:p>
        </w:tc>
        <w:tc>
          <w:tcPr>
            <w:tcW w:type="dxa" w:w="42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Али экспортирует и предоставляет эталонные ответы; Оралхан подключает среду выполнения</w:t>
            </w:r>
          </w:p>
        </w:tc>
        <w:tc>
          <w:tcPr>
            <w:tcW w:type="dxa" w:w="42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Али передаёт модель и среду; Оралхан обеспечивает контракт сервиса и эксплуатацию</w:t>
            </w:r>
          </w:p>
        </w:tc>
        <w:tc>
          <w:tcPr>
            <w:tcW w:type="dxa" w:w="40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Али проверяет экспорт; Оралхан — выполнение в Java; команда проверяет условия лицензии</w:t>
            </w:r>
          </w:p>
        </w:tc>
      </w:tr>
      <w:tr>
        <w:trPr>
          <w:cantSplit/>
        </w:trPr>
        <w:tc>
          <w:tcPr>
            <w:tcW w:type="dxa" w:w="20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Развёртывание</w:t>
            </w:r>
          </w:p>
        </w:tc>
        <w:tc>
          <w:tcPr>
            <w:tcW w:type="dxa" w:w="42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Приложение Java и нативная среда выполнения для выбранной платформы; сборку нужно опробовать</w:t>
            </w:r>
          </w:p>
        </w:tc>
        <w:tc>
          <w:tcPr>
            <w:tcW w:type="dxa" w:w="42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Java плюс процесс Python, закрытая внутренняя сеть, health / status и контроль ресурсов</w:t>
            </w:r>
          </w:p>
        </w:tc>
        <w:tc>
          <w:tcPr>
            <w:tcW w:type="dxa" w:w="40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Java и подходящие библиотеки PMML; отдельный процесс Python не нужен</w:t>
            </w:r>
          </w:p>
        </w:tc>
      </w:tr>
      <w:tr>
        <w:trPr>
          <w:cantSplit/>
        </w:trPr>
        <w:tc>
          <w:tcPr>
            <w:tcW w:type="dxa" w:w="20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Ограничения</w:t>
            </w:r>
          </w:p>
        </w:tc>
        <w:tc>
          <w:tcPr>
            <w:tcW w:type="dxa" w:w="42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Экспорт и численная эквивалентность пока не доказаны; данные пациентов не входят в тестовый артефакт</w:t>
            </w:r>
          </w:p>
        </w:tc>
        <w:tc>
          <w:tcPr>
            <w:tcW w:type="dxa" w:w="422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Дополнительная точка отказа; необходимо контролировать пакеты и происхождение артефакта</w:t>
            </w:r>
          </w:p>
        </w:tc>
        <w:tc>
          <w:tcPr>
            <w:tcW w:type="dxa" w:w="40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Совместимость не универсальна; проект заявляет AGPLv3 с альтернативным лицензированием по договорённости</w:t>
            </w:r>
          </w:p>
        </w:tc>
      </w:tr>
    </w:tbl>
    <w:p>
      <w:pPr>
        <w:spacing w:after="60"/>
      </w:pPr>
    </w:p>
    <w:p>
      <w:pPr>
        <w:sectPr>
          <w:footerReference w:type="default" r:id="rId11"/>
          <w:pgSz w:w="16838" w:h="11906" w:orient="landscape"/>
          <w:pgMar w:top="1134" w:right="1134" w:bottom="1134" w:left="1134" w:header="708" w:footer="708" w:gutter="0"/>
          <w:pgNumType/>
          <w:docGrid w:linePitch="360"/>
        </w:sectPr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Условное предложение.</w:t>
      </w:r>
      <w:r>
        <w:rPr>
          <w:rFonts w:ascii="Calibri" w:cs="Calibri" w:eastAsia="Calibri" w:hAnsi="Calibri"/>
        </w:rPr>
        <w:t xml:space="preserve"> Опробовать ONNX Runtime для Java на первом небольшом MLP / базовом методе. Утверждать путь только после успешного экспорта предобработки и модели и прохождения теста эквивалентности. Если экспорт ненадёжен или модели нужны неподдерживаемые операции, рассмотреть сервис на Python. PMML — резервная альтернатива для подходящих табличных моделей; он не выбран и не реализован. В backend для этого уже есть точка расширения: README предписывает заменить класс недоступной модели по умолчанию реализацией PredictionModel, у которой info() описывает точные входы предобработки, а predict() применяет ту же предобработку, что и при обучении, и возвращает фактически использованную версию.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ONNX нельзя называть «гарантированно безопасным» или «самым быстрым». Для всех вариантов артефакт должен происходить из доверенного источника, ресурсы — быть ограничены, а версии — согласованы. Для Python особенно важно не загружать недоверенные файлы pickle / joblib: такие механизмы могут выполнять код при загрузке. Это подтверждает документация scikit-learn (T11).</w:t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5. Проверка решения и критерии его пересмотра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Перед подключением реальной модели Али и Оралхан должны согласовать паспорт артефакта: модуль, цель и единицы, признаки и их порядок, предобработка, допустимые категории / пропуски, версия и контрольная сумма файла, версии библиотек и ожидаемые формы входа / выхода. Для временного модуля — также частота, окно, горизонт и правило состояния. README backend уже перечисляет те же пункты (схема признаков, артефакт, контрольная сумма, кодирование категорий, единицы, предобработка и примеры численного соответствия) как вопросы для согласования с Али до включения реального вывода. Это планируемые требования, а не существующий формат API.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Для приёмки интеграции предлагается контрольный набор синтетических и допустимых анонимизированных тестовых входов. Максимальное расхождение между офлайн-выводом и развёрнутым выводом должно укладываться в абсолютный / относительный допуск, утверждённый заранее; допуск обосновывается типом данных и смыслом цели. Конкретный допуск и успешная эквивалентность сейчас не заявляются. Ошибки схемы, единиц и версии должны обнаруживаться, а не превращаться в правдоподобное число.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Производительность необходимо измерять на названном оборудовании: загрузка артефакта, тёплый вывод и полный REST-запрос отдельно; фиксировать число запросов, размер входа, параллелизм, медиану / p95, ошибки и использование памяти. Тайм-аут frontend по умолчанию 15 секунд — клиентская настройка, </w:t>
      </w:r>
      <w:r>
        <w:rPr>
          <w:rFonts w:ascii="Calibri" w:cs="Calibri" w:eastAsia="Calibri" w:hAnsi="Calibri"/>
          <w:b/>
          <w:bCs/>
        </w:rPr>
        <w:t xml:space="preserve">а не измеренный SLA и не доказательство скорости модели</w:t>
      </w:r>
      <w:r>
        <w:rPr>
          <w:rFonts w:ascii="Calibri" w:cs="Calibri" w:eastAsia="Calibri" w:hAnsi="Calibri"/>
        </w:rPr>
        <w:t xml:space="preserve">.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Подход к интеграции необходимо пересмотреть, если экспорт не поддерживается, превышена согласованная задержка / память, нужен другой формат входа или ответы невозможно воспроизвести. Очередь задач, GPU, оркестрация контейнеров и дополнительные базы данных не объявляются обязательными без соответствующего требования.</w:t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6. Последовательность решений до и после предзащиты</w:t>
      </w: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Таблица 5. Решения и ответственные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2"/>
        <w:gridCol w:w="3469"/>
        <w:gridCol w:w="2120"/>
        <w:gridCol w:w="2507"/>
      </w:tblGrid>
      <w:tr>
        <w:trPr>
          <w:cantSplit/>
          <w:tblHeader/>
        </w:trPr>
        <w:tc>
          <w:tcPr>
            <w:tcW w:type="dxa" w:w="15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Срок / этап</w:t>
            </w:r>
          </w:p>
        </w:tc>
        <w:tc>
          <w:tcPr>
            <w:tcW w:type="dxa" w:w="34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Действие</w:t>
            </w:r>
          </w:p>
        </w:tc>
        <w:tc>
          <w:tcPr>
            <w:tcW w:type="dxa" w:w="2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Ответственные</w:t>
            </w:r>
          </w:p>
        </w:tc>
        <w:tc>
          <w:tcPr>
            <w:tcW w:type="dxa" w:w="25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Проверяемый результат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До 24 окт. 2026 г.</w:t>
            </w:r>
          </w:p>
        </w:tc>
        <w:tc>
          <w:tcPr>
            <w:tcW w:type="dxa" w:w="34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Подтвердить границы трёх модулей и пределы первой итерации</w:t>
            </w:r>
          </w:p>
        </w:tc>
        <w:tc>
          <w:tcPr>
            <w:tcW w:type="dxa" w:w="2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Али, Оралхан, Санат, руководитель</w:t>
            </w:r>
          </w:p>
        </w:tc>
        <w:tc>
          <w:tcPr>
            <w:tcW w:type="dxa" w:w="25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Зафиксированные цели и статусы «реализовано / предложено»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До 24 окт. 2026 г.</w:t>
            </w:r>
          </w:p>
        </w:tc>
        <w:tc>
          <w:tcPr>
            <w:tcW w:type="dxa" w:w="34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Подтвердить основной backend и контракт одного модуля</w:t>
            </w:r>
          </w:p>
        </w:tc>
        <w:tc>
          <w:tcPr>
            <w:tcW w:type="dxa" w:w="2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Оралхан + Санат; признаки и единицы — Али</w:t>
            </w:r>
          </w:p>
        </w:tc>
        <w:tc>
          <w:tcPr>
            <w:tcW w:type="dxa" w:w="25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Согласованный документ; сервер не объявляется готовым без демонстрации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Следующая исследовательская итерация</w:t>
            </w:r>
          </w:p>
        </w:tc>
        <w:tc>
          <w:tcPr>
            <w:tcW w:type="dxa" w:w="34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Подготовить данные Diabetes, базовый метод и MLP</w:t>
            </w:r>
          </w:p>
        </w:tc>
        <w:tc>
          <w:tcPr>
            <w:tcW w:type="dxa" w:w="2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Али</w:t>
            </w:r>
          </w:p>
        </w:tc>
        <w:tc>
          <w:tcPr>
            <w:tcW w:type="dxa" w:w="25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Код, среда, разбиение, метрики и анализ ошибок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После появления артефакта модели</w:t>
            </w:r>
          </w:p>
        </w:tc>
        <w:tc>
          <w:tcPr>
            <w:tcW w:type="dxa" w:w="34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Проверить ONNX; при необходимости Python / PMML</w:t>
            </w:r>
          </w:p>
        </w:tc>
        <w:tc>
          <w:tcPr>
            <w:tcW w:type="dxa" w:w="2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Али + Оралхан</w:t>
            </w:r>
          </w:p>
        </w:tc>
        <w:tc>
          <w:tcPr>
            <w:tcW w:type="dxa" w:w="25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Отчёт об эквивалентности и решение о пути вывода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После проверки данных NHANES</w:t>
            </w:r>
          </w:p>
        </w:tc>
        <w:tc>
          <w:tcPr>
            <w:tcW w:type="dxa" w:w="34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Воспроизвести протокол для систолического АД</w:t>
            </w:r>
          </w:p>
        </w:tc>
        <w:tc>
          <w:tcPr>
            <w:tcW w:type="dxa" w:w="2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Али; API — Оралхан; интерфейс — Санат</w:t>
            </w:r>
          </w:p>
        </w:tc>
        <w:tc>
          <w:tcPr>
            <w:tcW w:type="dxa" w:w="25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Отдельный эксперимент и согласованная схема модуля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После выбора продольного набора</w:t>
            </w:r>
          </w:p>
        </w:tc>
        <w:tc>
          <w:tcPr>
            <w:tcW w:type="dxa" w:w="34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Утвердить горизонт глюкозы и временные базовые методы</w:t>
            </w:r>
          </w:p>
        </w:tc>
        <w:tc>
          <w:tcPr>
            <w:tcW w:type="dxa" w:w="2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Али + руководитель</w:t>
            </w:r>
          </w:p>
        </w:tc>
        <w:tc>
          <w:tcPr>
            <w:tcW w:type="dxa" w:w="25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Протокол временного разбиения, затем сравнение с сетью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7. Реестр первичных источников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Все внешние источники открывались 16 октября 2026 г. Документация подтверждает свойства инструментов; инженерная применимость и предварительные решения — формулировки авторов.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1"/>
        <w:gridCol w:w="5011"/>
        <w:gridCol w:w="3856"/>
      </w:tblGrid>
      <w:tr>
        <w:trPr>
          <w:cantSplit/>
          <w:tblHeader/>
        </w:trPr>
        <w:tc>
          <w:tcPr>
            <w:tcW w:type="dxa" w:w="7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Код</w:t>
            </w:r>
          </w:p>
        </w:tc>
        <w:tc>
          <w:tcPr>
            <w:tcW w:type="dxa" w:w="50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Документ</w:t>
            </w:r>
          </w:p>
        </w:tc>
        <w:tc>
          <w:tcPr>
            <w:tcW w:type="dxa" w:w="38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Зачем использован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T1</w:t>
            </w:r>
          </w:p>
        </w:tc>
        <w:tc>
          <w:tcPr>
            <w:tcW w:type="dxa" w:w="50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Spring. Building a RESTful Web Service (spring.io/guides)</w:t>
            </w:r>
          </w:p>
        </w:tc>
        <w:tc>
          <w:tcPr>
            <w:tcW w:type="dxa" w:w="38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REST-контроллер, JSON, исполняемый JAR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T2</w:t>
            </w:r>
          </w:p>
        </w:tc>
        <w:tc>
          <w:tcPr>
            <w:tcW w:type="dxa" w:w="50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FastAPI. Features (fastapi.tiangolo.com)</w:t>
            </w:r>
          </w:p>
        </w:tc>
        <w:tc>
          <w:tcPr>
            <w:tcW w:type="dxa" w:w="38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OpenAPI, типы Python, проверка данных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T3</w:t>
            </w:r>
          </w:p>
        </w:tc>
        <w:tc>
          <w:tcPr>
            <w:tcW w:type="dxa" w:w="50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NestJS. Documentation (docs.nestjs.com)</w:t>
            </w:r>
          </w:p>
        </w:tc>
        <w:tc>
          <w:tcPr>
            <w:tcW w:type="dxa" w:w="38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Серверный фреймворк и структура приложения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T4</w:t>
            </w:r>
          </w:p>
        </w:tc>
        <w:tc>
          <w:tcPr>
            <w:tcW w:type="dxa" w:w="50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NestJS. Validation</w:t>
            </w:r>
          </w:p>
        </w:tc>
        <w:tc>
          <w:tcPr>
            <w:tcW w:type="dxa" w:w="38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Проверка входа во время выполнения, границы DTO на TypeScript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T5</w:t>
            </w:r>
          </w:p>
        </w:tc>
        <w:tc>
          <w:tcPr>
            <w:tcW w:type="dxa" w:w="50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NestJS. Testing</w:t>
            </w:r>
          </w:p>
        </w:tc>
        <w:tc>
          <w:tcPr>
            <w:tcW w:type="dxa" w:w="38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Средства модульного / интеграционного тестирования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T6</w:t>
            </w:r>
          </w:p>
        </w:tc>
        <w:tc>
          <w:tcPr>
            <w:tcW w:type="dxa" w:w="50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scikit-learn. Toy datasets: Diabetes dataset</w:t>
            </w:r>
          </w:p>
        </w:tc>
        <w:tc>
          <w:tcPr>
            <w:tcW w:type="dxa" w:w="38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Смысл числовой цели, исходные признаки, границы учебного набора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T7</w:t>
            </w:r>
          </w:p>
        </w:tc>
        <w:tc>
          <w:tcPr>
            <w:tcW w:type="dxa" w:w="50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scikit-learn. load_diabetes</w:t>
            </w:r>
          </w:p>
        </w:tc>
        <w:tc>
          <w:tcPr>
            <w:tcW w:type="dxa" w:w="38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Размер и масштабирование, scaled=False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T8</w:t>
            </w:r>
          </w:p>
        </w:tc>
        <w:tc>
          <w:tcPr>
            <w:tcW w:type="dxa" w:w="50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CDC / NCHS. NHANES 2017-2018: Blood Pressure (BPX_J)</w:t>
            </w:r>
          </w:p>
        </w:tc>
        <w:tc>
          <w:tcPr>
            <w:tcW w:type="dxa" w:w="38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Пример кодбука для систолического АД и протокола измерения; цикл не утверждён для проекта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T9</w:t>
            </w:r>
          </w:p>
        </w:tc>
        <w:tc>
          <w:tcPr>
            <w:tcW w:type="dxa" w:w="50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PhysioNet. About (physionet.org/about)</w:t>
            </w:r>
          </w:p>
        </w:tc>
        <w:tc>
          <w:tcPr>
            <w:tcW w:type="dxa" w:w="38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Происхождение ресурса; не подтверждает выбор набора данных по глюкозе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T10</w:t>
            </w:r>
          </w:p>
        </w:tc>
        <w:tc>
          <w:tcPr>
            <w:tcW w:type="dxa" w:w="50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ONNX Runtime. Get Started with ORT for Java</w:t>
            </w:r>
          </w:p>
        </w:tc>
        <w:tc>
          <w:tcPr>
            <w:tcW w:type="dxa" w:w="38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Привязка Java, загрузка и запуск ONNX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T11</w:t>
            </w:r>
          </w:p>
        </w:tc>
        <w:tc>
          <w:tcPr>
            <w:tcW w:type="dxa" w:w="50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scikit-learn. Model persistence</w:t>
            </w:r>
          </w:p>
        </w:tc>
        <w:tc>
          <w:tcPr>
            <w:tcW w:type="dxa" w:w="38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Границы экспорта и риски форматов загрузки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T12</w:t>
            </w:r>
          </w:p>
        </w:tc>
        <w:tc>
          <w:tcPr>
            <w:tcW w:type="dxa" w:w="50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JPMML. JPMML-Evaluator (github.com/jpmml/jpmml-evaluator)</w:t>
            </w:r>
          </w:p>
        </w:tc>
        <w:tc>
          <w:tcPr>
            <w:tcW w:type="dxa" w:w="38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PMML / JVM, поддерживаемые типы моделей, лицензия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T13</w:t>
            </w:r>
          </w:p>
        </w:tc>
        <w:tc>
          <w:tcPr>
            <w:tcW w:type="dxa" w:w="50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scikit-learn. Linear Models</w:t>
            </w:r>
          </w:p>
        </w:tc>
        <w:tc>
          <w:tcPr>
            <w:tcW w:type="dxa" w:w="38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Линейная регрессия и Ridge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T14</w:t>
            </w:r>
          </w:p>
        </w:tc>
        <w:tc>
          <w:tcPr>
            <w:tcW w:type="dxa" w:w="50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scikit-learn. MLPRegressor</w:t>
            </w:r>
          </w:p>
        </w:tc>
        <w:tc>
          <w:tcPr>
            <w:tcW w:type="dxa" w:w="38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Многослойная регрессия и параметры обучения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T15</w:t>
            </w:r>
          </w:p>
        </w:tc>
        <w:tc>
          <w:tcPr>
            <w:tcW w:type="dxa" w:w="50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Keras. LSTM layer</w:t>
            </w:r>
          </w:p>
        </w:tc>
        <w:tc>
          <w:tcPr>
            <w:tcW w:type="dxa" w:w="38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Последовательный вход и рекуррентное состояние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8. Границы достоверности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Альтернативные фреймворки и ML-библиотеки не устанавливались; обучение, преобразование в ONNX / PMML, нагрузочные тесты и тест Python / Java не выполнялись. Проверены содержимое репозитория, README backend и открытая первичная документация. Выбор технологии не заменяет проверку качества данных, независимую оценку модели и анализ рисков обработки медицинских данных.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На предварительной защите можно обосновать сохранение готового frontend, направление backend на Java, поэтапное сравнение базовых методов с нейронными сетями и критерии выбора способа вывода. Нельзя утверждать, что все три модуля работают, что форматы уже совместимы или что выбранная технология даёт клиническую точность.</w:t>
      </w:r>
    </w:p>
    <w:sectPr>
      <w:footerReference w:type="default" r:id="rId12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66666"/>
        <w:sz w:val="16"/>
        <w:szCs w:val="16"/>
      </w:rPr>
      <w:t xml:space="preserve">MedPredict  |  Сравнение технологий  |  Страница </w:t>
      <w:fldChar w:fldCharType="begin"/>
      <w:instrText xml:space="preserve">PAGE</w:instrText>
      <w:fldChar w:fldCharType="separate"/>
      <w:fldChar w:fldCharType="end"/>
      <w:t xml:space="preserve"> из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66666"/>
        <w:sz w:val="16"/>
        <w:szCs w:val="16"/>
      </w:rPr>
      <w:t xml:space="preserve">MedPredict  |  Сравнение технологий  |  Страница </w:t>
      <w:fldChar w:fldCharType="begin"/>
      <w:instrText xml:space="preserve">PAGE</w:instrText>
      <w:fldChar w:fldCharType="separate"/>
      <w:fldChar w:fldCharType="end"/>
      <w:t xml:space="preserve"> из </w:t>
      <w:fldChar w:fldCharType="begin"/>
      <w:instrText xml:space="preserve">NUMPAGES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66666"/>
        <w:sz w:val="16"/>
        <w:szCs w:val="16"/>
      </w:rPr>
      <w:t xml:space="preserve">MedPredict  |  Сравнение технологий  |  Страница </w:t>
      <w:fldChar w:fldCharType="begin"/>
      <w:instrText xml:space="preserve">PAGE</w:instrText>
      <w:fldChar w:fldCharType="separate"/>
      <w:fldChar w:fldCharType="end"/>
      <w:t xml:space="preserve"> из </w:t>
      <w:fldChar w:fldCharType="begin"/>
      <w:instrText xml:space="preserve">NUMPAGES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66666"/>
        <w:sz w:val="16"/>
        <w:szCs w:val="16"/>
      </w:rPr>
      <w:t xml:space="preserve">MedPredict  |  Сравнение технологий  |  Страница </w:t>
      <w:fldChar w:fldCharType="begin"/>
      <w:instrText xml:space="preserve">PAGE</w:instrText>
      <w:fldChar w:fldCharType="separate"/>
      <w:fldChar w:fldCharType="end"/>
      <w:t xml:space="preserve"> из </w:t>
      <w:fldChar w:fldCharType="begin"/>
      <w:instrText xml:space="preserve">NUMPAGES</w:instrText>
      <w:fldChar w:fldCharType="separate"/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66666"/>
        <w:sz w:val="16"/>
        <w:szCs w:val="16"/>
      </w:rPr>
      <w:t xml:space="preserve">MedPredict  |  Сравнение технологий  |  Страница </w:t>
      <w:fldChar w:fldCharType="begin"/>
      <w:instrText xml:space="preserve">PAGE</w:instrText>
      <w:fldChar w:fldCharType="separate"/>
      <w:fldChar w:fldCharType="end"/>
      <w:t xml:space="preserve"> из </w:t>
      <w:fldChar w:fldCharType="begin"/>
      <w:instrText xml:space="preserve">NUMPAGES</w:instrText>
      <w:fldChar w:fldCharType="separate"/>
      <w:fldChar w:fldCharType="end"/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66666"/>
        <w:sz w:val="16"/>
        <w:szCs w:val="16"/>
      </w:rPr>
      <w:t xml:space="preserve">MedPredict  |  Сравнение технологий  |  Страница </w:t>
      <w:fldChar w:fldCharType="begin"/>
      <w:instrText xml:space="preserve">PAGE</w:instrText>
      <w:fldChar w:fldCharType="separate"/>
      <w:fldChar w:fldCharType="end"/>
      <w:t xml:space="preserve"> из </w:t>
      <w:fldChar w:fldCharType="begin"/>
      <w:instrText xml:space="preserve">NUMPAGES</w:instrText>
      <w:fldChar w:fldCharType="separate"/>
      <w:fldChar w:fldCharType="end"/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66666"/>
        <w:sz w:val="16"/>
        <w:szCs w:val="16"/>
      </w:rPr>
      <w:t xml:space="preserve">MedPredict  |  Сравнение технологий  |  Страница </w:t>
      <w:fldChar w:fldCharType="begin"/>
      <w:instrText xml:space="preserve">PAGE</w:instrText>
      <w:fldChar w:fldCharType="separate"/>
      <w:fldChar w:fldCharType="end"/>
      <w:t xml:space="preserve"> из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Calibri" w:cs="Calibri" w:eastAsia="Calibri" w:hAnsi="Calibri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90" w:before="220"/>
      <w:outlineLvl w:val="1"/>
    </w:pPr>
    <w:rPr>
      <w:rFonts w:ascii="Calibri" w:cs="Calibri" w:eastAsia="Calibri" w:hAnsi="Calibri"/>
      <w:b/>
      <w:bCs/>
      <w:color w:val="000000"/>
      <w:sz w:val="25"/>
      <w:szCs w:val="25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footer" Target="footer4.xml"/><Relationship Id="rId10" Type="http://schemas.openxmlformats.org/officeDocument/2006/relationships/footer" Target="footer5.xml"/><Relationship Id="rId11" Type="http://schemas.openxmlformats.org/officeDocument/2006/relationships/footer" Target="footer6.xml"/><Relationship Id="rId12" Type="http://schemas.openxmlformats.org/officeDocument/2006/relationships/footer" Target="footer7.xml"/><Relationship Id="rId13" Type="http://schemas.openxmlformats.org/officeDocument/2006/relationships/theme" Target="theme/theme1.xm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Сравнение технологий</dc:title>
  <dc:creator>Команда MedPredict</dc:creator>
  <dc:description>Документация MedPredict к предварительной защите</dc:description>
  <cp:lastModifiedBy>Un-named</cp:lastModifiedBy>
  <cp:revision>1</cp:revision>
  <dcterms:created xsi:type="dcterms:W3CDTF">2026-10-20T21:48:39.886Z</dcterms:created>
  <dcterms:modified xsi:type="dcterms:W3CDTF">2026-10-20T21:48:39.886Z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