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MedPredict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sz w:val="40"/>
          <w:szCs w:val="40"/>
        </w:rPr>
        <w:t xml:space="preserve">Предложение проекта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404040"/>
          <w:sz w:val="22"/>
          <w:szCs w:val="22"/>
        </w:rPr>
        <w:t xml:space="preserve">Разработка интеллектуальной системы прогнозирования медицинских показателей на основе нейронных сетей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Параметр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Сведения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Версия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1.1, подготовлена к первой предварительной защите 24 октября 2026 г. (версия 1.0 датирована 16 октября)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Дата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21 октября 2026 г.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Университет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Astana IT University, Software Engineering, группа SE-2409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Команда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Бөгенбаев Санат, Баймен Али, Сеилхан Оралхан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Научный руководитель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Турарова Маржан Кабдыкалиевна 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Статус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Черновик для рассмотрения командой и научным руководителем. Одобрение пока не получено.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1. Официальная тема и команда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«Разработка интеллектуальной системы прогнозирования медицинских показателей на основе нейронных сетей»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Тема приведена до</w:t>
      </w:r>
      <w:r>
        <w:rPr>
          <w:rFonts w:ascii="Calibri" w:hAnsi="Calibri" w:eastAsia="Calibri" w:cs="Calibri"/>
        </w:rPr>
        <w:t xml:space="preserve">словно в той формулировке, которая была передана команде. Документа с официальным утверждением темы нет. MedPredict — учебный исследовательский прототип. Его результат не является диагнозом, рекомендацией по лечению или основанием для клинического решения.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0"/>
        <w:gridCol w:w="4047"/>
        <w:gridCol w:w="3471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Участник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Ответственность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Ожидаемое подтверждение вклада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Бөгенбаев Санат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Frontend, UI/UX, пользовательские сценарии, доступность, клиентский API-адаптер, представление результата, проектная документация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Код на React, дизайн в Figma, проверки интерфейса, pull request-ы, документы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Баймен Али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Выбор и описание данных, базовые методы, нейронные сети, обучение и оценка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Паспорта данных, воспроизводимые эксперименты, отчёт об ошибках и ограничениях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Сеилхан Оралхан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Java / Spring Boot, REST API, серверная валидация, исполнение модели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Согласованный контракт, код backend, проверки интеграции, измерения задержки</w:t>
            </w:r>
            <w:r/>
          </w:p>
        </w:tc>
      </w:tr>
    </w:tbl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2. Предпосылки и постановка проблемы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Практическая инженерная проблема состоит в том, как передать числовые признаки из интерфейса в модель и обратно, не потеряв смысл целевой переменной, единицы измерения, правила подготовки данных и версию модели. Даже корректное число м</w:t>
      </w:r>
      <w:r>
        <w:rPr>
          <w:rFonts w:ascii="Calibri" w:hAnsi="Calibri" w:eastAsia="Calibri" w:cs="Calibri"/>
        </w:rPr>
        <w:t xml:space="preserve">ожно неверно истолковать, если скрыт демонстрационный режим, горизонт прогноза или границы выборки. Поэтому качество итогового результата зависит сразу от трёх вещей: исследовательского протокола, корректности интеграции и ясности представления результата.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Обзор литературы показывает, что нейронная сеть сама по себе не доказывает преимущества над простыми методами. Нужны честные </w:t>
      </w:r>
      <w:r>
        <w:rPr>
          <w:rFonts w:ascii="Calibri" w:hAnsi="Calibri" w:eastAsia="Calibri" w:cs="Calibri"/>
        </w:rPr>
        <w:t xml:space="preserve">базовые решения, независимая оценка и проверка переноса между популяциями. Критический обзор и его источники приведены в документе «Обзор литературы». Потребность конкретной группы пользователей пока остаётся гипотезой: записей реальных обсуждений ещё нет.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Проект об</w:t>
      </w:r>
      <w:r>
        <w:rPr>
          <w:rFonts w:ascii="Calibri" w:hAnsi="Calibri" w:eastAsia="Calibri" w:cs="Calibri"/>
        </w:rPr>
        <w:t xml:space="preserve">основывается изучением этих ограничений и созданием проверяемого прототипа, а не обещанием клинической точности. Три независимые задачи позволяют увидеть, как тип данных определяет модель, протокол оценки и способ взаимодействия пользователя с результатом.</w:t>
      </w:r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3. Пользователи и постановка исследования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Предполагаемые основные пользователи — студенты и исследователи, изучающие медицинскую регрессию и интеграцию моделей. Медиц</w:t>
      </w:r>
      <w:r>
        <w:rPr>
          <w:rFonts w:ascii="Calibri" w:hAnsi="Calibri" w:eastAsia="Calibri" w:cs="Calibri"/>
        </w:rPr>
        <w:t xml:space="preserve">инский специалист мог бы выступить консультантом по определениям и по риску неверной интерпретации, но это не подтверждено. Пациенты не являются целевой аудиторией текущего демонстрационного интерфейса, пока не проверены потребность и условия исследования.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Цель.</w:t>
      </w:r>
      <w:r>
        <w:rPr>
          <w:rFonts w:ascii="Calibri" w:hAnsi="Calibri" w:eastAsia="Calibri" w:cs="Calibri"/>
        </w:rPr>
        <w:t xml:space="preserve"> Разработать и исследовать учебную веб-систему с независимыми модулями числовой оценки и прогнозирования медицинских показателей. Она должна давать воспроизводимое сравнение нейросетевых методов с базовыми решениями и открыто показывать ограничения.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Исследовательский вопрос.</w:t>
      </w:r>
      <w:r>
        <w:rPr>
          <w:rFonts w:ascii="Calibri" w:hAnsi="Calibri" w:eastAsia="Calibri" w:cs="Calibri"/>
        </w:rPr>
        <w:t xml:space="preserve"> При каких свойствах доступн</w:t>
      </w:r>
      <w:r>
        <w:rPr>
          <w:rFonts w:ascii="Calibri" w:hAnsi="Calibri" w:eastAsia="Calibri" w:cs="Calibri"/>
        </w:rPr>
        <w:t xml:space="preserve">ых табличных и продольных данных нейронные сети снижают ошибку числовой оценки или краткосрочного прогноза по сравнению с заранее заданными базовыми методами, и как перенести полученную модель в веб-прототип воспроизводимо, не меняя смысл входов и выходов?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Нулевая гипотеза каждого эксперимента</w:t>
      </w:r>
      <w:r>
        <w:rPr>
          <w:rFonts w:ascii="Calibri" w:hAnsi="Calibri" w:eastAsia="Calibri" w:cs="Calibri"/>
        </w:rPr>
        <w:t xml:space="preserve">: нейронная сеть не снижает ошибку относительно своего базового метода на независимой тестовой выборке. Отрицательный результат будет сохранён и обсуждён. Единого общего рейтинга моделей мы не строим, так как три модуля используют разные единицы измерения.</w:t>
      </w:r>
      <w:r/>
    </w:p>
    <w:p>
      <w:pPr>
        <w:pStyle w:val="736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Задачи исследования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Уточнить проблему пользователей через 3–5 реальных обсуждений или содержательное согласование с заказчиком.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Проанализировать публикации, существующие системы и технологические альтернативы.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Для каждого модуля определить целевую переменную, доступность признаков, единицу наблюдения, источник данных и ограничения данных.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До обучения зафиксировать разбиение данных, базовые методы, метрики и правила выбора модели.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Поэтапно реализовать и оценить модели, ни разу не используя тестовую выборку для настройки.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Согласовать API, валидацию и подготовку признаков, проверить численную эквивалентность Python и Java.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Проверить интерфейс, ошибки, приватность, понятность результата и границы применения.</w:t>
      </w:r>
      <w:r/>
    </w:p>
    <w:p>
      <w:pPr>
        <w:pStyle w:val="727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Передать воспроизводимые артефакты и честный отчёт о границах обобщения.</w:t>
      </w:r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4. Предлагаемые независимые модули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42"/>
        <w:gridCol w:w="3084"/>
        <w:gridCol w:w="2313"/>
        <w:gridCol w:w="2699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4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Модуль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Кандидаты данных и целевая переменная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Методы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Граница интерпретации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4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M1 Прогрессирование диабета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Набор Diabetes из scikit-learn; числовая мера прогрессирования через год после исходной точки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Среднее по обучающей выборке, линейная / регуляризованная регрессия, MLP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Значение на шкале целевой переменной набора. Не диагноз, не вероятность диабета, не уровень глюкозы.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4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M2 Оценка систолического АД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NHANES; оценка измеренного систолического АД по заранее заданным доступным признакам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Среднее по обучающей выборке, регрессия, MLP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мм рт. ст. Одномоментная (cross-sectional) оценка, доказанного прогноза будущего нет.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4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M3 Прогноз глюкозы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Подходящий продольный набор PhysioNet, ещё не выбран; следующее значение при достаточной истории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Последнее значение / простой временной базовый метод, подходящая нейронная сеть (кандидат — LSTM)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Единицы по словарю данных. Горизонт и частота не утверждены. Нерегулярные измерения в реанимации не равны CGM.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Офи</w:t>
      </w:r>
      <w:r>
        <w:rPr>
          <w:rFonts w:ascii="Calibri" w:hAnsi="Calibri" w:eastAsia="Calibri" w:cs="Calibri"/>
        </w:rPr>
        <w:t xml:space="preserve">циальные описания кандидатов: scikit-learn Diabetes (scikit-learn.org), NHANES (cdc.gov/nchs/nhanes), каталог баз данных PhysioNet (physionet.org). Упоминание набора данных не означает, что у нас есть доступ, согласованная лицензия или окончательный выбор.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Пять полей текущей демонстрационной формы не определяют схему трёх моделей. Например, нормированные</w:t>
      </w:r>
      <w:r>
        <w:rPr>
          <w:rFonts w:ascii="Calibri" w:hAnsi="Calibri" w:eastAsia="Calibri" w:cs="Calibri"/>
        </w:rPr>
        <w:t xml:space="preserve"> признаки Diabetes нельзя показать как сырые клинические единицы без документированного обратимого преобразования. Табличный контракт GET не описывает последовательность измерений для M3; для неё после первой защиты нужны отдельная схема и согласование UX.</w:t>
      </w:r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 Границы и ожидаемые результаты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В границах проекта:</w:t>
      </w:r>
      <w:r>
        <w:rPr>
          <w:rFonts w:ascii="Calibri" w:hAnsi="Calibri" w:eastAsia="Calibri" w:cs="Calibri"/>
        </w:rPr>
        <w:t xml:space="preserve"> исследовательские паспорта трёх задач, сравнение с базовыми методами, воспроизводимые эксперименты, веб-интерфейс, серверная ва</w:t>
      </w:r>
      <w:r>
        <w:rPr>
          <w:rFonts w:ascii="Calibri" w:hAnsi="Calibri" w:eastAsia="Calibri" w:cs="Calibri"/>
        </w:rPr>
        <w:t xml:space="preserve">лидация входных данных, интеграция по согласованному API, сообщения об ошибках и ограничения результата. Развёртывание модели планируется после подтверждения экспериментального артефакта. Каждая следующая интеграция зависит от результата предыдущего этапа.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Вне границ проекта:</w:t>
      </w:r>
      <w:r>
        <w:rPr>
          <w:rFonts w:ascii="Calibri" w:hAnsi="Calibri" w:eastAsia="Calibri" w:cs="Calibri"/>
        </w:rPr>
        <w:t xml:space="preserve"> диагностика, выбор лечения или дозы инсулина, управление медицинскими устройствами, доказательство клинической эффективности</w:t>
      </w:r>
      <w:r>
        <w:rPr>
          <w:rFonts w:ascii="Calibri" w:hAnsi="Calibri" w:eastAsia="Calibri" w:cs="Calibri"/>
        </w:rPr>
        <w:t xml:space="preserve">, работа с реальными пациентами, сертификация, обязательная авторизация и долговременное хранение истории. Страницы аккаунта и истории существуют только в интерфейсе по макету Figma; их серверные действия отключены и не считаются готовой функциональностью.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Ожидаемые результаты:</w:t>
      </w:r>
      <w:r>
        <w:rPr>
          <w:rFonts w:ascii="Calibri" w:hAnsi="Calibri" w:eastAsia="Calibri" w:cs="Calibri"/>
        </w:rPr>
        <w:t xml:space="preserve"> согласованная спецификация требований; документированные данные и ограничения; сравнение базовых методов и нейронных сетей отдельно по каждой задаче; перенос как минимум первого согла</w:t>
      </w:r>
      <w:r>
        <w:rPr>
          <w:rFonts w:ascii="Calibri" w:hAnsi="Calibri" w:eastAsia="Calibri" w:cs="Calibri"/>
        </w:rPr>
        <w:t xml:space="preserve">сованного артефакта модели через проверяемый конвейер; проверки интерфейса и интеграции; отчёт о воспроизводимости. Завершение всех трёх моделей — цель следующих этапов, и она зависит от пригодности данных. Показать их работающими 24 октября мы не обещаем.</w:t>
      </w:r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6. Подтверждённое состояние на 21 октября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13"/>
        <w:gridCol w:w="3855"/>
        <w:gridCol w:w="3470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Область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Подтверждение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Статус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Frontend на React / TypeScript / Vite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Опубликованное одностраничное демо в репозитории frontend (README, src/, тесты)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Реализовано. Расширенный интерфейс по макету Figma будет добавлен отдельно.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UI / UX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Код, docs/design, файл Figma, скриншоты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Прототип есть. Одобрение дизайна научным руководителем не подтверждено.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Демо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src/api/demo.ts, src/config/indicator.ts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Фиксированное значение 134,2 мм рт. ст. Вывода модели нет.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Клиентский HTTP-адаптер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src/api/http.ts, contract.ts, тесты API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Реализовано. Сквозной запуск с backend ещё предстоит.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Backend на Java / Spring Boot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README backend (предоставлен командой): endpoints, валидация, модель ошибок, demo-профиль, Swagger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Описан как работающий с демонстрационным провайдером. До подключения модели возвращает 503 MODEL_UNAVAILABLE.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Модели M1, M2, M3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Наборы данных, веса, ноутбуки и результаты экспериментов не переданы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Не реализовано. В плане.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Исследование пользователей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План и явно помеченные синтетические профили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Реальные обсуждения: PENDING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Научное руководство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Полное ФИО подтверждено командой 16 октября 2026 г.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7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Документ о назначении, отзыв и согласование: PENDING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7. Стратегия реализации и этапы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До 24 октября приоритетами являются подтверждение темы и руководителя, реальные обсуждения, обзор, требования, диаграммы и план оценки. Работающее приложение университет к этой дате не требует.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Первое последующее </w:t>
      </w:r>
      <w:r>
        <w:rPr>
          <w:rFonts w:ascii="Calibri" w:hAnsi="Calibri" w:eastAsia="Calibri" w:cs="Calibri"/>
        </w:rPr>
        <w:t xml:space="preserve">приращение — M1 как ограниченная табличная задача: паспорт Diabetes, базовый метод, MLP, отчёт и проверка переноса. Второе — M2, после выбора цикла NHANES, правила для систолического АД и доступных признаков. Третье — M3, только после проверки продольного </w:t>
      </w:r>
      <w:r>
        <w:rPr>
          <w:rFonts w:ascii="Calibri" w:hAnsi="Calibri" w:eastAsia="Calibri" w:cs="Calibri"/>
        </w:rPr>
        <w:t xml:space="preserve">источника, доступа, числа независимых субъектов и приемлемого горизонта. Если временные данные окажутся непригодными, это будет задокументировано до того, как будет обещан LSTM, а замена набора данных передаётся руководителю без изменения официальной темы.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Подробный календарь и ответственные приведены в документе «Управление проектом». Даты после первой защиты — предложение команды, а не расписание университета.</w:t>
      </w:r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8. Риски и ограничения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Основные риски: отсутствие реального подтверждения потребности; малый первый набор данных; утечка при разбиении; популяционное смещение данных NHANES и реанимации; отсутствие подходя</w:t>
      </w:r>
      <w:r>
        <w:rPr>
          <w:rFonts w:ascii="Calibri" w:hAnsi="Calibri" w:eastAsia="Calibri" w:cs="Calibri"/>
        </w:rPr>
        <w:t xml:space="preserve">щей временной частоты для M3; несогласованный API; расхождение предобработки в Python и Java; восприятие демонстрационного числа как медицинского вывода; слишком большой объём работы для трёх модулей. Меры снижения и ответственные указаны в реестре рисков.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Границы исследования должны сопровождать каждый результат: использованная в</w:t>
      </w:r>
      <w:r>
        <w:rPr>
          <w:rFonts w:ascii="Calibri" w:hAnsi="Calibri" w:eastAsia="Calibri" w:cs="Calibri"/>
        </w:rPr>
        <w:t xml:space="preserve">ыборка, пропуски, единицы, дата и горизонт целевой переменной, ошибка базового метода, неопределённость оценок и отсутствие клинической валидации. Законченный интерфейс или сходство с медицинским сервисом не доказывают безопасность медицинского применения.</w:t>
      </w:r>
      <w:r/>
    </w:p>
    <w:p>
      <w:pPr>
        <w:pStyle w:val="73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9. Решения для согласования</w:t>
      </w:r>
      <w:r/>
    </w:p>
    <w:p>
      <w:pPr>
        <w:pStyle w:val="727"/>
        <w:numPr>
          <w:ilvl w:val="0"/>
          <w:numId w:val="3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Документальное подтверждение назначения научного руководителя и утверждение официальной темы.</w:t>
      </w:r>
      <w:r/>
    </w:p>
    <w:p>
      <w:pPr>
        <w:pStyle w:val="727"/>
        <w:numPr>
          <w:ilvl w:val="0"/>
          <w:numId w:val="3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Согласование целевой аудитории и порядка реальных обсуждений.</w:t>
      </w:r>
      <w:r/>
    </w:p>
    <w:p>
      <w:pPr>
        <w:pStyle w:val="727"/>
        <w:numPr>
          <w:ilvl w:val="0"/>
          <w:numId w:val="3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Утверждение последовательности M1, M2, M3 и минимального результата каждого этапа.</w:t>
      </w:r>
      <w:r/>
    </w:p>
    <w:p>
      <w:pPr>
        <w:pStyle w:val="727"/>
        <w:numPr>
          <w:ilvl w:val="0"/>
          <w:numId w:val="3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Рассмотрение паспортов данных и доступа к данным.</w:t>
      </w:r>
      <w:r/>
    </w:p>
    <w:p>
      <w:pPr>
        <w:pStyle w:val="727"/>
        <w:numPr>
          <w:ilvl w:val="0"/>
          <w:numId w:val="3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Выбор подхода к интеграции (ONNX в Java, сервис на Python или иной путь).</w:t>
      </w:r>
      <w:r/>
    </w:p>
    <w:p>
      <w:pPr>
        <w:pStyle w:val="727"/>
        <w:numPr>
          <w:ilvl w:val="0"/>
          <w:numId w:val="3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</w:rPr>
        <w:t xml:space="preserve">Подтверждение критериев оценки до начала экспериментов.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Предложение проекта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7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/>
      <w:ind/>
    </w:pPr>
  </w:style>
  <w:style w:type="paragraph" w:styleId="721">
    <w:name w:val="Title"/>
    <w:basedOn w:val="720"/>
    <w:next w:val="720"/>
    <w:qFormat/>
    <w:pPr>
      <w:pBdr/>
      <w:spacing/>
      <w:ind/>
    </w:pPr>
    <w:rPr>
      <w:sz w:val="56"/>
      <w:szCs w:val="56"/>
    </w:rPr>
  </w:style>
  <w:style w:type="paragraph" w:styleId="722">
    <w:name w:val="Heading 3"/>
    <w:basedOn w:val="720"/>
    <w:next w:val="720"/>
    <w:qFormat/>
    <w:pPr>
      <w:pBdr/>
      <w:spacing/>
      <w:ind/>
    </w:pPr>
    <w:rPr>
      <w:color w:val="1f4d78"/>
      <w:sz w:val="24"/>
      <w:szCs w:val="24"/>
    </w:rPr>
  </w:style>
  <w:style w:type="paragraph" w:styleId="723">
    <w:name w:val="Heading 4"/>
    <w:basedOn w:val="720"/>
    <w:next w:val="720"/>
    <w:qFormat/>
    <w:pPr>
      <w:pBdr/>
      <w:spacing/>
      <w:ind/>
    </w:pPr>
    <w:rPr>
      <w:i/>
      <w:iCs/>
      <w:color w:val="2e74b5"/>
    </w:rPr>
  </w:style>
  <w:style w:type="paragraph" w:styleId="724">
    <w:name w:val="Heading 5"/>
    <w:basedOn w:val="720"/>
    <w:next w:val="720"/>
    <w:qFormat/>
    <w:pPr>
      <w:pBdr/>
      <w:spacing/>
      <w:ind/>
    </w:pPr>
    <w:rPr>
      <w:color w:val="2e74b5"/>
    </w:rPr>
  </w:style>
  <w:style w:type="paragraph" w:styleId="725">
    <w:name w:val="Heading 6"/>
    <w:basedOn w:val="720"/>
    <w:next w:val="720"/>
    <w:qFormat/>
    <w:pPr>
      <w:pBdr/>
      <w:spacing/>
      <w:ind/>
    </w:pPr>
    <w:rPr>
      <w:color w:val="1f4d78"/>
    </w:rPr>
  </w:style>
  <w:style w:type="paragraph" w:styleId="726">
    <w:name w:val="Strong"/>
    <w:basedOn w:val="720"/>
    <w:next w:val="720"/>
    <w:qFormat/>
    <w:pPr>
      <w:pBdr/>
      <w:spacing/>
      <w:ind/>
    </w:pPr>
    <w:rPr>
      <w:b/>
      <w:bCs/>
    </w:rPr>
  </w:style>
  <w:style w:type="paragraph" w:styleId="727">
    <w:name w:val="List Paragraph"/>
    <w:basedOn w:val="720"/>
    <w:qFormat/>
    <w:pPr>
      <w:pBdr/>
      <w:spacing/>
      <w:ind/>
    </w:pPr>
  </w:style>
  <w:style w:type="character" w:styleId="7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footnote text"/>
    <w:basedOn w:val="720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Foot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3">
    <w:name w:val="endnote text"/>
    <w:basedOn w:val="720"/>
    <w:link w:val="7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4">
    <w:name w:val="Endnote Text Char"/>
    <w:link w:val="73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5">
    <w:name w:val="Heading 1"/>
    <w:basedOn w:val="720"/>
    <w:next w:val="720"/>
    <w:qFormat/>
    <w:pPr>
      <w:pBdr/>
      <w:spacing w:after="120" w:before="320"/>
      <w:ind/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736">
    <w:name w:val="Heading 2"/>
    <w:basedOn w:val="720"/>
    <w:next w:val="720"/>
    <w:qFormat/>
    <w:pPr>
      <w:pBdr/>
      <w:spacing w:after="90" w:before="220"/>
      <w:ind/>
      <w:outlineLvl w:val="1"/>
    </w:pPr>
    <w:rPr>
      <w:rFonts w:ascii="Calibri" w:hAnsi="Calibri" w:eastAsia="Calibri" w:cs="Calibri"/>
      <w:b/>
      <w:bCs/>
      <w:color w:val="000000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Предложение проекта</dc:title>
  <dc:creator>Команда MedPredict</dc:creator>
  <dc:description>Документация MedPredict к предварительной защите</dc:description>
  <cp:revision>2</cp:revision>
  <dcterms:created xsi:type="dcterms:W3CDTF">2026-10-20T21:45:32Z</dcterms:created>
  <dcterms:modified xsi:type="dcterms:W3CDTF">2026-10-21T08:23:39Z</dcterms:modified>
</cp:coreProperties>
</file>