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MedPredict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Архитектура и диаграммы</w:t>
      </w:r>
    </w:p>
    <w:p>
      <w:pPr>
        <w:spacing w:after="1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Контекст системы, варианты использования и компоненты, с согласованным путём обработки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Сведения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Версия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1.1 к первой предварительной защите 24 октября 2026 г. (версия 1.0 датирована 16 октября; диаграммы перерисованы и обновлены 21 октября)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Описание подтверждённого frontend, backend по его README и предлагаемой целевой архитектуры. Решения по стороне моделей ещё требуют согласования.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Официальная тема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«Разработка интеллектуальной системы прогнозирования медицинских показателей на основе нейронных сетей»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Исходники диаграмм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context.drawio, use-cases.drawio, components.drawio (редактируются в diagrams.net), с экспортом в SVG и PNG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Архитектурная позиция и подтверждения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MedPredict рассматривается как учебный исследовательский веб-прототип с потенциально тремя независимыми задачами оценки или прогнозирования числовых показателей. Репозиторий frontend содержит реализованное приложение на React + TypeScript + Vite с локальным демонстрационным адаптером и HTTP-адаптером. Демо возвращает фиксированное значение </w:t>
      </w:r>
      <w:r>
        <w:rPr>
          <w:rFonts w:ascii="Calibri" w:cs="Calibri" w:eastAsia="Calibri" w:hAnsi="Calibri"/>
          <w:b/>
          <w:bCs/>
        </w:rPr>
        <w:t xml:space="preserve">134,2 мм рт. ст.</w:t>
      </w:r>
      <w:r>
        <w:rPr>
          <w:rFonts w:ascii="Calibri" w:cs="Calibri" w:eastAsia="Calibri" w:hAnsi="Calibri"/>
        </w:rPr>
        <w:t xml:space="preserve"> независимо от ввода и никогда не вызывает обученную модель. Наличие HTTP-клиента и тестовых ответов не доказывает, что реальная интеграция работает.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Backend на Java / Spring Boot описан в его README: разделение на Controller, Service и PredictionModel, валидация по схеме, локализованные сообщения об ошибках, Swagger / OpenAPI, список разрешённых источников CORS, без базы данных и без сохранения. По умолчанию модель не подключена, и оба endpoint возвращают 503 MODEL_UNAVAILABLE; отдельный demo-профиль возвращает фиксированное значение. Артефакты обученных моделей и результаты экспериментов не переданы, поэтому предобработка, вывод модели и M1 / M2 / M3 показаны как предлагаемые. База данных, очередь и отдельный микросервис на Python не объявляются существующими.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Источники фактов: требования университета; AGENTS.md; src/types.ts, src/App.tsx, src/hooks/usePrediction.ts, src/config/, src/api/, src/components/, src/pdf/report.ts; предварительный контракт API и тесты; README backend. Спецификация требований определяет FR-01–FR-13 и NFR-01–NFR-09. Сохранённые docs/architecture.md и docs/diagrams/ не заменяются.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Опубликованный frontend — одностраничное демо. Страницы входа, аккаунта и истории, описанные ниже, относятся к расширенному интерфейсу по макету Figma и отсутствуют в опубликованной ветке main.</w:t>
      </w:r>
    </w:p>
    <w:p>
      <w:pPr>
        <w:sectPr>
          <w:footerReference w:type="default" r:id="rId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Диаграмма контекста системы CTX-01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8382000" cy="5572125"/>
            <wp:effectExtent t="0" r="0" b="0" l="0"/>
            <wp:docPr id="1" name="Рисунок 1. Контекст существующего frontend, backend и планируемой стороны моделей, состояние на 21 октября 2026 г." descr="Рисунок 1. Контекст существующего frontend, backend и планируемой стороны моделей, состояние на 21 октября 2026 г." title="Рисунок 1. Контекст существующего frontend, backend и планируемой стороны моделей, состояние на 21 октября 2026 г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Рисунок 1. Контекст существующего frontend, backend и планируемой стороны моделей, состояние на 21 октября 2026 г.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Редактируемый исходник: context.drawio. Экспорт в SVG и PNG предоставлен для Word и слайдов.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Пользователь работает с браузерным прототипом: вводит синтетические примеры, видит состояние, результат или ошибку и может экспортировать PDF. В демо-режиме нет вычислений модели и передачи показателей на сервер. В реальном режиме клиент обращается только к явно настроенному API; сквозная интеграция по-прежнему не подтверждена.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Граница системы охватывает существующий frontend и backend. Кандидаты данных и процесс обучения находятся вне пути пользователя. Источники и права использования данных, правила отбора и артефакты моделей необходимо утвердить. Ввод пользователя в демо не является обучающей выборкой. Локальный PDF — отдельный экспортируемый документ, который может содержать введённые показатели и по действию пользователя остаётся на его устройстве.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Требования: FR-01, FR-04, FR-07, FR-08, FR-10, FR-12, FR-13; NFR-01, NFR-07, NFR-08.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Диаграмма вариантов использования UC-01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7620000" cy="5524500"/>
            <wp:effectExtent t="0" r="0" b="0" l="0"/>
            <wp:docPr id="2" name="Рисунок 2. Основные пользовательские сценарии и отдельно отмеченный будущий выбор модуля." descr="Рисунок 2. Основные пользовательские сценарии и отдельно отмеченный будущий выбор модуля." title="Рисунок 2. Основные пользовательские сценарии и отдельно отмеченный будущий выбор модуля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Рисунок 2. Основные пользовательские сценарии и отдельно отмеченный будущий выбор модуля.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Редактируемый исходник: use-cases.drawio. Экспорт в SVG и PNG предоставлен.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На этой диаграмме граница обозначает пользовательские сценарии frontend; внешний сервис прогнозирования — поддерживающий актор реального режима. Реализованные сценарии интерфейса и предлагаемые серверные возможности не смешиваются. Пунктирная зависимость «include» следует UML и означает, что проверка ввода обязательна при запросе; она не означает, что клиентская валидация не завершена. Пунктирные контуры и другие пунктирные связи отмечают планируемые или подлежащие согласованию элементы.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4"/>
        <w:gridCol w:w="5245"/>
        <w:gridCol w:w="4079"/>
        <w:gridCol w:w="2332"/>
      </w:tblGrid>
      <w:tr>
        <w:trPr>
          <w:cantSplit/>
          <w:tblHeader/>
        </w:trPr>
        <w:tc>
          <w:tcPr>
            <w:tcW w:type="dxa" w:w="2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Сценарий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Предусловие и основной поток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Альтернативы / состояние</w:t>
            </w:r>
          </w:p>
        </w:tc>
        <w:tc>
          <w:tcPr>
            <w:tcW w:type="dxa" w:w="23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Требования</w:t>
            </w:r>
          </w:p>
        </w:tc>
      </w:tr>
      <w:tr>
        <w:trPr>
          <w:cantSplit/>
        </w:trPr>
        <w:tc>
          <w:tcPr>
            <w:tcW w:type="dxa" w:w="2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UC-A. Прочитать назначение и ограничения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Открыта главная или информационная страница; пользователь видит режим и ограничения и выбирает язык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Клиентские тексты реализованы; полезность, проверенная пользователями, не подтверждена</w:t>
            </w:r>
          </w:p>
        </w:tc>
        <w:tc>
          <w:tcPr>
            <w:tcW w:type="dxa" w:w="23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FR-01, FR-09; NFR-07</w:t>
            </w:r>
          </w:p>
        </w:tc>
      </w:tr>
      <w:tr>
        <w:trPr>
          <w:cantSplit/>
        </w:trPr>
        <w:tc>
          <w:tcPr>
            <w:tcW w:type="dxa" w:w="2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UC-B. Ввести и проверить измерения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 демо доступны локальные метаданные, в реальном режиме нужен успешный GET; пользователь заполняет поля; валидация выполняется перед отправкой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Ошибка остаётся привязанной к полю; медицинские диапазоны не придумываются</w:t>
            </w:r>
          </w:p>
        </w:tc>
        <w:tc>
          <w:tcPr>
            <w:tcW w:type="dxa" w:w="23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FR-02, FR-03; NFR-02, NFR-03</w:t>
            </w:r>
          </w:p>
        </w:tc>
      </w:tr>
      <w:tr>
        <w:trPr>
          <w:cantSplit/>
        </w:trPr>
        <w:tc>
          <w:tcPr>
            <w:tcW w:type="dxa" w:w="2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UC-C. Запросить и просмотреть результат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Корректный ввод; явная отправка; ожидание; проверка структуры и единицы; число и контекст появляются на экране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Демо — фиксированный пример; реальный backend возвращает 503, пока модель не подключена; недопустимый ответ отклоняется</w:t>
            </w:r>
          </w:p>
        </w:tc>
        <w:tc>
          <w:tcPr>
            <w:tcW w:type="dxa" w:w="23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FR-04, FR-07, FR-10; NFR-05</w:t>
            </w:r>
          </w:p>
        </w:tc>
      </w:tr>
      <w:tr>
        <w:trPr>
          <w:cantSplit/>
        </w:trPr>
        <w:tc>
          <w:tcPr>
            <w:tcW w:type="dxa" w:w="2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UC-D. Отменить или исправить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Запрос ожидает ответа или показана ошибка; пользователь отменяет или правит ввод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Запоздавший ответ игнорируется; ввод остаётся в памяти; нет скрытого повтора и переключения на демо</w:t>
            </w:r>
          </w:p>
        </w:tc>
        <w:tc>
          <w:tcPr>
            <w:tcW w:type="dxa" w:w="23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FR-05, FR-06; NFR-05</w:t>
            </w:r>
          </w:p>
        </w:tc>
      </w:tr>
      <w:tr>
        <w:trPr>
          <w:cantSplit/>
        </w:trPr>
        <w:tc>
          <w:tcPr>
            <w:tcW w:type="dxa" w:w="2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UC-E. Экспортировать в PDF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Есть проверенный успешный результат; пользователь запускает экспорт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Нового POST нет; ошибка ресурса допускает повтор</w:t>
            </w:r>
          </w:p>
        </w:tc>
        <w:tc>
          <w:tcPr>
            <w:tcW w:type="dxa" w:w="23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FR-08; NFR-01</w:t>
            </w:r>
          </w:p>
        </w:tc>
      </w:tr>
      <w:tr>
        <w:trPr>
          <w:cantSplit/>
        </w:trPr>
        <w:tc>
          <w:tcPr>
            <w:tcW w:type="dxa" w:w="2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UC-F. Выбрать модуль и проверить доступность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Будущий согласованный каталог / статусы модулей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M1 / M2 / M3 не реализованы; API и изменение UI не сделаны</w:t>
            </w:r>
          </w:p>
        </w:tc>
        <w:tc>
          <w:tcPr>
            <w:tcW w:type="dxa" w:w="23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FR-12, FR-13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Аутентификация, аккаунт, история и удаление показаны только страницами с отключёнными действиями в расширенном интерфейсе. В рабочие сценарии они не включены. Поля пароля также отключены; успешный вход, сохранение и удаление не имитируются (FR-11). Прежние UC-01–UC-04 сохранённой спецификации соответствуют UC-A, UC-B, UC-C / UC-D и UC-E.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Диаграмма компонентов CMP-01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8382000" cy="6534150"/>
            <wp:effectExtent t="0" r="0" b="0" l="0"/>
            <wp:docPr id="3" name="Рисунок 3. Реализованные клиентские компоненты, слои backend и предлагаемый путь модели." descr="Рисунок 3. Реализованные клиентские компоненты, слои backend и предлагаемый путь модели." title="Рисунок 3. Реализованные клиентские компоненты, слои backend и предлагаемый путь модел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Рисунок 3. Реализованные клиентские компоненты, слои backend и предлагаемый путь модели.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Редактируемый исходник: components.drawio. Экспорт в SVG и PNG предоставлен.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Стрелки показывают основные вызовы и потоки данных, а не полный граф импортов TypeScript или порядок сетевых пакетов. Результат формируется через состояние usePrediction; проверка ответа применяется и в демо-режиме. Страница результата передаёт сохранённый результат генератору PDF; хук генератор не импортирует.</w:t>
      </w:r>
    </w:p>
    <w:p>
      <w:pPr>
        <w:sectPr>
          <w:footerReference w:type="default" r:id="rId7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4.1 Реализованные клиентские компоненты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4"/>
        <w:gridCol w:w="4371"/>
        <w:gridCol w:w="5245"/>
        <w:gridCol w:w="2040"/>
      </w:tblGrid>
      <w:tr>
        <w:trPr>
          <w:cantSplit/>
          <w:tblHeader/>
        </w:trPr>
        <w:tc>
          <w:tcPr>
            <w:tcW w:type="dxa" w:w="2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43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Ответственность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Данные / ограничения</w:t>
            </w:r>
          </w:p>
        </w:tc>
        <w:tc>
          <w:tcPr>
            <w:tcW w:type="dxa" w:w="2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Требования</w:t>
            </w:r>
          </w:p>
        </w:tc>
      </w:tr>
      <w:tr>
        <w:trPr>
          <w:cantSplit/>
        </w:trPr>
        <w:tc>
          <w:tcPr>
            <w:tcW w:type="dxa" w:w="2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App, pages, components, i18n</w:t>
            </w:r>
          </w:p>
        </w:tc>
        <w:tc>
          <w:tcPr>
            <w:tcW w:type="dxa" w:w="43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Страницы, поля, сообщения, язык, результат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Язык и ввод живут в памяти приложения; URL не содержит показателей</w:t>
            </w:r>
          </w:p>
        </w:tc>
        <w:tc>
          <w:tcPr>
            <w:tcW w:type="dxa" w:w="2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FR-01, FR-03, FR-07, FR-09; NFR-03 / 04</w:t>
            </w:r>
          </w:p>
        </w:tc>
      </w:tr>
      <w:tr>
        <w:trPr>
          <w:cantSplit/>
        </w:trPr>
        <w:tc>
          <w:tcPr>
            <w:tcW w:type="dxa" w:w="2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usePrediction</w:t>
            </w:r>
          </w:p>
        </w:tc>
        <w:tc>
          <w:tcPr>
            <w:tcW w:type="dxa" w:w="43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Загрузка метаданных, состояния idle / loading / success / error, отправка, отмена и снимок ввода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Один активный POST; AbortController и проверка идентичности запроса защищают от запоздавших ответов</w:t>
            </w:r>
          </w:p>
        </w:tc>
        <w:tc>
          <w:tcPr>
            <w:tcW w:type="dxa" w:w="2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FR-02, FR-04–FR-07</w:t>
            </w:r>
          </w:p>
        </w:tc>
      </w:tr>
      <w:tr>
        <w:trPr>
          <w:cantSplit/>
        </w:trPr>
        <w:tc>
          <w:tcPr>
            <w:tcW w:type="dxa" w:w="2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validation.ts, Field</w:t>
            </w:r>
          </w:p>
        </w:tc>
        <w:tc>
          <w:tcPr>
            <w:tcW w:type="dxa" w:w="43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Разбор чисел, required, select, min / max / integer и доступные ошибки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Диапазоны берутся из конфигурации; медицинские пределы не придумываются</w:t>
            </w:r>
          </w:p>
        </w:tc>
        <w:tc>
          <w:tcPr>
            <w:tcW w:type="dxa" w:w="2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FR-03; NFR-02 / 03</w:t>
            </w:r>
          </w:p>
        </w:tc>
      </w:tr>
      <w:tr>
        <w:trPr>
          <w:cantSplit/>
        </w:trPr>
        <w:tc>
          <w:tcPr>
            <w:tcW w:type="dxa" w:w="2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config/environment.ts, PredictionApi</w:t>
            </w:r>
          </w:p>
        </w:tc>
        <w:tc>
          <w:tcPr>
            <w:tcW w:type="dxa" w:w="43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Явный выбор demo / real; общий интерфейс getModelInfo / predict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Ошибка режима / настроек не переключает на демо</w:t>
            </w:r>
          </w:p>
        </w:tc>
        <w:tc>
          <w:tcPr>
            <w:tcW w:type="dxa" w:w="2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FR-04, FR-06; NFR-05</w:t>
            </w:r>
          </w:p>
        </w:tc>
      </w:tr>
      <w:tr>
        <w:trPr>
          <w:cantSplit/>
        </w:trPr>
        <w:tc>
          <w:tcPr>
            <w:tcW w:type="dxa" w:w="2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api/demo.ts</w:t>
            </w:r>
          </w:p>
        </w:tc>
        <w:tc>
          <w:tcPr>
            <w:tcW w:type="dxa" w:w="43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Локальный фиксированный пример, демо-ошибки / отмена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134,2 мм рт. ст.; demo-example; ввод не влияет на результат; не модель</w:t>
            </w:r>
          </w:p>
        </w:tc>
        <w:tc>
          <w:tcPr>
            <w:tcW w:type="dxa" w:w="2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FR-01, FR-05; NFR-07</w:t>
            </w:r>
          </w:p>
        </w:tc>
      </w:tr>
      <w:tr>
        <w:trPr>
          <w:cantSplit/>
        </w:trPr>
        <w:tc>
          <w:tcPr>
            <w:tcW w:type="dxa" w:w="2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api/http.ts, api/contract.ts</w:t>
            </w:r>
          </w:p>
        </w:tc>
        <w:tc>
          <w:tcPr>
            <w:tcW w:type="dxa" w:w="43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 POST, тайм-аут, проверка внешних структур и ошибок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Недоверенный JSON; credentials: omit, cache: no-store, referrerPolicy: no-referrer; единицы проверяются перед показом; Accept-Language пока не отправляется</w:t>
            </w:r>
          </w:p>
        </w:tc>
        <w:tc>
          <w:tcPr>
            <w:tcW w:type="dxa" w:w="2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FR-02, FR-04, FR-06 / 07; NFR-01 / 02 / 05</w:t>
            </w:r>
          </w:p>
        </w:tc>
      </w:tr>
      <w:tr>
        <w:trPr>
          <w:cantSplit/>
        </w:trPr>
        <w:tc>
          <w:tcPr>
            <w:tcW w:type="dxa" w:w="2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ResultPanel, pdf/report.ts</w:t>
            </w:r>
          </w:p>
        </w:tc>
        <w:tc>
          <w:tcPr>
            <w:tcW w:type="dxa" w:w="43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Числовой вывод с единицей / контекстом и локальный текстовый PDF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Только проверенный результат; графики, доверительные интервалы и диагнозы не заявляются</w:t>
            </w:r>
          </w:p>
        </w:tc>
        <w:tc>
          <w:tcPr>
            <w:tcW w:type="dxa" w:w="2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FR-07 / 08; NFR-07</w:t>
            </w:r>
          </w:p>
        </w:tc>
      </w:tr>
    </w:tbl>
    <w:p>
      <w:pPr>
        <w:spacing w:after="60"/>
      </w:pPr>
    </w:p>
    <w:p>
      <w:pPr>
        <w:sectPr>
          <w:footerReference w:type="default" r:id="rId8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4.2 Компоненты backend и предлагаемый путь модели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Целевой путь обработки: frontend на React, REST API на Spring Boot, независимая проверка входа и предобработка, вывод модели, ответ API, проверка ответа на клиенте, интерфейс результата.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96"/>
        <w:gridCol w:w="5245"/>
        <w:gridCol w:w="5829"/>
      </w:tblGrid>
      <w:tr>
        <w:trPr>
          <w:cantSplit/>
          <w:tblHeader/>
        </w:trPr>
        <w:tc>
          <w:tcPr>
            <w:tcW w:type="dxa" w:w="34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Требуемая ответственность</w:t>
            </w:r>
          </w:p>
        </w:tc>
        <w:tc>
          <w:tcPr>
            <w:tcW w:type="dxa" w:w="5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Состояние / что предстоит решить</w:t>
            </w:r>
          </w:p>
        </w:tc>
      </w:tr>
      <w:tr>
        <w:trPr>
          <w:cantSplit/>
        </w:trPr>
        <w:tc>
          <w:tcPr>
            <w:tcW w:type="dxa" w:w="34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Spring Boot REST (controller, service)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Принять запрос, проверить формат, отдавать метаданные, ошибки, совместимость версий</w:t>
            </w:r>
          </w:p>
        </w:tc>
        <w:tc>
          <w:tcPr>
            <w:tcW w:type="dxa" w:w="5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Описан в README backend как реализованный (GET model/info, POST predictions, Swagger UI, список разрешённых источников CORS). Остаётся: формальное утверждение GET / POST / 400, TLS, среды, доступ, эксплуатация</w:t>
            </w:r>
          </w:p>
        </w:tc>
      </w:tr>
      <w:tr>
        <w:trPr>
          <w:cantSplit/>
        </w:trPr>
        <w:tc>
          <w:tcPr>
            <w:tcW w:type="dxa" w:w="34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Валидация и предобработка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Независимая серверная валидация; тот же порядок признаков, пропусков, единиц и преобразований, что и при обучении</w:t>
            </w:r>
          </w:p>
        </w:tc>
        <w:tc>
          <w:tcPr>
            <w:tcW w:type="dxa" w:w="5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Валидация по схеме из метаданных модели описана как реализованная. Код / артефакты предобработки, их версия и тесты ещё предстоит передать; параметры обучаются только на train</w:t>
            </w:r>
          </w:p>
        </w:tc>
      </w:tr>
      <w:tr>
        <w:trPr>
          <w:cantSplit/>
        </w:trPr>
        <w:tc>
          <w:tcPr>
            <w:tcW w:type="dxa" w:w="34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Вывод модели (PredictionModel)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Вызвать утверждённую модель и привязать ответ к фактически использованной версии</w:t>
            </w:r>
          </w:p>
        </w:tc>
        <w:tc>
          <w:tcPr>
            <w:tcW w:type="dxa" w:w="5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Интерфейс существует с реализацией «недоступно» по умолчанию и демонстрационным провайдером. ONNX в Java, отдельный вывод на Python или другой путь не выбраны</w:t>
            </w:r>
          </w:p>
        </w:tc>
      </w:tr>
      <w:tr>
        <w:trPr>
          <w:cantSplit/>
        </w:trPr>
        <w:tc>
          <w:tcPr>
            <w:tcW w:type="dxa" w:w="34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Ответ API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Число, корректная единица, версия при наличии, безопасное сообщение об ошибке</w:t>
            </w:r>
          </w:p>
        </w:tc>
        <w:tc>
          <w:tcPr>
            <w:tcW w:type="dxa" w:w="5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DTO описаны; эталонные ответы и допуски сравнения ещё предстоит задать; без оснований клинической интерпретации нет</w:t>
            </w:r>
          </w:p>
        </w:tc>
      </w:tr>
      <w:tr>
        <w:trPr>
          <w:cantSplit/>
        </w:trPr>
        <w:tc>
          <w:tcPr>
            <w:tcW w:type="dxa" w:w="34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M1 / M2 / M3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Независимые артефакты, схемы признаков и границы каждой задачи</w:t>
            </w:r>
          </w:p>
        </w:tc>
        <w:tc>
          <w:tcPr>
            <w:tcW w:type="dxa" w:w="5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Ни один не реализован; обучение, оценка, выбор данных и многомодульный контракт впереди</w:t>
            </w:r>
          </w:p>
        </w:tc>
      </w:tr>
    </w:tbl>
    <w:p>
      <w:pPr>
        <w:spacing w:after="60"/>
      </w:pPr>
    </w:p>
    <w:p>
      <w:pPr>
        <w:sectPr>
          <w:footerReference w:type="default" r:id="rId9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База данных и постоянное хранилище не нужны для текущего минимального сценария «запрос — ответ», и README backend подтверждает, что их нет. Если будут согласованы аккаунты или история, потребуется отдельная архитектура доступа, хранения и удаления. Их нельзя считать решёнными только потому, что есть экраны.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5. Три независимых исследовательских модуля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3084"/>
        <w:gridCol w:w="3469"/>
        <w:gridCol w:w="1351"/>
      </w:tblGrid>
      <w:tr>
        <w:trPr>
          <w:cantSplit/>
          <w:tblHeader/>
        </w:trPr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Модуль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Научная задача и кандидаты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Архитектурное следствие</w:t>
            </w:r>
          </w:p>
        </w:tc>
        <w:tc>
          <w:tcPr>
            <w:tcW w:type="dxa" w:w="1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Состояние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M1 Diabetes Progression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Числовая цель scikit-learn Diabetes; базовая регрессия против MLP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Отдельные схема признаков, цель и интерпретация; не единица давления и не медицинский диагноз</w:t>
            </w:r>
          </w:p>
        </w:tc>
        <w:tc>
          <w:tcPr>
            <w:tcW w:type="dxa" w:w="1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 реализован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M2 Systolic BP estimation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Оценка систолического АД по выбранным данным NHANES; базовый метод против MLP; мм рт. ст.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Отдельный конвейер отбора, единиц и измерений; одномоментная оценка не является прогнозом будущего давления</w:t>
            </w:r>
          </w:p>
        </w:tc>
        <w:tc>
          <w:tcPr>
            <w:tcW w:type="dxa" w:w="1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 реализован; демо-форма давления — не M2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M3 Glucose forecasting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Краткосрочный прогноз на подходящем продольном наборе PhysioNet; временной базовый метод и подходящая нейронная сеть, возможно LSTM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Нужны метки времени, окно, горизонт, разбиение по пациентам / времени, правила пропусков и согласованный контракт последовательности</w:t>
            </w:r>
          </w:p>
        </w:tc>
        <w:tc>
          <w:tcPr>
            <w:tcW w:type="dxa" w:w="13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 реализован; набор данных, горизонт и единицы не утверждены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HTTP-сервис и политика ошибок могут быть общими, но не автоматически признаки, единицы, предобработка, метрики или веса. Конкретный вызов вывода использует один выбранный совместимый модуль и не запускает все три сразу. Производительность и качество между модулями не переносятся.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6. Текущий контракт и предлагаемое развитие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Со стороны frontend PredictionApi имеет два метода: getModelInfo(signal) и predict(input, signal). HTTP-адаптер использует GET /api/v1/model/info и POST /api/v1/predictions. README backend описывает оба endpoint, поэтому прежнее замечание о том, что GET был лишь предложением frontend, на практике устарело; формальное согласование между Оралханом и Санатом всё же стоит зафиксировать. Данный документ не меняет путь или тело запроса.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Метаданные задают indicatorName, unit, decimalPlaces, непустой массив fields и необязательный modelVersion. Числовые поля отправляются как числа JSON, списочные поля — как строки. Ответ содержит конечное predictedValue, непустую unit и необязательные modelVersion / disclaimer. Единица ответа должна совпадать с единицей метаданных. Клиент не подставляет версию из метаданных вместо отсутствующей версии конкретного результата.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Для трёх модулей каталог, идентификаторы, доступность, версионирование и выбор схемы ещё необходимо согласовать отдельно. Рабочий endpoint /modules, moduleId или иное расширение не вводятся как факт. Текущая форма number / select не считается готовым контрактом временного ряда для M3. За любым расширением, после согласования командой, следует обновление docs/api-contract.md, типов, тестов, требований и диаграмм.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7. Последовательность сценария реального режима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Проверить конфигурацию среды и явно выбрать реальный режим. Запросить метаданные GET и разобрать недоверенный JSON; при ошибке форма и POST недоступны, разрешён явный повтор GET. С профилем backend по умолчанию этот шаг возвращает 503 MODEL_UNAVAILABLE, и форма корректно остаётся недоступной.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Показать поля из метаданных. Перед отправкой разобрать и проверить ввод; при ошибке привязать сообщения к полям и перевести фокус на первое неверное поле.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После явного действия отправить один POST и зафиксировать проверенный снимок ввода. Повторный клик во время запроса не создаёт второй POST.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Сервер независимо проверяет ввод, применяет согласованную предобработку и вызывает конкретный версионированный артефакт. Эта часть ещё не подтверждена реальной интеграцией (demo-профиль backend лишь возвращает фиксированное значение).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Получить ответ; проверить структуру, конечность числа и единицу. Показать результат, снимок ввода и постоянное предупреждение. Недопустимый ответ обрабатывается как ошибка.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При отмене, изменении данных или навигации отменить ожидание и игнорировать запоздавший ответ. Отмена HTTP на клиенте сама по себе не доказывает, что вычисление на сервере остановилось.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По отдельному действию экспортировать готовый результат в PDF без нового POST. После правки формы или навигации прежний результат скрывается.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8. Границы доверия, приватность и отказоустойчивость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Показатели живут в памяти React в пределах текущей загрузки страницы. Frontend не сохраняет их в localStorage / sessionStorage, URL, аналитике или журналах приложения. После перезагрузки ввод теряется. Это ограничение frontend, а не обещание, что копий нет на уровне браузера, ОС или стороннего сервера. Экспортированный PDF — явное исключение из отсутствия постоянного пользовательского документа.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Демо не отправляет показатели по сети. Реальный режим отправляет их на настроенный API, поэтому журналы сервера, хранение, доступ и обработка ошибок требуют отдельной проверки. README backend сообщает, что у него нет базы данных, журналирования тела запроса и сохранения прогнозов, и указывает, что трассировка тел запросов / ответов должна оставаться выключенной для медицинских входных данных. Настройки VITE_* видны в клиентской сборке и не предназначены для секретов. Для реальной публикации необходимо согласовать TLS, разрешённые источники / CORS и политику обработки данных. Данные пользователей автоматически для обучения не используются.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Надёжность клиентского пути обеспечивают явные состояния, тайм-аут по умолчанию 15 000 мс, отсутствие автоматического повтора POST и переключения на демо, AbortController и проверка текущего запроса. Ошибка по известному полю привязывается к нему; неизвестное поле сообщает о несовместимом ответе. Это проверяемые свойства клиента; доступность сервера и время вывода из них не выводятся.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9. Архитектурные решения и отложенные вопросы</w:t>
      </w:r>
    </w:p>
    <w:p>
      <w:pPr>
        <w:sectPr>
          <w:footerReference w:type="default" r:id="rId10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5"/>
        <w:gridCol w:w="4953"/>
        <w:gridCol w:w="4371"/>
        <w:gridCol w:w="4081"/>
      </w:tblGrid>
      <w:tr>
        <w:trPr>
          <w:cantSplit/>
          <w:tblHeader/>
        </w:trPr>
        <w:tc>
          <w:tcPr>
            <w:tcW w:type="dxa" w:w="1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Решение / состояние</w:t>
            </w:r>
          </w:p>
        </w:tc>
        <w:tc>
          <w:tcPr>
            <w:tcW w:type="dxa" w:w="43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Основание</w:t>
            </w:r>
          </w:p>
        </w:tc>
        <w:tc>
          <w:tcPr>
            <w:tcW w:type="dxa" w:w="4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Следующее действие</w:t>
            </w:r>
          </w:p>
        </w:tc>
      </w:tr>
      <w:tr>
        <w:trPr>
          <w:cantSplit/>
        </w:trPr>
        <w:tc>
          <w:tcPr>
            <w:tcW w:type="dxa" w:w="1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AR-01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Сохранить React + TypeScript + Vite</w:t>
            </w:r>
          </w:p>
        </w:tc>
        <w:tc>
          <w:tcPr>
            <w:tcW w:type="dxa" w:w="43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Реализованный frontend, типизированные границы и сценарии</w:t>
            </w:r>
          </w:p>
        </w:tc>
        <w:tc>
          <w:tcPr>
            <w:tcW w:type="dxa" w:w="4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 менять приложение в рамках работы над документацией</w:t>
            </w:r>
          </w:p>
        </w:tc>
      </w:tr>
      <w:tr>
        <w:trPr>
          <w:cantSplit/>
        </w:trPr>
        <w:tc>
          <w:tcPr>
            <w:tcW w:type="dxa" w:w="1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AR-02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Java / Spring Boot — направление backend; README описывает работающие endpoints и demo-профиль</w:t>
            </w:r>
          </w:p>
        </w:tc>
        <w:tc>
          <w:tcPr>
            <w:tcW w:type="dxa" w:w="43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Роль Оралхана, проектная постановка и README backend</w:t>
            </w:r>
          </w:p>
        </w:tc>
        <w:tc>
          <w:tcPr>
            <w:tcW w:type="dxa" w:w="4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Передать репозиторий / сборку backend на рассмотрение и согласовать контракт</w:t>
            </w:r>
          </w:p>
        </w:tc>
      </w:tr>
      <w:tr>
        <w:trPr>
          <w:cantSplit/>
        </w:trPr>
        <w:tc>
          <w:tcPr>
            <w:tcW w:type="dxa" w:w="1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AR-03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Сохранить единый интерфейс demo / real с явным режимом</w:t>
            </w:r>
          </w:p>
        </w:tc>
        <w:tc>
          <w:tcPr>
            <w:tcW w:type="dxa" w:w="43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Существующий PredictionApi, configuredApi</w:t>
            </w:r>
          </w:p>
        </w:tc>
        <w:tc>
          <w:tcPr>
            <w:tcW w:type="dxa" w:w="4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 смешивать фикстуру с реальным выводом</w:t>
            </w:r>
          </w:p>
        </w:tc>
      </w:tr>
      <w:tr>
        <w:trPr>
          <w:cantSplit/>
        </w:trPr>
        <w:tc>
          <w:tcPr>
            <w:tcW w:type="dxa" w:w="1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AR-04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Путь исполнения модели пока не выбран</w:t>
            </w:r>
          </w:p>
        </w:tc>
        <w:tc>
          <w:tcPr>
            <w:tcW w:type="dxa" w:w="43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Нет артефакта и подтверждённых ограничений среды</w:t>
            </w:r>
          </w:p>
        </w:tc>
        <w:tc>
          <w:tcPr>
            <w:tcW w:type="dxa" w:w="4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Сравнить варианты интеграции и провести небольшой тест эквивалентности</w:t>
            </w:r>
          </w:p>
        </w:tc>
      </w:tr>
      <w:tr>
        <w:trPr>
          <w:cantSplit/>
        </w:trPr>
        <w:tc>
          <w:tcPr>
            <w:tcW w:type="dxa" w:w="1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AR-05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Реализовывать три модуля независимо и поэтапно</w:t>
            </w:r>
          </w:p>
        </w:tc>
        <w:tc>
          <w:tcPr>
            <w:tcW w:type="dxa" w:w="43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Разные задачи, данные и временная структура</w:t>
            </w:r>
          </w:p>
        </w:tc>
        <w:tc>
          <w:tcPr>
            <w:tcW w:type="dxa" w:w="4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Сначала согласовать один вертикальный модуль, затем расширять</w:t>
            </w:r>
          </w:p>
        </w:tc>
      </w:tr>
      <w:tr>
        <w:trPr>
          <w:cantSplit/>
        </w:trPr>
        <w:tc>
          <w:tcPr>
            <w:tcW w:type="dxa" w:w="1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AR-06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 добавлять базу данных, аутентификацию или историю в обязательный конвейер</w:t>
            </w:r>
          </w:p>
        </w:tc>
        <w:tc>
          <w:tcPr>
            <w:tcW w:type="dxa" w:w="43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Функции отключены, политики хранения нет; у backend её тоже нет</w:t>
            </w:r>
          </w:p>
        </w:tc>
        <w:tc>
          <w:tcPr>
            <w:tcW w:type="dxa" w:w="4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Отдельное согласование и требования до включения</w:t>
            </w:r>
          </w:p>
        </w:tc>
      </w:tr>
      <w:tr>
        <w:trPr>
          <w:cantSplit/>
        </w:trPr>
        <w:tc>
          <w:tcPr>
            <w:tcW w:type="dxa" w:w="1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AR-07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Доступность модулей и временной API — будущий контракт</w:t>
            </w:r>
          </w:p>
        </w:tc>
        <w:tc>
          <w:tcPr>
            <w:tcW w:type="dxa" w:w="43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Текущий GET описывает один набор полей</w:t>
            </w:r>
          </w:p>
        </w:tc>
        <w:tc>
          <w:tcPr>
            <w:tcW w:type="dxa" w:w="4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Выполнить D6 спецификации, затем менять код / тесты</w:t>
            </w:r>
          </w:p>
        </w:tc>
      </w:tr>
      <w:tr>
        <w:trPr>
          <w:cantSplit/>
        </w:trPr>
        <w:tc>
          <w:tcPr>
            <w:tcW w:type="dxa" w:w="1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AR-08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Frontend должен отправлять Accept-Language, чтобы локализованные ошибки backend совпадали с языком интерфейса</w:t>
            </w:r>
          </w:p>
        </w:tc>
        <w:tc>
          <w:tcPr>
            <w:tcW w:type="dxa" w:w="43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Backend локализует ошибки по Accept-Language (kk, ru, en); адаптер frontend его не отправляет</w:t>
            </w:r>
          </w:p>
        </w:tc>
        <w:tc>
          <w:tcPr>
            <w:tcW w:type="dxa" w:w="4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Добавить заголовок и тест; согласовать резервный язык</w:t>
            </w:r>
          </w:p>
        </w:tc>
      </w:tr>
    </w:tbl>
    <w:p>
      <w:pPr>
        <w:spacing w:after="60"/>
      </w:pPr>
    </w:p>
    <w:p>
      <w:pPr>
        <w:sectPr>
          <w:footerReference w:type="default" r:id="rId11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Рекомендуемый порядок: научная постановка и данные, затем базовый метод и MLP первого утверждённого модуля, затем воспроизводимая оценка, затем реальный вертикальный API, затем второй модуль, затем временной модуль, если данные подтверждены, затем многомодульный UI. Это план, а не отчёт о выполненной работе.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10. Прослеживаемость и контроль согласованности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5"/>
        <w:gridCol w:w="3788"/>
        <w:gridCol w:w="3788"/>
        <w:gridCol w:w="3789"/>
      </w:tblGrid>
      <w:tr>
        <w:trPr>
          <w:cantSplit/>
          <w:tblHeader/>
        </w:trPr>
        <w:tc>
          <w:tcPr>
            <w:tcW w:type="dxa" w:w="3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Диаграмма / граница</w:t>
            </w:r>
          </w:p>
        </w:tc>
        <w:tc>
          <w:tcPr>
            <w:tcW w:type="dxa" w:w="3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Требования</w:t>
            </w:r>
          </w:p>
        </w:tc>
        <w:tc>
          <w:tcPr>
            <w:tcW w:type="dxa" w:w="3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Компоненты</w:t>
            </w:r>
          </w:p>
        </w:tc>
        <w:tc>
          <w:tcPr>
            <w:tcW w:type="dxa" w:w="37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Проверка согласованности</w:t>
            </w:r>
          </w:p>
        </w:tc>
      </w:tr>
      <w:tr>
        <w:trPr>
          <w:cantSplit/>
        </w:trPr>
        <w:tc>
          <w:tcPr>
            <w:tcW w:type="dxa" w:w="3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CTX-01: пользователь, демо, API, PDF</w:t>
            </w:r>
          </w:p>
        </w:tc>
        <w:tc>
          <w:tcPr>
            <w:tcW w:type="dxa" w:w="3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FR-01 / 04 / 07 / 08 / 10 / 12 / 13; NFR-01 / 07 / 08</w:t>
            </w:r>
          </w:p>
        </w:tc>
        <w:tc>
          <w:tcPr>
            <w:tcW w:type="dxa" w:w="3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Браузер, backend, внешние данные / обучение</w:t>
            </w:r>
          </w:p>
        </w:tc>
        <w:tc>
          <w:tcPr>
            <w:tcW w:type="dxa" w:w="37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Демо явно фиксированное; три модуля — план; данные из демо в обучение не попадают</w:t>
            </w:r>
          </w:p>
        </w:tc>
      </w:tr>
      <w:tr>
        <w:trPr>
          <w:cantSplit/>
        </w:trPr>
        <w:tc>
          <w:tcPr>
            <w:tcW w:type="dxa" w:w="3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UC-01: UC-A / UC-B</w:t>
            </w:r>
          </w:p>
        </w:tc>
        <w:tc>
          <w:tcPr>
            <w:tcW w:type="dxa" w:w="3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FR-01 / 02 / 03 / 09; NFR-02 / 03 / 07</w:t>
            </w:r>
          </w:p>
        </w:tc>
        <w:tc>
          <w:tcPr>
            <w:tcW w:type="dxa" w:w="3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Страницы, поля, i18n, валидация</w:t>
            </w:r>
          </w:p>
        </w:tc>
        <w:tc>
          <w:tcPr>
            <w:tcW w:type="dxa" w:w="37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Ошибки / единицы и границы соответствуют спецификации</w:t>
            </w:r>
          </w:p>
        </w:tc>
      </w:tr>
      <w:tr>
        <w:trPr>
          <w:cantSplit/>
        </w:trPr>
        <w:tc>
          <w:tcPr>
            <w:tcW w:type="dxa" w:w="3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UC-01: UC-C / UC-D / UC-E</w:t>
            </w:r>
          </w:p>
        </w:tc>
        <w:tc>
          <w:tcPr>
            <w:tcW w:type="dxa" w:w="3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FR-04–FR-08 / 10; NFR-01 / 05</w:t>
            </w:r>
          </w:p>
        </w:tc>
        <w:tc>
          <w:tcPr>
            <w:tcW w:type="dxa" w:w="3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Хук, HTTP, результат, PDF</w:t>
            </w:r>
          </w:p>
        </w:tc>
        <w:tc>
          <w:tcPr>
            <w:tcW w:type="dxa" w:w="37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Отмена, отсутствие переключения на демо, PDF без POST</w:t>
            </w:r>
          </w:p>
        </w:tc>
      </w:tr>
      <w:tr>
        <w:trPr>
          <w:cantSplit/>
        </w:trPr>
        <w:tc>
          <w:tcPr>
            <w:tcW w:type="dxa" w:w="3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UC-01: UC-F</w:t>
            </w:r>
          </w:p>
        </w:tc>
        <w:tc>
          <w:tcPr>
            <w:tcW w:type="dxa" w:w="3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FR-12 / 13</w:t>
            </w:r>
          </w:p>
        </w:tc>
        <w:tc>
          <w:tcPr>
            <w:tcW w:type="dxa" w:w="3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Будущий выбор / статусы</w:t>
            </w:r>
          </w:p>
        </w:tc>
        <w:tc>
          <w:tcPr>
            <w:tcW w:type="dxa" w:w="37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 представлять неподдерживаемый модуль как готовый</w:t>
            </w:r>
          </w:p>
        </w:tc>
      </w:tr>
      <w:tr>
        <w:trPr>
          <w:cantSplit/>
        </w:trPr>
        <w:tc>
          <w:tcPr>
            <w:tcW w:type="dxa" w:w="3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CMP-01: граница клиента</w:t>
            </w:r>
          </w:p>
        </w:tc>
        <w:tc>
          <w:tcPr>
            <w:tcW w:type="dxa" w:w="3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FR-02–FR-09; NFR-01–NFR-05</w:t>
            </w:r>
          </w:p>
        </w:tc>
        <w:tc>
          <w:tcPr>
            <w:tcW w:type="dxa" w:w="3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Существующий src/</w:t>
            </w:r>
          </w:p>
        </w:tc>
        <w:tc>
          <w:tcPr>
            <w:tcW w:type="dxa" w:w="37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Соответствует исходникам и существующим тестам</w:t>
            </w:r>
          </w:p>
        </w:tc>
      </w:tr>
      <w:tr>
        <w:trPr>
          <w:cantSplit/>
        </w:trPr>
        <w:tc>
          <w:tcPr>
            <w:tcW w:type="dxa" w:w="3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CMP-01: граница backend</w:t>
            </w:r>
          </w:p>
        </w:tc>
        <w:tc>
          <w:tcPr>
            <w:tcW w:type="dxa" w:w="3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FR-10 / 12 / 13; NFR-02 / 06 / 08 / 09</w:t>
            </w:r>
          </w:p>
        </w:tc>
        <w:tc>
          <w:tcPr>
            <w:tcW w:type="dxa" w:w="3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Controller, валидация, PredictionModel, ответ, M1–M3</w:t>
            </w:r>
          </w:p>
        </w:tc>
        <w:tc>
          <w:tcPr>
            <w:tcW w:type="dxa" w:w="37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Независимая валидация, версии и эквивалентность; интеграция ещё ожидается</w:t>
            </w:r>
          </w:p>
        </w:tc>
      </w:tr>
    </w:tbl>
    <w:p>
      <w:pPr>
        <w:spacing w:after="60"/>
      </w:pPr>
    </w:p>
    <w:p>
      <w:pPr>
        <w:sectPr>
          <w:footerReference w:type="default" r:id="rId12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Полные зависимости, критерии приёмки и способы проверки приведены в Спецификации требований. Архитектура не вводит свидетельств качества модели или сквозной работы сверх показанных артефактов.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11. Редактирование и проверка артефактов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Для каждого рисунка хранятся несжатый XML .drawio, просматриваемый .svg и растровый .png. Файл .drawio открывается в совместимом редакторе diagrams.net; он содержит отдельные узлы, связи, подписи и геометрию, а не одну вставленную картинку. SVG и PNG создаются из тех же подписей и координат. После изменения исходника изображения нужно экспортировать заново и проверить соответствие требований, состояний и путей API.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В версии от 21 октября три диаграммы обновлены с учётом README backend (зелёным цветом обозначен backend по его описанию, синим — реализованный frontend, пунктиром — запланированное).</w:t>
      </w:r>
    </w:p>
    <w:sectPr>
      <w:footerReference w:type="default" r:id="rId13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MedPredict  |  Архитектура и диаграммы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MedPredict  |  Архитектура и диаграммы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MedPredict  |  Архитектура и диаграммы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MedPredict  |  Архитектура и диаграммы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MedPredict  |  Архитектура и диаграммы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MedPredict  |  Архитектура и диаграммы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MedPredict  |  Архитектура и диаграммы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MedPredict  |  Архитектура и диаграммы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Calibri" w:cs="Calibri" w:eastAsia="Calibri" w:hAnsi="Calibri"/>
      <w:b/>
      <w:bCs/>
      <w:color w:val="000000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theme" Target="theme/theme1.xml"/><Relationship Id="rId15" Type="http://schemas.openxmlformats.org/officeDocument/2006/relationships/image" Target="media/dbe9792acaa955bf3f18611ea0b4407fd7ba59a6.png"/><Relationship Id="rId16" Type="http://schemas.openxmlformats.org/officeDocument/2006/relationships/image" Target="media/65a19dc3449adfb4eb70c3f414583140bb9f0f55.png"/><Relationship Id="rId17" Type="http://schemas.openxmlformats.org/officeDocument/2006/relationships/image" Target="media/0e1e6a9015467430617fceaa699e61f204676c67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Архитектура и диаграммы</dc:title>
  <dc:creator>Команда MedPredict</dc:creator>
  <dc:description>Документация MedPredict к предварительной защите</dc:description>
  <cp:lastModifiedBy>Un-named</cp:lastModifiedBy>
  <cp:revision>1</cp:revision>
  <dcterms:created xsi:type="dcterms:W3CDTF">2026-10-20T21:51:48.091Z</dcterms:created>
  <dcterms:modified xsi:type="dcterms:W3CDTF">2026-10-20T21:51:48.091Z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