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MedPredict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Спецификация требований к программному обеспечению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Функциональные и нефункциональные требования, приоритеты, критерии приёмки и прослеживаемость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Сведения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к первой предварительной защите 24 октября 2026 г. (версия 1.0 датирована 16 октября; обновлена 21 октября с учётом README backend)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Черновик требований команды. Их ещё необходимо согласовать с руководителем и с ответственными за backend и модели.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Официальная тема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«Разработка интеллектуальной системы прогнозирования медицинских показателей на основе нейронных сетей»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Организация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Astana IT University, Software Engineering, группа SE-2409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Назначение и основа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Документ задаёт проверяемые требования к учебному исследовательскому прототипу MedPredict и разделяет существующую реализацию, подготовленные клиентские адаптеры и будущие функции. Основа: требования, предоставленные университетом; текущие исходники frontend; существующие docs/requirements.md, docs/architecture.md и docs/api-contract.md; задание на подготовку к предварительной защите; README backend (21 октября).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Система предназначена для изучения оценки и прогнозирования числовых медицинских показателей. Она не является утверждённым средством диагностики, назначения лечения или индивидуальных клинических решений. Пока обработка реальных данных не согласована, демонстрации и технические проверки используют синтетические примеры.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Требования к модели, её качеству и развёртыванию </w:t>
      </w:r>
      <w:r>
        <w:rPr>
          <w:rFonts w:ascii="Calibri" w:cs="Calibri" w:eastAsia="Calibri" w:hAnsi="Calibri"/>
          <w:b/>
          <w:bCs/>
        </w:rPr>
        <w:t xml:space="preserve">не</w:t>
      </w:r>
      <w:r>
        <w:rPr>
          <w:rFonts w:ascii="Calibri" w:cs="Calibri" w:eastAsia="Calibri" w:hAnsi="Calibri"/>
        </w:rPr>
        <w:t xml:space="preserve"> считаются выполненными только потому, что есть интерфейс или возвращается фиксированный демонстрационный ответ.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Границы и подтверждённое состояние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Подтверждённое состояние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084"/>
        <w:gridCol w:w="4241"/>
      </w:tblGrid>
      <w:tr>
        <w:trPr>
          <w:cantSplit/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Состояние на 21 октября 2026 г.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Основание / ограничение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на React + TypeScript + Vite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src/, package.json. Опубликованная версия — одностраничное демо; расширенный интерфейс по макету Figma добавляется отдельно. Наличие тестов не равно их свежему запуску.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Демонстрационный адаптер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Реализовано, фиксированный пример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src/api/demo.ts: 134,2 мм рт. ст., версия demo-example, не зависит от ввода. Это не модель.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Клиент реального режима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Реализованы HTTP-адаптер, проверки контракта и состояния интерфейса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Проверяемо на фикстурах. Сквозная интеграция с реальным сервером не подтверждена.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на Spring Boot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Существует по его README: GET model/info, POST predictions, валидация, локализованные ошибки, Swagger, demo-профиль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Исходный код backend не входит в комплект данной документации. Без профиля модели оба endpoint возвращают 503 MODEL_UNAVAILABLE. Базы данных и сохранения нет.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Три исследовательских модуля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Предложены, реализация не подтверждена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Обученные артефакты, результаты экспериментов и интеграция не переданы.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Аккаунт, аутентификация, история, удаление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Страницы с отключёнными действиями есть только в расширенном интерфейсе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Ввод пароля и серверные действия недоступны; успешный вход и сохранение не имитируются.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 / UX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Реализованные страницы и дизайн-материалы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Это свидетельство прототипа, а не доказательство пользовательской валидации или одобрения макета Figma.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Три независимых предлагаемых модуля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734"/>
        <w:gridCol w:w="3084"/>
        <w:gridCol w:w="2893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 / задача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Кандидат данных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Метод и результат</w:t>
            </w:r>
          </w:p>
        </w:tc>
        <w:tc>
          <w:tcPr>
            <w:tcW w:type="dxa" w:w="28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Состояние / требуемое решение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 Diabetes Progression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scikit-learn Diabetes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Базовая регрессия и MLP; оценка числовой цели набора, не читается как диагноз</w:t>
            </w:r>
          </w:p>
        </w:tc>
        <w:tc>
          <w:tcPr>
            <w:tcW w:type="dxa" w:w="28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реализовано; утвердить признаки, значение цели и протокол оценки; физическая единица цели не предполагается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M2 Systolic Blood Pressure Estimation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NHANES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Базовая регрессия и MLP; оценка систолического АД в мм рт. ст.</w:t>
            </w:r>
          </w:p>
        </w:tc>
        <w:tc>
          <w:tcPr>
            <w:tcW w:type="dxa" w:w="28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реализовано; утвердить цикл / выборку, переменные, правила измерения и исключения; оценка текущего значения не является прогнозом будущего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M3 Glucose Forecasting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Подходящий продольный набор PhysioNet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Временной базовый метод и подходящая нейронная сеть, возможно LSTM; изучение краткосрочного прогноза</w:t>
            </w:r>
          </w:p>
        </w:tc>
        <w:tc>
          <w:tcPr>
            <w:tcW w:type="dxa" w:w="28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реализовано; набор данных, права доступа, горизонт, частота, окно и единицы не утверждены; одномоментные данные не заменяют временной ряд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У модулей разные целевые переменные, признаки и протоколы оценки. Общие компоненты архитектуры не означают единую модель. Текущая демонстрационная форма давления не реализует M2, а HTTP-контракт по-прежнему описывает один набор метаданных и один результат. API выбора модуля не определён.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Пользователи и границы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Основные пользователи прототипа — участники демонстрации и потенциальные представители учебной и исследовательской аудитории. Их реальные задачи и потребности нужно проверить исследованием пользователей; по одному описанию проекта они не объявляются подтверждёнными. Команда и руководитель — участники проверки проекта. Клинические пользователи и пациенты не считаются подтверждённой целевой группой.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Текущие границы включают ввод, валидацию, запрос, отображение результата, ошибки, отмену, локализацию и локальный PDF. Будущие модельные модули добавляются поэтапно. Вне текущего минимального объёма: диагностика и лечение, клиническая сертификация, электронные медицинские карты, автоматический сбор данных пациентов, онлайн-дообучение на пользовательском вводе, рабочие аккаунты и постоянная история.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Обозначения и управление требованиями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Must:</w:t>
      </w:r>
      <w:r>
        <w:rPr>
          <w:rFonts w:ascii="Calibri" w:cs="Calibri" w:eastAsia="Calibri" w:hAnsi="Calibri"/>
        </w:rPr>
        <w:t xml:space="preserve"> обязательно для соответствующего этапа. </w:t>
      </w:r>
      <w:r>
        <w:rPr>
          <w:rFonts w:ascii="Calibri" w:cs="Calibri" w:eastAsia="Calibri" w:hAnsi="Calibri"/>
          <w:b/>
          <w:bCs/>
        </w:rPr>
        <w:t xml:space="preserve">Should:</w:t>
      </w:r>
      <w:r>
        <w:rPr>
          <w:rFonts w:ascii="Calibri" w:cs="Calibri" w:eastAsia="Calibri" w:hAnsi="Calibri"/>
        </w:rPr>
        <w:t xml:space="preserve"> желательно для прототипа. </w:t>
      </w:r>
      <w:r>
        <w:rPr>
          <w:rFonts w:ascii="Calibri" w:cs="Calibri" w:eastAsia="Calibri" w:hAnsi="Calibri"/>
          <w:b/>
          <w:bCs/>
        </w:rPr>
        <w:t xml:space="preserve">Later:</w:t>
      </w:r>
      <w:r>
        <w:rPr>
          <w:rFonts w:ascii="Calibri" w:cs="Calibri" w:eastAsia="Calibri" w:hAnsi="Calibri"/>
        </w:rPr>
        <w:t xml:space="preserve"> отдельный этап после согласования.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Коды статуса.</w:t>
      </w:r>
      <w:r>
        <w:rPr>
          <w:rFonts w:ascii="Calibri" w:cs="Calibri" w:eastAsia="Calibri" w:hAnsi="Calibri"/>
        </w:rPr>
        <w:t xml:space="preserve"> R: реализовано во frontend. A: клиентский адаптер реализован, реальная интеграция не подтверждена. P: предложено. O: функция отключена, полная реализация отложена.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Зависимости.</w:t>
      </w:r>
      <w:r>
        <w:rPr>
          <w:rFonts w:ascii="Calibri" w:cs="Calibri" w:eastAsia="Calibri" w:hAnsi="Calibri"/>
        </w:rPr>
        <w:t xml:space="preserve"> D1: согласованные цель, признаки, единицы и данные от Али. D2: согласованный контракт и работающий сервис Spring Boot от Оралхана. D3: обученная версионированная модель и воспроизводимый эксперимент от Али. D4: согласованные безопасность, приватность и среда. D5: решения руководителя и реальные свидетельства пользователей. D6: отдельный контракт выбора и доступности модулей.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Ссылка на тест означает существующий способ проверки в репозитории; результат его запуска должен фиксироваться отдельным протоколом. Для P называется будущая проверка.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При изменении требования обновляются связанные критерии, тесты, документ API и диаграммы. Существующие FR-01–FR-11 и NFR-01–NFR-08 сохранены для совместимости; новые идентификаторы добавлены в конец. Утверждение документа ещё ожидается.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Функциональные требования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2. Функциональные требования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1602"/>
        <w:gridCol w:w="4662"/>
        <w:gridCol w:w="2039"/>
        <w:gridCol w:w="3499"/>
      </w:tblGrid>
      <w:tr>
        <w:trPr>
          <w:cantSplit/>
          <w:tblHeader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 / требование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Приоритет / статус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Критерий приёмки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Зависимости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FR-01. Показывать назначение, режим и ограничения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Главная страница и форма показывают режим; демо прямо названо фиксированным примером; результат постоянно показывает предупреждение об учебном, недиагностическом назначении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Согласованные тексты; NFR-07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Просмотр HomePage, ResultPanel; tests/demo.spec.ts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FR-02. Строить форму реального режима по корректным метаданным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A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До успешного GET ввод и POST недоступны; порядок, подписи, типы и единицы соответствуют описанию; после неудачного GET доступен явный повтор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D1, D2; NFR-02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parseModelInfo; src/api/api.test.ts, tests/api.spec.ts; затем реальный GET к backend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FR-03. Проверять и преобразовывать ввод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Пустые обязательные поля, неизвестные варианты и нечисловые значения отклоняются; допускается десятичная точка или запятая; min / max / integer применяются только из метаданных; ошибки привязаны к полям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FR-02; D1 для реальных ограничений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src/validation.test.ts; E2E на синтетических данных; независимые серверные тесты (backend)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FR-04. Делать один явный запрос и проверять ответ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A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Корректная отправка создаёт один POST; числа передаются как числа JSON, варианты — как строки; повторный клик во время ожидания не создаёт новый POST; недопустимый ответ не показывается как результат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FR-02, FR-03; D2; NFR-02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src/api/api.test.ts, tests/api.spec.ts; затем интеграционные тесты с demo-профилем backend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FR-05. Отменять ожидание и отбрасывать устаревшие ответы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Отмена, правка или уход со страницы скрывают прежний результат и блокируют запоздавший ответ; ввод остаётся в памяти приложения; новый запрос требует новой отправки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FR-04; AbortController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usePrediction; tests/demo.spec.ts; остановка вычисления на сервере отдельно не гарантируется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FR-06. Обрабатывать ошибки так, чтобы пользователь мог их исправить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R, реальный режим проверен на фикстурах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Ошибка по известному полю привязана к нему; фокус переходит на первое проблемное поле; ошибки сети / тайм-аута / 5xx / контракта различимы; ввод не теряется; реальный режим не переключается на демо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FR-02–FR-05; D2 для серверных ошибок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Модульные тесты HTTP / контракта и tests/api.spec.ts; негативный интеграционный набор (включая 400 и 503 backend)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FR-07. Показывать проверенный результат с контекстом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R, реальный режим проверен на фикстурах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Показываются число, единица, снимок отправленного ввода и предупреждение; версия отображается только из ответа, если она есть; единица соответствует метаданным; правка скрывает результат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FR-04–FR-06; D1, D2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ResultPanel, parsePrediction; модульные / E2E; визуальная проверка. Графики и интервалы не заявляются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FR-08. Экспортировать готовый результат в PDF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Should / R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PDF содержит язык, снимок ввода, единицы, результат и предупреждение; повторного POST нет; ошибка ресурса допускает повтор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FR-07; локальные ресурсы PDF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src/pdf/report.test.ts; сценарии PDF в E2E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FR-09. Поддерживать RU / KK / EN и навигацию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Should / R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Клиентские тексты и демо переведены; язык и ввод сохраняются при навигации в текущем сеансе; перезагрузка очищает ввод; серверные тексты не объявляются автоматически переведёнными. Backend локализует собственные сообщения об ошибках по заголовку Accept-Language; frontend этот заголовок пока не отправляет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i18n; FR-05; Accept-Language на backend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src/i18n/i18n.test.ts, tests/demo.spec.ts; просмотр трёх языков; добавить проверку после отправки заголовка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FR-10. Интегрироваться с реальным backend и моделью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для интегрированного этапа / P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Реальные GET / POST проходят согласованный контракт и ошибки; для контрольных синтетических входов ответ совпадает с прямым вызовом той же версии модели в заранее заданном допуске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D1–D4; FR-02–FR-07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Тесты контракта и интеграции; проверка эквивалентности Python / Java (или выбранного пути); протокол версий. Demo-профиль backend можно использовать только для проверки связки; он возвращает фиксированное значение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FR-11. Ограничить аккаунт и историю отдельным этапом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Later / O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Сейчас действия и ввод пароля недоступны, успех не имитируется; включение допустимо только после отдельного контракта доступа, хранения и удаления и его проверок. README backend сообщает, что endpoints аутентификации и истории не добавлены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D2, D4, D5; отдельные требования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AuthPage, AccountPage, HistoryPage (расширенный интерфейс); tests/demo.spec.ts; позднее отдельные тесты аутентификации / безопасности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FR-12. Выбирать поддерживаемый исследовательский модуль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для многомодульного этапа / P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После утверждения D6 пользователь видит M1 / M2 / M3 с корректными названиями, задачами и единицами; выбор меняет метаданные и изолирует ввод и результат; неподдерживаемый модуль не отправляет запрос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D1, D3, D6; FR-02, FR-05, FR-13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Будущие модульные / контрактные / E2E-тесты каждого модуля и переключения; сейчас выбора нет. README backend указывает, что выбор M1 / M2 / M3 не входит в текущий контракт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FR-13. Отражать доступность модели и ограничения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для многомодульного этапа / P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Для каждого модуля видны состояния «планируется», «недоступно» или подтверждённая готовность; недоступная модель не даёт ложного прогноза; версия / задача / единица согласуются с сервером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D2, D3, D6; FR-01, FR-12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Будущий тест статусов, отсутствующего артефакта и несовместимых метаданных; текущий 503 MODEL_UNAVAILABLE backend уже покрывает один сервис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Нефункциональные требования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3. Нефункциональные требования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1602"/>
        <w:gridCol w:w="4662"/>
        <w:gridCol w:w="2039"/>
        <w:gridCol w:w="3499"/>
      </w:tblGrid>
      <w:tr>
        <w:trPr>
          <w:cantSplit/>
          <w:tblHeader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 / требование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Приоритет / статус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Критерий приёмки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Зависимости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NFR-01. Ограничивать распространение показателей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 на frontend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Введённые показатели не сохраняются в localStorage / sessionStorage, URL, аналитике или журналах приложения; демо не отправляет их по сети; реальный режим отправляет только на настроенный API; PDF создаётся только по действию пользователя. README backend добавляет: тело запроса не журналируется и ничего не сохраняется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FR-04, FR-08; D4 для backend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Просмотр кода и сети на синтетических данных; отдельная проверка журналов сервера и политики хранения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NFR-02. Проверять границы доверия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 клиент, P сервер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Клиент отклоняет неверные типы, дублирующиеся ключи метаданных, запрещённые имена полей, единицу ответа, не совпадающую с метаданными, и нечисловой результат; сервер независимо проверяет ввод (README backend описывает валидацию по схеме и отклонение неизвестных ключей, дубликатов и хвостового JSON)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D1, D2; FR-02–FR-04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Негативные тесты единиц / контракта; тесты backend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NFR-03. Обеспечить доступность основного сценария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 частично проверяемо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Сценарий выполним с клавиатуры; видимый фокус, доступные подписи, связь ошибок с полями и объявление статуса; ручная проверка скринридером и контрастности фиксируется отдельным протоколом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FR-03, FR-06, FR-09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E2E с клавиатуры и ручная проверка; полное соответствие WCAG не заявляется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NFR-04. Поддерживать адаптивную вёрстку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Should / R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При 320 и 390 px основной интерфейс не имеет горизонтального переполнения; при 1440 px поля, ошибки и результат остаются читаемыми на трёх языках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FR-09; существующие стили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Размеры E2E, скриншоты и ручной просмотр; другие браузеры проверяются отдельно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NFR-05. Ограничивать ожидание и исключать скрытые повторы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 клиент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Тайм-аут по умолчанию 15 000 мс на HTTP-запрос и чтение тела; отмена отличима от тайм-аута; нет автоматического повтора POST и переключения на демо; сбой допускает явное действие пользователя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FR-04–FR-06; настройки среды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src/config/environment.test.ts, src/api/api.test.ts, негативные E2E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NFR-06. Обеспечить воспроизводимость проверок и экспериментов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 структура проверок, P эксперимент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Версия кода, среда и команды фиксируются; для каждого эксперимента сохраняются источник / версия данных, разбиение, seed, предобработка, базовый метод, гиперпараметры и метрики; тестовая выборка не используется для настройки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D1, D3; FR-10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Протокол технических проверок и независимое повторение эксперимента с моделью; наличие тестов не заменяет протокол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NFR-07. Исключать ложные клинические утверждения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/ R тексты, действует всегда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Никаких диагнозов, лечения или неподтверждённых процентов точности; демо помечено; опубликованные результаты имеют источник, выборку, модель и границы; M1 не называется диагнозом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FR-01, FR-07, FR-13; D5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Редакторская проверка UI, PDF, документов и презентации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NFR-08. Согласовать безопасность и эксплуатацию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до реальной публикации / P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Фиксируются TLS, разрешённые источники / CORS, доступ, обработка ошибок, политика журналов / хранения / удаления и среды; нет секретов в VITE_*; реальные данные не используются до согласования. README backend задаёт список разрешённых источников CORS для localhost:5173 и 127.0.0.1:5173 (переопределяется CORS_ALLOWED_ORIGINS), без учётных данных, Cache-Control: no-store, HTTPS на границе развёртывания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D2, D4; FR-10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Проверка конфигурации и интеграционные проверки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NFR-09. Измерять время ответа без выдуманных цифр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Must до любых утверждений о производительности / P</w:t>
            </w:r>
          </w:p>
        </w:tc>
        <w:tc>
          <w:tcPr>
            <w:tcW w:type="dxa" w:w="4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Для утверждённой среды и модуля — минимум 30 успешных тёплых запросов плюс отдельные холодные вызовы; фиксируются p50 / p95, ошибки и условия; бюджет согласуется до приёмочного прогона; заявляемые значения опираются на протокол</w:t>
            </w:r>
          </w:p>
        </w:tc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D2, D3; FR-10; согласованный бюджет</w:t>
            </w:r>
          </w:p>
        </w:tc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Измерять от отправки POST до проверенного ответа, разделяя вывод модели и сеть; текущий тайм-аут не является свидетельством скорости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Контракт и данные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Существующий предварительный контракт (docs/api-contract.md) остаётся в силе. README backend (21 октября) сообщает, что он его реализует: GET /api/v1/model/info возвращает упорядоченные метаданные полей, единицу результата, точность и версию модели; POST /api/v1/predictions принимает плоский объект JSON. Схема полей следует предварительному примеру frontend (age, sex male / female, bmi, totalCholesterol, glucose), и никакие неутверждённые медицинские диапазоны не навязываются. Данный документ не добавляет endpoints, поле moduleId или несовместимую структуру запроса.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Ответ GET содержит indicatorName, unit, decimalPlaces, fields и необязательный modelVersion. POST использует ключи полей GET и возвращает конечное predictedValue, unit и необязательные modelVersion / disclaimer. Версия из GET не подставляется вместо отсутствующей версии конкретного ответа. Числовые диапазоны берутся только из согласованных метаданных; демонстрационные значения не являются медицинскими нормами.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4. Согласованное поведение при ошибках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855"/>
        <w:gridCol w:w="3278"/>
      </w:tblGrid>
      <w:tr>
        <w:trPr>
          <w:cantSplit/>
          <w:tblHeader/>
        </w:trPr>
        <w:tc>
          <w:tcPr>
            <w:tcW w:type="dxa" w:w="25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Ответ backend (по его README)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Обработка во frontend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Корректный запрос, demo-профиль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с predictedValue 134.2, unit, modelVersion demo-example, предупреждение DEMO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Показать результат; пометить как фиксированный пример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Ошибка валидации полей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{"error": "VALIDATION_ERROR", "fields": [...]}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Привязать каждое сообщение к полю; неизвестные имена полей отклонять как несовместимый ответ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Некорректный JSON, неизвестные / дублирующиеся ключи, хвостовой JSON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INVALID_REQUEST без возврата отправленных значений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Показать общую ошибку запроса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Модель не подключена или недопустимый вывод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503 MODEL_UNAVAILABLE; автоматического переключения нет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Держать форму недоступной или показать «временно недоступно»; никогда не переключаться на демо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Непредвиденный сбой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 SYSTEM_ERROR без деталей исключения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Показать общую ошибку сервера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Неверный тип содержимого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415</w:t>
            </w:r>
          </w:p>
        </w:tc>
        <w:tc>
          <w:tcPr>
            <w:tcW w:type="dxa" w:w="3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Показать общую ошибку запроса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M3 потребуется отдельный контракт временного ряда: порядок и метки времени, пропуски, единицы и горизонт. Текущих типов number / select недостаточно для произвольной временной последовательности. Расширение контракта выполняется вместе с тестами и решениями о миграции.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Прослеживаемость требований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Диаграммы: </w:t>
      </w:r>
      <w:r>
        <w:rPr>
          <w:rFonts w:ascii="Calibri" w:cs="Calibri" w:eastAsia="Calibri" w:hAnsi="Calibri"/>
          <w:b/>
          <w:bCs/>
        </w:rPr>
        <w:t xml:space="preserve">CTX-01</w:t>
      </w:r>
      <w:r>
        <w:rPr>
          <w:rFonts w:ascii="Calibri" w:cs="Calibri" w:eastAsia="Calibri" w:hAnsi="Calibri"/>
        </w:rPr>
        <w:t xml:space="preserve"> — контекст системы; </w:t>
      </w:r>
      <w:r>
        <w:rPr>
          <w:rFonts w:ascii="Calibri" w:cs="Calibri" w:eastAsia="Calibri" w:hAnsi="Calibri"/>
          <w:b/>
          <w:bCs/>
        </w:rPr>
        <w:t xml:space="preserve">UC-01</w:t>
      </w:r>
      <w:r>
        <w:rPr>
          <w:rFonts w:ascii="Calibri" w:cs="Calibri" w:eastAsia="Calibri" w:hAnsi="Calibri"/>
        </w:rPr>
        <w:t xml:space="preserve"> — варианты использования; </w:t>
      </w:r>
      <w:r>
        <w:rPr>
          <w:rFonts w:ascii="Calibri" w:cs="Calibri" w:eastAsia="Calibri" w:hAnsi="Calibri"/>
          <w:b/>
          <w:bCs/>
        </w:rPr>
        <w:t xml:space="preserve">CMP-01</w:t>
      </w:r>
      <w:r>
        <w:rPr>
          <w:rFonts w:ascii="Calibri" w:cs="Calibri" w:eastAsia="Calibri" w:hAnsi="Calibri"/>
        </w:rPr>
        <w:t xml:space="preserve"> — компоненты. Их редактируемые исходники, SVG и PNG находятся в папке диаграмм архитектуры.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5. Прослеживаемость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2313"/>
        <w:gridCol w:w="2507"/>
      </w:tblGrid>
      <w:tr>
        <w:trPr>
          <w:cantSplit/>
          <w:tblHeader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Группа требований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Компоненты / границы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Сценарии и диаграммы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Подтверждение / будущая проверка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FR-01, FR-09, NFR-07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App, HomePage, i18n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UC-A; CTX-01, UC-01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i18n / E2E, просмотр текстов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FR-02, FR-03, NFR-02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Field, validation.ts, api/contract.ts; валидация backend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UC-B, UC-C; UC-01, CMP-01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Модульные тесты метаданных / валидации; API E2E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FR-04–FR-07, NFR-05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usePrediction, api/http.ts, ResultPanel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UC-C, UC-D; все три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Модульные тесты HTTP, E2E на фикстурах / отмены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FR-08, NFR-01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Страница прогноза, pdf/report.ts; браузер / PDF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UC-E; CTX-01, UC-01, CMP-01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Модульные / E2E-тесты PDF, сеть и хранилище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FR-10, NFR-06, NFR-08, NFR-09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HTTP, Spring Boot, валидация, PredictionModel (вывод)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UC-C; CTX-01, CMP-01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Будущая интеграция, эквивалентность и измерения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Отключённые auth / account / history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Примечание в UC-01; исключено из обязательных сценариев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Код и E2E отключённых действий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FR-12, FR-13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Будущий выбор модуля / статус; M1 / M2 / M3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UC-F; все три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Будущие D6, тесты модулей и доступности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NFR-03, NFR-04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Поля, вёрстка, фокус, языки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Все пользовательские UC; UC-01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Проверки с клавиатуры и адаптивности, будущий скринридер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Метки UC-A–UC-F на новой диаграмме не заменяют прежние UC-01–UC-04 в сохранённом docs/requirements.md. Соответствие: прежний UC-01 — это UC-A; UC-02 — UC-B; UC-03 — UC-C / UC-D; UC-04 — UC-E; UC-F — новый планируемый сценарий.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Поэтапная приёмка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Первая предварительная защита, 24 окт. 2026 г.:</w:t>
      </w:r>
      <w:r>
        <w:rPr>
          <w:rFonts w:ascii="Calibri" w:cs="Calibri" w:eastAsia="Calibri" w:hAnsi="Calibri"/>
        </w:rPr>
        <w:t xml:space="preserve"> научная постановка, проверяемая спецификация, три диаграммы, подтверждённый frontend, план данных / моделей и честный реестр пробелов. Обучение всех трёх моделей не заявляется как завершённый результат.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Первый вертикальный модуль:</w:t>
      </w:r>
      <w:r>
        <w:rPr>
          <w:rFonts w:ascii="Calibri" w:cs="Calibri" w:eastAsia="Calibri" w:hAnsi="Calibri"/>
        </w:rPr>
        <w:t xml:space="preserve"> после решения руководителя выбрать наиболее реализуемый модуль, утвердить данные и цель, реализовать базовый метод и MLP, затем обеспечить реальную интеграцию и сравнение выполнения. Выбор M1 первым кандидатом требует решения команды и не означает отказа от широкой официальной темы.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Второй независимый модуль:</w:t>
      </w:r>
      <w:r>
        <w:rPr>
          <w:rFonts w:ascii="Calibri" w:cs="Calibri" w:eastAsia="Calibri" w:hAnsi="Calibri"/>
        </w:rPr>
        <w:t xml:space="preserve"> отдельный протокол NHANES, единица и правила подготовки, тесты и метрики; качество первой модели на вторую не переносится.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Временной модуль:</w:t>
      </w:r>
      <w:r>
        <w:rPr>
          <w:rFonts w:ascii="Calibri" w:cs="Calibri" w:eastAsia="Calibri" w:hAnsi="Calibri"/>
        </w:rPr>
        <w:t xml:space="preserve"> только после получения подходящих продольных данных и согласования горизонта, разбиения по пациентам / времени и нового контракта. Если данные недоступны, ограничение фиксируется, а временной прогноз не заменяется одномоментной регрессией.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Многомодульный интерфейс:</w:t>
      </w:r>
      <w:r>
        <w:rPr>
          <w:rFonts w:ascii="Calibri" w:cs="Calibri" w:eastAsia="Calibri" w:hAnsi="Calibri"/>
        </w:rPr>
        <w:t xml:space="preserve"> согласовать D6, реализовать FR-12 / FR-13 и проверить переключение модулей. Аккаунт и история остаются отдельным этапом.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Открытые решения и ответственные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6. Открытые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2698"/>
        <w:gridCol w:w="2700"/>
      </w:tblGrid>
      <w:tr>
        <w:trPr>
          <w:cantSplit/>
          <w:tblHeader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Решение / пробел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Условие закрытия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Цель, признаки, единицы, данные и первый модуль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Баймен Али + команда + руководитель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Письменный протокол постановки и план эксперимента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POST / ошибки, версии, путь вывода и D6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Сеилхан Оралхан + Бөгенбаев Санат + Али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Согласованный контракт и контрактные тесты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Отправка Accept-Language из frontend, чтобы ошибки backend соответствовали языку интерфейса (kk / ru / en)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Бөгенбаев Санат + Сеилхан Оралхан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Заголовок добавлен в HTTP-адаптер, тест и согласованный резервный язык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Состояния UI, доступность, локализация, обновление диаграмм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Бөгенбаев Санат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Проверки интерфейса и согласованные тексты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Безопасность, журналы, хранение, права на данные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Оралхан + Али + команда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Документированная политика и проверки среды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Бюджет времени ответа и правила оценки качества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Команда + руководитель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Критерии и пределы утверждены до экспериментов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Потребности пользователей и итоговое согласование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Команда + руководитель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Реальные свидетельства исследования и протокол замечаний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Полное ФИО руководителя — Турарова Маржан Кабдыкалиевна — сообщено командой 16 октября 2026 г.; документ не подтверждает, что она одобрила требования. Ни сервер, ни обученные модели, ни клинические результаты не объявляются готовыми.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Спецификация требований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Спецификация требований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Спецификация требований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требований</dc:title>
  <dc:creator>Команда MedPredict</dc:creator>
  <dc:description>Документация MedPredict к предварительной защите</dc:description>
  <cp:lastModifiedBy>Un-named</cp:lastModifiedBy>
  <cp:revision>1</cp:revision>
  <dcterms:created xsi:type="dcterms:W3CDTF">2026-10-20T21:49:34.472Z</dcterms:created>
  <dcterms:modified xsi:type="dcterms:W3CDTF">2026-10-20T21:49:34.472Z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