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/>
        <w:ind/>
        <w:rPr/>
      </w:pPr>
      <w:r>
        <w:rPr>
          <w:rFonts w:ascii="Calibri" w:hAnsi="Calibri" w:eastAsia="Calibri" w:cs="Calibri"/>
          <w:b/>
          <w:bCs/>
          <w:color w:val="595959"/>
          <w:sz w:val="22"/>
          <w:szCs w:val="22"/>
        </w:rPr>
        <w:t xml:space="preserve">MedPredict</w:t>
      </w:r>
      <w:r/>
    </w:p>
    <w:p>
      <w:pPr>
        <w:pBdr/>
        <w:spacing w:after="100"/>
        <w:ind/>
        <w:rPr/>
      </w:pPr>
      <w:r>
        <w:rPr>
          <w:rFonts w:ascii="Calibri" w:hAnsi="Calibri" w:eastAsia="Calibri" w:cs="Calibri"/>
          <w:b/>
          <w:bCs/>
          <w:sz w:val="40"/>
          <w:szCs w:val="40"/>
        </w:rPr>
        <w:t xml:space="preserve">Обзор литературы</w:t>
      </w:r>
      <w:r/>
    </w:p>
    <w:p>
      <w:pPr>
        <w:pBdr/>
        <w:spacing w:after="160"/>
        <w:ind/>
        <w:rPr/>
      </w:pPr>
      <w:r>
        <w:rPr>
          <w:rFonts w:ascii="Calibri" w:hAnsi="Calibri" w:eastAsia="Calibri" w:cs="Calibri"/>
          <w:color w:val="404040"/>
          <w:sz w:val="22"/>
          <w:szCs w:val="22"/>
        </w:rPr>
        <w:t xml:space="preserve">Научное обоснование исследования MedPredict: что известно, что ограничено и какие решения проект должен принять до обучения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20"/>
        <w:gridCol w:w="7518"/>
      </w:tblGrid>
      <w:tr>
        <w:trPr>
          <w:cantSplit/>
          <w:tblHeader/>
        </w:trPr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12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Параметр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51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9"/>
                <w:szCs w:val="19"/>
              </w:rPr>
              <w:t xml:space="preserve">Сведения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12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Версия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51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1.1 к первой предварительной защите 24 октября 2026 г. Источники проверены 16 октября 2026 г.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12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Официальная тема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51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«Разработка интеллектуальной системы прогнозирования медицинских показателей на основе нейронных сетей»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12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Объём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51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17 источников: 12 научных публикаций и 5 официальных документов. 9 из 12 научных публикаций относятся к последним пяти годам.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120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Автор раздела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751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Баймен Али 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Style w:val="754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1. Цель и исследовательский вопрос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Обзор обосновывает и</w:t>
      </w:r>
      <w:r>
        <w:rPr>
          <w:rFonts w:ascii="Calibri" w:hAnsi="Calibri" w:eastAsia="Calibri" w:cs="Calibri"/>
        </w:rPr>
        <w:t xml:space="preserve">сследовательскую постановку MedPredict, выбор сопоставимых базовых методов и требования к данным, оценке и интеграции нейросетевых моделей. Он охватывает три независимых планируемых модуля. Официальная тема не сужается до одного заболевания или показателя.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Исследовательский вопрос.</w:t>
      </w:r>
      <w:r>
        <w:rPr>
          <w:rFonts w:ascii="Calibri" w:hAnsi="Calibri" w:eastAsia="Calibri" w:cs="Calibri"/>
        </w:rPr>
        <w:t xml:space="preserve"> При каких определениях целевой переменной, свойствах данных и процедурах валидации сравнение нейронной сети с простым базовым методом даёт воспроизводимый результат для каждого из трёх модулей MedPredict?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В текущем frontend демонстрационное значение </w:t>
      </w:r>
      <w:r>
        <w:rPr>
          <w:rFonts w:ascii="Calibri" w:hAnsi="Calibri" w:eastAsia="Calibri" w:cs="Calibri"/>
          <w:b/>
          <w:bCs/>
        </w:rPr>
        <w:t xml:space="preserve">134,2</w:t>
      </w:r>
      <w:r>
        <w:rPr>
          <w:rFonts w:ascii="Calibri" w:hAnsi="Calibri" w:eastAsia="Calibri" w:cs="Calibri"/>
        </w:rPr>
        <w:t xml:space="preserve"> зафиксировано и не вычисляе</w:t>
      </w:r>
      <w:r>
        <w:rPr>
          <w:rFonts w:ascii="Calibri" w:hAnsi="Calibri" w:eastAsia="Calibri" w:cs="Calibri"/>
        </w:rPr>
        <w:t xml:space="preserve">тся обученной моделью. Оно не входит ни в один научный результат. Демонстрационная форма не доказывает выбор модулей, обучение трёх моделей или работающую связку с backend на Java. В обзоре не приводятся собственные эксперименты или клинические результаты.</w:t>
      </w:r>
      <w:r/>
    </w:p>
    <w:p>
      <w:pPr>
        <w:pStyle w:val="754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2. Метод отбора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Это целевой критический обзор, а не систематический обзор или метаанализ. Направления поиска: табличная медицинская регрессия; нейронные сети в сравнении с базовыми методами; прогнозирование физиологических временных рядов; документац</w:t>
      </w:r>
      <w:r>
        <w:rPr>
          <w:rFonts w:ascii="Calibri" w:hAnsi="Calibri" w:eastAsia="Calibri" w:cs="Calibri"/>
        </w:rPr>
        <w:t xml:space="preserve">ия данных; внешняя валидация; объяснимость; перенос и техническая интеграция. Использовались веб-поиск и открытие первичных публикаций, официальных кодбуков и документации. Библиографические данные проверялись в PubMed и на страницах издателей или авторов.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Приоритетный период — с 16 октября 2021 г. по 16 октября 2026 г. Работа Efron et al. (L01) оставлена как первоисточник алгоритма и примера Diabetes. Две работы начала 2021 г. о данных и переносе (L06, L12) оставлены, так как они напрямую применимы. </w:t>
      </w:r>
      <w:r>
        <w:rPr>
          <w:rFonts w:ascii="Calibri" w:hAnsi="Calibri" w:eastAsia="Calibri" w:cs="Calibri"/>
          <w:b/>
          <w:bCs/>
        </w:rPr>
        <w:t xml:space="preserve">Включено 17 источников, из них 12 — научные публикации; 9 из этих 12 попадают в пятилетний период.</w:t>
      </w:r>
      <w:r>
        <w:rPr>
          <w:rFonts w:ascii="Calibri" w:hAnsi="Calibri" w:eastAsia="Calibri" w:cs="Calibri"/>
        </w:rPr>
        <w:t xml:space="preserve"> Научная группа включает методические и модельные исследования, описания данных, методические руководства и две аналитические статьи; это не 12 клинических экспериментов. Официальные ресурсы L13–L17 отдельно подтверждают факты о данных, интеграции и этике.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Критерии включения: проверяемые</w:t>
      </w:r>
      <w:r>
        <w:rPr>
          <w:rFonts w:ascii="Calibri" w:hAnsi="Calibri" w:eastAsia="Calibri" w:cs="Calibri"/>
        </w:rPr>
        <w:t xml:space="preserve"> название, авторы, год и DOI либо официальный URL; содержательная связь с задачами MedPredict; возможность определить тип исхода и границы выводов. Несколько страниц одной публикации не считались отдельными источниками. Работы по распознаванию диагноза не </w:t>
      </w:r>
      <w:r>
        <w:rPr>
          <w:rFonts w:ascii="Calibri" w:hAnsi="Calibri" w:eastAsia="Calibri" w:cs="Calibri"/>
        </w:rPr>
        <w:t xml:space="preserve">использовались как доказательство качества числовой регрессии; модели ЭКГ/ФПГ не переносились на табличную форму. Результаты поиска не экспортировались полностью, число просмотренных и исключённых записей не подсчитывалось, полнота по PRISMA не заявляется.</w:t>
      </w:r>
      <w:r/>
    </w:p>
    <w:p>
      <w:pPr>
        <w:pBdr/>
        <w:spacing/>
        <w:ind/>
        <w:rPr/>
        <w:sectPr>
          <w:footerReference w:type="default" r:id="rId9"/>
          <w:footnotePr/>
          <w:endnotePr/>
          <w:type w:val="nextPage"/>
          <w:pgSz w:h="16838" w:orient="portrait" w:w="11906"/>
          <w:pgMar w:top="1134" w:right="1134" w:bottom="1134" w:left="1134" w:header="708" w:footer="708" w:gutter="0"/>
          <w:cols w:num="1" w:sep="0" w:space="1701" w:equalWidth="1"/>
        </w:sectPr>
      </w:pPr>
      <w:r/>
      <w:r/>
    </w:p>
    <w:p>
      <w:pPr>
        <w:pStyle w:val="754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3. Структурированное сравнение научных публикаций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Числа принадлежат соответствующим авторам. «Неприменимо» </w:t>
      </w:r>
      <w:r>
        <w:rPr>
          <w:rFonts w:ascii="Calibri" w:hAnsi="Calibri" w:eastAsia="Calibri" w:cs="Calibri"/>
        </w:rPr>
        <w:t xml:space="preserve">в столбце метрик означает методическую или аналитическую работу без собственного сравнения моделей. Не указанные в источнике числа не восстанавливались. Поскольку данные, исходы и схемы разбиения различаются, таблица не является общим рейтингом алгоритмов.</w:t>
      </w:r>
      <w:r/>
    </w:p>
    <w:p>
      <w:pPr>
        <w:keepNext w:val="true"/>
        <w:pBdr/>
        <w:spacing w:after="80" w:before="160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Таблица 1а. Проблема, данные и методы научных публикаций</w:t>
      </w:r>
      <w:r/>
    </w:p>
    <w:tbl>
      <w:tblPr>
        <w:tblW w:w="145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39"/>
        <w:gridCol w:w="2914"/>
        <w:gridCol w:w="2331"/>
        <w:gridCol w:w="2476"/>
        <w:gridCol w:w="3059"/>
        <w:gridCol w:w="1751"/>
      </w:tblGrid>
      <w:tr>
        <w:trPr>
          <w:cantSplit/>
          <w:tblHeader/>
        </w:trPr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ID; автор, год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91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Название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3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Исследовательская проблема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Данные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5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Метод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DOI / URL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L01; Efron, Hastie, Johnstone, Tibshirani, 2004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91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Least angle regression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3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Эффективный отбор переменных в линейной регрессии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Diabetes: 442 пациента, 10 исходных признаков; числовой исход через год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5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LARS; связь с Lasso и пошаговой регрессией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10.1214/009053604000000067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L02; Grinsztajn, Oyallon, Varoquaux, 2022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91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Why do tree-based models still outperform deep learning on typical tabular data?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3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Нейронные и древовидные методы на таблицах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45 наборов данных из разных областей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5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Нейросети, включая MLP и специализированные архитектуры; Random Forest, XGBoost и другие деревья; сопоставимая настройка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Труды NeurIPS 2022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L03; Hrytsenko et al., 2024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91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Machine learning models for predicting blood pressure phenotypes by combining multiple polygenic risk scores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3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Числовой прогноз систолического и диастолического АД по клиническим и генетическим признакам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TOPMed: 62 295 участников; валидационная часть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5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Линейные модели, XGBoost, ансамбль базовой и генетической моделей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10.1038/s41598-024-62945-9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L04; Najafi-Vosough et al., 2023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91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Longitudinal machine learning model for predicting systolic blood pressure in patients with heart failure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3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Систолическое АД при повторных госпитализациях пациентов с сердечной недостаточностью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Один центр в Иране: 483 пациента, 1 320 измерений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5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Линейная модель со смешанными эффектами (LMM) и SVR наименьших квадратов со смешанными эффектами (MLS-SVR)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10.15167/2421-4248/jpmh2023.64.2.2887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L05; Sun, Li, Yu, 2026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91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Future-aware blood glucose forecasting using knowledge distillation with transformer-based sequence-to-sequence models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3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Многошаговый прогноз глюкозы при неизвестных будущих приёмах пищи и инсулине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OhioT1DM и AZT1D; история CGM, инсулина и питания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5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Transformer «учитель–ученик»; учитель видит будущую информацию при обучении, ученик использует историю. Сравнение с LSTM, BiLSTM, CRNN, Transformer, zero-hold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10.1038/s41598-026-41787-7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L06; Robles Arévalo et al., 2021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91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Data-driven curation process for describing the blood glucose management in the intensive care unit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3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Очистка и согласование клинических записей глюкозы и инсулина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MIMIC-III v1.4; производные временные ряды реанимации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5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SQL-выгрузка, очистка, экспертные правила временного сопоставления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10.1038/s41597-021-00864-4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L07; Collins et al., 2024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91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TRIPOD+AI statement: updated guidance for reporting clinical prediction models that use regression or machine learning methods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3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Неполная отчётность о разработке и оценке моделей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Литература и международный процесс разработки руководства; отдельного набора данных нет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5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Согласованное руководство для регрессии и ML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10.1136/bmj-2023-078378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L08; Moons et al., 2025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91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PROBAST+AI: an updated quality, risk of bias, and applicability assessment tool for prediction models using regression or AI methods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3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Оценка качества, смещения и применимости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Методический инструмент; не эксперимент по трём модулям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5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Структурированная оценка участников / данных, предикторов, исхода и анализа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10.1136/bmj-2024-082505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L09; Efthimiou et al., 2024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91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Developing clinical prediction models: a step-by-step guide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3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Порядок разработки воспроизводимой прогностической модели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Методическое руководство с примером по рассеянному склерозу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5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13 шагов: цель, выбор данных, пропуски, модели, оценка; пример кода на R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10.1136/bmj-2023-078276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L10; Riley et al., 2024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91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Evaluation of clinical prediction models (part 2): how to undertake an external validation study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3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Корректная оценка фиксированной модели на новых данных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Методическое руководство с иллюстративными примерами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5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Выбор подходящей новой выборки; оценка общей эффективности и калибровки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10.1136/bmj-2023-074820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L11; Ghassemi, Oakden-Rayner, Beam, 2021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91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The false hope of current approaches to explainable artificial intelligence in health care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3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Границы локальных объяснений в медицинском ИИ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Аналитическая статья; примеры методов объяснения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5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Критический анализ объяснимого ИИ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10.1016/S2589-7500(21)00208-9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L12; Finlayson et al., 2021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91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The Clinician and Dataset Shift in Artificial Intelligence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33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Потеря надёжности при изменении данных и контекста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Аналитическая статья с примерами клинических систем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05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Классификация изменений технологии, популяции, среды и поведения; мониторинг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7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10.1056/NEJMc2104626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keepNext w:val="true"/>
        <w:pBdr/>
        <w:spacing w:after="80" w:before="160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Таблица 1б. Метрики, результаты и применимость тех же публикаций (строки сохраняют идентификаторы L01–L12)</w:t>
      </w:r>
      <w:r/>
    </w:p>
    <w:tbl>
      <w:tblPr>
        <w:tblW w:w="145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39"/>
        <w:gridCol w:w="2476"/>
        <w:gridCol w:w="3351"/>
        <w:gridCol w:w="3205"/>
        <w:gridCol w:w="3499"/>
      </w:tblGrid>
      <w:tr>
        <w:trPr>
          <w:cantSplit/>
          <w:tblHeader/>
        </w:trPr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ID; автор, год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Метрики оценки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Основные опубликованные результаты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20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Ограничения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9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Значение для MedPredict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L01; Efron et al., 2004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Ошибка прогноза, критерий Cp в анализе выбора модели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Алгоритм построения пути регрессионных моделей; медицинский набор данных служит примером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20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Методическая работа и небольшой пример не доказывают клиническую переносимость или преимущество MLP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9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Первичный контекст для M1; нейронную сеть нужно сравнивать с регрессией; цель не становится диагнозом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L02; Grinsztajn et al., 2022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Accuracy для классификации, R² для регрессии; агрегированное сравнение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На таблицах среднего размера деревья сохранили преимущество; важны неинформативные признаки и нерегулярные функции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20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Не медицинская проверка; выводы ограничены выбранными наборами данных и бюджетами настройки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9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Нейросеть нельзя объявлять победителем заранее. Дополнительный древовидный базовый метод допустим после базового сравнения на M1 / M2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L03; Hrytsenko et al., 2024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Доля объяснённой дисперсии (PVE), групповой анализ, бутстреп-интервалы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Для базовой модели систолического АД PVE выросла с 28,1% до 30,1% при нелинейном методе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20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Разные признаки и популяции; полигенные показатели отсутствуют в форме MedPredict; учёт лекарств влияет на исход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9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Непрерывный исход, близкий к M2; показывает ценность сравнения и группового анализа, но не то, что пяти текущих полей достаточно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L04; Najafi-Vosough et al., 2023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MAE и RMSE; случайное разбиение 70:30, повторённое 100 раз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Тестовый MAE LMM / MLS-SVR: 17,92 / 17,36 мм рт. ст.; RMSE 22,79 / 22,07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20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Один центр, неполные записи исключены; уровень разбиения повторных наблюдений явно не описан; большой разрыв train / test у MLS-SVR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9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Пример чтения ошибки в единицах АД и разбиения по пациентам. Не доказательство будущей точности M2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L05; Sun, Li, Yu, 2026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MAE, RMSE в мг/дл, Clarke error grid; горизонты 30–120 минут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Авторы сообщают об улучшении ученика по сравнению с методами без будущих возмущений; ошибка зависит от горизонта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20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Небольшие специализированные когорты, персональная настройка, пропуски и допущение о суточном режиме; офлайн-оценка не равна проспективной проверке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9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Поддерживает временную постановку M3 и базовый метод персистентности. Горизонты статьи не задают наш горизонт; OhioT1DM / AZT1D — не выбранный набор PhysioNet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L06; Robles Arévalo et al., 2021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Полнота / сопоставление записей; MAE / RMSE прогнозов нет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Воспроизводимые правила и набор данных для изучения реальной практики контроля глюкозы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20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Измерения в реанимации и нерегулярные EHR отличаются от амбулаторного CGM; сопоставление лечения — не прогнозирование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9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Паспорт и качество продольных данных идут раньше выбора LSTM; источник для изучения кандидата L15, а не подтверждение M3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L07; Collins et al., 2024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Неприменимо; чек-лист отчётности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27 основных пунктов отчётности и отдельные рекомендации для аннотации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20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Полная отчётность сама по себе не гарантирует корректный анализ или пользу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9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Основа паспорта каждого эксперимента: данные, признаки, разбиение, параметры, неопределённость, ограничения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L08; Moons et al., 2025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Неприменимо; вопросы о риске смещения и применимости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Разделяет качество процесса разработки и риск смещения; усиливает внимание к алгоритмическому смещению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20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Инструмент критической оценки, а не способ исправить отсутствующие данные; полное использование требует полной отчётности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9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Предварительная проверка протокола и последующая критическая оценка M1–M3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L09; Efthimiou et al., 2024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Зависят от исхода; учитываются качество, калибровка и полезность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Разработка начинается с цели, популяции, исхода и протокола, а не с алгоритма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20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В основном будущие клинические исходы; пример по другому заболеванию не доказывает качество M1–M3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9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Поддерживает фиксацию протокола до обучения; одномоментный M2 нужно описывать отдельно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L10; Riley et al., 2024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Непрерывный исход: R², MSE; калибровка. События: другие метрики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Внешняя оценка не переобучает исходную модель; важно соответствие предполагаемому использованию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20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Отложенная часть того же набора данных не является проверкой на внешней популяции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9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Разделять внутреннюю оценку, временной перенос и внешнюю оценку. AUROC не заменяет MAE / RMSE для регрессии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L11; Ghassemi et al., 2021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Неприменимо; собственного бенчмарка нет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Объяснение одного ответа может быть ненадёжным; авторы отдают приоритет строгой внутренней и внешней оценке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20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Аргументированный анализ не показывает, что любой метод объяснения бесполезен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9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Подписи признаков или будущий график SHAP не подтверждают корректность прогноза; никогда не превращать их в медицинский совет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03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L12; Finlayson et al., 2021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476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Неприменимо; собственной регрессионной метрики нет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35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Перенос между средами требует мониторинга данных, качества и процесса обновления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20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Не измеряет частоты ошибок MedPredict и не задаёт конкретный порог дрейфа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49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Версионирование модели, единиц и предобработки; границы популяции и план проверки после интеграции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Style w:val="754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4. Документация данных и инженерные основания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Официальные источники. Они не считаются научными статьями.</w:t>
      </w:r>
      <w:r/>
    </w:p>
    <w:p>
      <w:pPr>
        <w:keepNext w:val="true"/>
        <w:pBdr/>
        <w:spacing w:after="80" w:before="160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Таблица 2. Официальные источники</w:t>
      </w:r>
      <w:r/>
    </w:p>
    <w:tbl>
      <w:tblPr>
        <w:tblW w:w="1457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22"/>
        <w:gridCol w:w="4079"/>
        <w:gridCol w:w="4225"/>
        <w:gridCol w:w="3644"/>
      </w:tblGrid>
      <w:tr>
        <w:trPr>
          <w:cantSplit/>
          <w:tblHeader/>
        </w:trPr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22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ID; источник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7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Проверенное содержание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22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Следствие для проектирования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64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6"/>
                <w:szCs w:val="16"/>
              </w:rPr>
              <w:t xml:space="preserve">Граница применимости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22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L13; scikit-learn, набор Diabetes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7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442 наблюдения, 10 исходных признаков; числовая цель через год. Стандартный загрузчик возвращает центрированные и масштабированные признаки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22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Для M1 зафиксировать версию загрузчика, представление признаков и шкалу цели; ввод в обычных единицах требует подтверждённого преобразования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64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Небольшой учебный набор не задаёт клиническую шкалу, достаточность пяти полей формы или применимость к новым пациентам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22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L14; CDC / NCHS, NHANES P_BPXO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7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Три последовательных осциллометрических измерения; описаны протокол, пропуски и особые веса объединённого цикла 2017 — март 2020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22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Для M2 заранее определить исход (например, правило агрегирования доступных измерений), анализ пропусков, объединение по участнику и дизайн опроса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64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Публичный кодбук не утверждает этот цикл для проекта; наблюдаемый диапазон столбца не является медицинским пределом ввода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22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L15; PhysioNet, Curated Data for Describing Blood Glucose Management in the ICU v1.0.1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7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Производные ряды глюкозы и инсулина MIMIC-III; доступ по аккредитации. Это EHR реанимации, а не амбулаторный непрерывный мониторинг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22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Один проверенный кандидат для оценки реализуемости M3: изучить регулярность, полноту, единицы, доступ и окно наблюдения до выбора горизонта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64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Набор данных не выбран и не загружен. Наличие временных рядов ещё не доказывает пригодность для короткого равномерного горизонта; доступ команды не подтверждён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22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L16; ONNX Runtime, Java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7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Запуск модели ONNX через привязку Java официально поддерживается; описаны имена, формы, типы и жизненный цикл ресурсов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22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Технически возможный путь к Spring Boot после проверки экспорта конкретной модели и идентичности предобработки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64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Документация не гарантирует совместимость любого MLP / LSTM, равенство Python / Java или выигрыш в скорости без проверок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622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L17; WHO, 2021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07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Руководство по этике и управлению ИИ в здравоохранении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225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Прозрачное назначение, границы, ответственность и защита данных должны сопровождать результат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644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6"/>
                <w:szCs w:val="16"/>
              </w:rPr>
              <w:t xml:space="preserve">Не медицинские диапазоны, не лицензия на набор данных и не доказательство клинической эффективности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Для да</w:t>
      </w:r>
      <w:r>
        <w:rPr>
          <w:rFonts w:ascii="Calibri" w:hAnsi="Calibri" w:eastAsia="Calibri" w:cs="Calibri"/>
        </w:rPr>
        <w:t xml:space="preserve">нных PhysioNet с аккредитованным доступом официальный FAQ требует индивидуальной аккредитации, пройденного обучения и соглашения об использовании данных. Фразу «общедоступные данные» в статье нельзя понимать как свободное распространение записей на GitHub.</w:t>
      </w:r>
      <w:r/>
    </w:p>
    <w:p>
      <w:pPr>
        <w:pBdr/>
        <w:spacing/>
        <w:ind/>
        <w:rPr/>
        <w:sectPr>
          <w:footerReference w:type="default" r:id="rId10"/>
          <w:footnotePr/>
          <w:endnotePr/>
          <w:type w:val="nextPage"/>
          <w:pgSz w:h="11906" w:orient="landscape" w:w="16838"/>
          <w:pgMar w:top="1134" w:right="1134" w:bottom="1134" w:left="1134" w:header="708" w:footer="708" w:gutter="0"/>
          <w:cols w:num="1" w:sep="0" w:space="1701" w:equalWidth="1"/>
        </w:sectPr>
      </w:pPr>
      <w:r/>
      <w:r/>
    </w:p>
    <w:p>
      <w:pPr>
        <w:pStyle w:val="754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5. Критический синтез</w:t>
      </w:r>
      <w:r/>
    </w:p>
    <w:p>
      <w:pPr>
        <w:pStyle w:val="755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5.1 Одна тема, три разные статистические задачи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M1 изучает заданный числовой исход через год; M2 оценивает текущее систолическое АД на одномоментных данных; M3 прогнозировал бы по прошлой последовательности. Их нельзя объединять в единую «точность MedPredict». Необходимо вести отдельные п</w:t>
      </w:r>
      <w:r>
        <w:rPr>
          <w:rFonts w:ascii="Calibri" w:hAnsi="Calibri" w:eastAsia="Calibri" w:cs="Calibri"/>
        </w:rPr>
        <w:t xml:space="preserve">аспорта данных, единицы, схемы валидации и версии моделей. Систолическое АД в M2 не становится прогнозом будущего только потому, что библиотека или статья использует слово «prediction». Аналогично цель M1 не становится вероятностью диабета (L01, L13, L14).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Работы L03 и L04 показывают разные популяции и наборы признаков даже при одинаковом названии исхода. Их результаты полезны для проектирования сравнения, но не оправд</w:t>
      </w:r>
      <w:r>
        <w:rPr>
          <w:rFonts w:ascii="Calibri" w:hAnsi="Calibri" w:eastAsia="Calibri" w:cs="Calibri"/>
        </w:rPr>
        <w:t xml:space="preserve">ывают перенос ошибки на NHANES или на население Казахстана. В отобранных источниках мы не нашли подтверждения точного сценария текущей формы из пяти полей; это утверждение об ограниченном наборе данного обзора, а не об отсутствии таких исследований вообще.</w:t>
      </w:r>
      <w:r/>
    </w:p>
    <w:p>
      <w:pPr>
        <w:pStyle w:val="755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5.2 Нейронная сеть — кандидат для проверки, а не заранее объявленный победитель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Формулировка темы диплома требует изучать нейросетевые методы, но не объявлять их превосходство. Табличный бенчмарк (L02) поддерживает честное сравнение. Для M1 малый размер набора делает особенно важными регуляризацию, умеренный MLP и к</w:t>
      </w:r>
      <w:r>
        <w:rPr>
          <w:rFonts w:ascii="Calibri" w:hAnsi="Calibri" w:eastAsia="Calibri" w:cs="Calibri"/>
        </w:rPr>
        <w:t xml:space="preserve">онтроль переобучения; для M2 архитектуру задаёт реальная доступность признаков. Предлагаются одинаковые наблюдения для обучения и валидации у базового метода и сети, а также сопоставимый бюджет настройки. Это проектные решения; эксперименты не выполнялись.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Обучение и настройку необходимо отделять от итогового теста. Преобразования, оценённые на всей выборке до разбиения, могут передать информацию из валидации в обучение. Стандартное масштабированное представление учебного набора Diabetes требует п</w:t>
      </w:r>
      <w:r>
        <w:rPr>
          <w:rFonts w:ascii="Calibri" w:hAnsi="Calibri" w:eastAsia="Calibri" w:cs="Calibri"/>
        </w:rPr>
        <w:t xml:space="preserve">розрачного описания; для собственного конвейера следует зафиксировать исходное представление и подбирать преобразования только на обучающей части. Ни высокая точность на обучении, ни удачное начальное значение генератора не доказывают обобщение (L08, L09).</w:t>
      </w:r>
      <w:r/>
    </w:p>
    <w:p>
      <w:pPr>
        <w:pStyle w:val="755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5.3 Продольные данные не взаимозаменяемы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Последовательности CGM (L05) и клинические измерения реанимации (L06, L15) различаются по частоте, пропускам, лечению и популяции. Поэтому горизонт из статьи по OhioT1DM нельзя автоматически назначить кандидату PhysioNet. Для M3 снач</w:t>
      </w:r>
      <w:r>
        <w:rPr>
          <w:rFonts w:ascii="Calibri" w:hAnsi="Calibri" w:eastAsia="Calibri" w:cs="Calibri"/>
        </w:rPr>
        <w:t xml:space="preserve">ала проверяются доступ, измерения во времени и объём истории, и только затем утверждаются входное окно, горизонт и правила построения примеров. Если подходящей истории недостаточно, модуль остаётся исследовательским направлением без заявленного результата.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При вре</w:t>
      </w:r>
      <w:r>
        <w:rPr>
          <w:rFonts w:ascii="Calibri" w:hAnsi="Calibri" w:eastAsia="Calibri" w:cs="Calibri"/>
        </w:rPr>
        <w:t xml:space="preserve">менной валидации входное окно заканчивается до целевого значения; будущие данные не участвуют в заполнении пропусков на тесте. Перекрывающиеся окна и повторяющиеся записи требуют контроля границ разбиения. Необходимо также отдельно определить сценарий: про</w:t>
      </w:r>
      <w:r>
        <w:rPr>
          <w:rFonts w:ascii="Calibri" w:hAnsi="Calibri" w:eastAsia="Calibri" w:cs="Calibri"/>
        </w:rPr>
        <w:t xml:space="preserve">гноз для известных участников и перенос на новых людей; они дают разные доказательства. Подход «учитель–ученик» (L05) показывает разницу между информацией на этапе обучения и на этапе вывода, но такая сложность не нужна для первого эксперимента MedPredict.</w:t>
      </w:r>
      <w:r/>
    </w:p>
    <w:p>
      <w:pPr>
        <w:pStyle w:val="755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5.4 Ошибка, калибровка и перенос отвечают на разные вопросы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Для планируемых непрерывных исходов предлагаются MAE и RMSE в шкале цели, R², систематическое смещение и графики наблюдаемых и предсказанных значений. Для M2 единица — мм рт. ст.; для M1 необходимо использовать корректное</w:t>
      </w:r>
      <w:r>
        <w:rPr>
          <w:rFonts w:ascii="Calibri" w:hAnsi="Calibri" w:eastAsia="Calibri" w:cs="Calibri"/>
        </w:rPr>
        <w:t xml:space="preserve"> название шкалы исходного набора данных; для M3 единица и горизонт указываются при каждой оценке. Снижение ошибки относительно базового метода проверяется на одной схеме разбиения. Числовые допуски MedPredict не задаются до их согласования (L04, L09, L10).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Случайное отложение оценивает только соответствующий внутренний сценарий. Независимая проверка в другой популяции или периоде требует релевантных н</w:t>
      </w:r>
      <w:r>
        <w:rPr>
          <w:rFonts w:ascii="Calibri" w:hAnsi="Calibri" w:eastAsia="Calibri" w:cs="Calibri"/>
        </w:rPr>
        <w:t xml:space="preserve">овых данных и фиксированной модели; её нельзя заменить переобучением на «внешней» выборке (L10). Неопределённость и ошибки в важных группах необходимо описывать по достаточности данных. Низкая средняя ошибка не подтверждает безопасность для редких случаев.</w:t>
      </w:r>
      <w:r/>
    </w:p>
    <w:p>
      <w:pPr>
        <w:pStyle w:val="755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5.5 Объяснение и инженерная интеграция не заменяют научную оценку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Прозрачность означает, что можно узнать назначение, признаки, шкалу, версию и границы </w:t>
      </w:r>
      <w:r>
        <w:rPr>
          <w:rFonts w:ascii="Calibri" w:hAnsi="Calibri" w:eastAsia="Calibri" w:cs="Calibri"/>
        </w:rPr>
        <w:t xml:space="preserve">ответа. График локального объяснения сам по себе не подтверждает корректность конкретного прогноза (L11). На данном этапе научно корректнее показывать понятный паспорт модели и результаты согласованного сравнения, чем обещать объяснения причин заболевания.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При переходе на Ja</w:t>
      </w:r>
      <w:r>
        <w:rPr>
          <w:rFonts w:ascii="Calibri" w:hAnsi="Calibri" w:eastAsia="Calibri" w:cs="Calibri"/>
        </w:rPr>
        <w:t xml:space="preserve">va необходимо сохранить порядок признаков, кодирование, единицы, импутацию и масштабирование. ONNX Runtime (L16) подтверждает, что инженерный вариант существует, но не готовность экспорта моделей MedPredict. Команда должна сравнить выходы Python и Java на </w:t>
      </w:r>
      <w:r>
        <w:rPr>
          <w:rFonts w:ascii="Calibri" w:hAnsi="Calibri" w:eastAsia="Calibri" w:cs="Calibri"/>
        </w:rPr>
        <w:t xml:space="preserve">фиксированных синтетических входах с допуском, заданным заранее. Успешный HTTP-ответ и совпадение сред выполнения подтверждают техническую согласованность, а не клиническую полезность. Изменения данных после интеграции требуют отдельного мониторинга (L12).</w:t>
      </w:r>
      <w:r/>
    </w:p>
    <w:p>
      <w:pPr>
        <w:pStyle w:val="755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5.6 Исследовательский вклад должен следовать из выполненной работы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Обоснованный вклад MedPredict — воспроизводимая организация трёх разных задач в одной архитектуре, сравнение нейронной сети с базовым методом для каждого реализованного модуля и корректное представление границ. Новизна этого вкл</w:t>
      </w:r>
      <w:r>
        <w:rPr>
          <w:rFonts w:ascii="Calibri" w:hAnsi="Calibri" w:eastAsia="Calibri" w:cs="Calibri"/>
        </w:rPr>
        <w:t xml:space="preserve">ада экспериментально пока не установлена. Создание интерфейса, использование MLP / LSTM или объединение известных библиотек не доказывает научную новизну, превосходство или клиническую пригодность. Отчётность должна следовать L07, критическая оценка — L08.</w:t>
      </w:r>
      <w:r/>
    </w:p>
    <w:p>
      <w:pPr>
        <w:pStyle w:val="754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6. Решения, необходимые до обучения</w:t>
      </w:r>
      <w:r/>
    </w:p>
    <w:p>
      <w:pPr>
        <w:keepNext w:val="true"/>
        <w:pBdr/>
        <w:spacing w:after="80" w:before="160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Таблица 3. Следствия обзора для будущего протокола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91"/>
        <w:gridCol w:w="3662"/>
        <w:gridCol w:w="1927"/>
        <w:gridCol w:w="1158"/>
      </w:tblGrid>
      <w:tr>
        <w:trPr>
          <w:cantSplit/>
          <w:tblHeader/>
        </w:trPr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Решение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662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Минимальное подтверждение завершения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Ответственные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15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Состояние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Паспорт M1: загрузка, цель, 10 исходных признаков, преобразования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662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Согласованный паспорт и воспроизводимый код загрузки данных; проверенное название цели без диагностического прочтения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Али; руководитель; Санат — представление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15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Требуется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Паспорт M2: цикл NHANES, популяция, исход, признаки, лекарства, пропуски и дизайн опроса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662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Явная схема извлечения / объединения и правило цели; термин «оценка АД»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Али; руководитель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15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Требуется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Реализуемость M3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662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Подтверждённый законный доступ; анализ меток времени и частоты; утверждённые окно, горизонт, единицы и разбиение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Али; руководитель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15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Требуется; набор данных и горизонт не утверждены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Одна честная оценка базового метода и сети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662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Протокол до тестовой выборки; преобразования внутри train; независимая оценка и неопределённость; без придуманных порогов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Али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15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Не выполнено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Подход к интеграции и защита от расхождения предобработки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662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Согласованный контракт; зафиксированные артефакты; тесты равенства Python / Java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Оралхан и Али; Санат — представление API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15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Предложено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Корректное описание результата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3662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Указаны модуль, единицы, версия, область применимости и учебный статус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7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Санат, Али, Оралхан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15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Проверять для каждого будущего модуля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Рекомендуемый порядок: сначала полный воспроизводимый M1, затем M2 с паспортом NHANES, </w:t>
      </w:r>
      <w:r>
        <w:rPr>
          <w:rFonts w:ascii="Calibri" w:hAnsi="Calibri" w:eastAsia="Calibri" w:cs="Calibri"/>
        </w:rPr>
        <w:t xml:space="preserve">затем решение о реализуемости M3. Это стратегия снижения неопределённости; даты и результаты обучения не представляются как факты. Отсутствие преимущества MLP над базовым методом — допустимый исследовательский результат, и его необходимо показать в отчёте.</w:t>
      </w:r>
      <w:r/>
    </w:p>
    <w:p>
      <w:pPr>
        <w:pStyle w:val="754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7. Библиография и проверка источников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Все запи</w:t>
      </w:r>
      <w:r>
        <w:rPr>
          <w:rFonts w:ascii="Calibri" w:hAnsi="Calibri" w:eastAsia="Calibri" w:cs="Calibri"/>
        </w:rPr>
        <w:t xml:space="preserve">си проверены 16 октября 2026 г. DOI указывает на стабильную библиографическую запись; дополнительные URL указывают на текст или официальную документацию, которые использовались. Данные PubMed относятся к исходной публикации, а не к отдельному исследованию.</w:t>
      </w:r>
      <w:r/>
    </w:p>
    <w:p>
      <w:pPr>
        <w:pStyle w:val="746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[L01]</w:t>
      </w:r>
      <w:r>
        <w:rPr>
          <w:rFonts w:ascii="Calibri" w:hAnsi="Calibri" w:eastAsia="Calibri" w:cs="Calibri"/>
        </w:rPr>
        <w:t xml:space="preserve"> Efron B., Hastie T., Johnstone I., Tibshirani R. Least angle regression. </w:t>
      </w:r>
      <w:r>
        <w:rPr>
          <w:rFonts w:ascii="Calibri" w:hAnsi="Calibri" w:eastAsia="Calibri" w:cs="Calibri"/>
          <w:i/>
          <w:iCs/>
        </w:rPr>
        <w:t xml:space="preserve">The Annals of Statistics</w:t>
      </w:r>
      <w:r>
        <w:rPr>
          <w:rFonts w:ascii="Calibri" w:hAnsi="Calibri" w:eastAsia="Calibri" w:cs="Calibri"/>
        </w:rPr>
        <w:t xml:space="preserve">. 2004;32(2):407-451. DOI: 10.1214/009053604000000067.</w:t>
      </w:r>
      <w:r/>
    </w:p>
    <w:p>
      <w:pPr>
        <w:pStyle w:val="746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[L02]</w:t>
      </w:r>
      <w:r>
        <w:rPr>
          <w:rFonts w:ascii="Calibri" w:hAnsi="Calibri" w:eastAsia="Calibri" w:cs="Calibri"/>
        </w:rPr>
        <w:t xml:space="preserve"> Grinsztajn L., Oyallon E., Varoquaux G. Why do tree-based models still outperform deep learning on typical tabular data? </w:t>
      </w:r>
      <w:r>
        <w:rPr>
          <w:rFonts w:ascii="Calibri" w:hAnsi="Calibri" w:eastAsia="Calibri" w:cs="Calibri"/>
          <w:i/>
          <w:iCs/>
        </w:rPr>
        <w:t xml:space="preserve">Advances in Neural Information Processing Systems</w:t>
      </w:r>
      <w:r>
        <w:rPr>
          <w:rFonts w:ascii="Calibri" w:hAnsi="Calibri" w:eastAsia="Calibri" w:cs="Calibri"/>
        </w:rPr>
        <w:t xml:space="preserve">. 2022;35:507-520. Официальные труды NeurIPS.</w:t>
      </w:r>
      <w:r/>
    </w:p>
    <w:p>
      <w:pPr>
        <w:pStyle w:val="746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[L03]</w:t>
      </w:r>
      <w:r>
        <w:rPr>
          <w:rFonts w:ascii="Calibri" w:hAnsi="Calibri" w:eastAsia="Calibri" w:cs="Calibri"/>
        </w:rPr>
        <w:t xml:space="preserve"> Hrytsenko Y., Shea B., Elgart M., et al. Machine learning models for predicting blood pressure phenotypes by combining multiple polygenic risk scores. </w:t>
      </w:r>
      <w:r>
        <w:rPr>
          <w:rFonts w:ascii="Calibri" w:hAnsi="Calibri" w:eastAsia="Calibri" w:cs="Calibri"/>
          <w:i/>
          <w:iCs/>
        </w:rPr>
        <w:t xml:space="preserve">Scientific Reports</w:t>
      </w:r>
      <w:r>
        <w:rPr>
          <w:rFonts w:ascii="Calibri" w:hAnsi="Calibri" w:eastAsia="Calibri" w:cs="Calibri"/>
        </w:rPr>
        <w:t xml:space="preserve">. 2024;14:12436. DOI: 10.1038/s41598-024-62945-9.</w:t>
      </w:r>
      <w:r/>
    </w:p>
    <w:p>
      <w:pPr>
        <w:pStyle w:val="746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[L04]</w:t>
      </w:r>
      <w:r>
        <w:rPr>
          <w:rFonts w:ascii="Calibri" w:hAnsi="Calibri" w:eastAsia="Calibri" w:cs="Calibri"/>
        </w:rPr>
        <w:t xml:space="preserve"> Najafi-Vosough R., Faradmal J., Hosseini S.K., Moghimbeigi A., Mahjub H. Longitudinal machine learning model for predicting systolic blood pressure in patients with heart failure. </w:t>
      </w:r>
      <w:r>
        <w:rPr>
          <w:rFonts w:ascii="Calibri" w:hAnsi="Calibri" w:eastAsia="Calibri" w:cs="Calibri"/>
          <w:i/>
          <w:iCs/>
        </w:rPr>
        <w:t xml:space="preserve">Journal of Preventive Medicine and Hygiene</w:t>
      </w:r>
      <w:r>
        <w:rPr>
          <w:rFonts w:ascii="Calibri" w:hAnsi="Calibri" w:eastAsia="Calibri" w:cs="Calibri"/>
        </w:rPr>
        <w:t xml:space="preserve">. 2023;64(2):E226-E231. DOI: 10.15167/2421-4248/jpmh2023.64.2.2887.</w:t>
      </w:r>
      <w:r/>
    </w:p>
    <w:p>
      <w:pPr>
        <w:pStyle w:val="746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[L05]</w:t>
      </w:r>
      <w:r>
        <w:rPr>
          <w:rFonts w:ascii="Calibri" w:hAnsi="Calibri" w:eastAsia="Calibri" w:cs="Calibri"/>
        </w:rPr>
        <w:t xml:space="preserve"> Sun X., Li H., Yu X. Future-aware blood glucose forecasting using knowledge distillation with transformer-based sequence-to-sequence models. </w:t>
      </w:r>
      <w:r>
        <w:rPr>
          <w:rFonts w:ascii="Calibri" w:hAnsi="Calibri" w:eastAsia="Calibri" w:cs="Calibri"/>
          <w:i/>
          <w:iCs/>
        </w:rPr>
        <w:t xml:space="preserve">Scientific Reports</w:t>
      </w:r>
      <w:r>
        <w:rPr>
          <w:rFonts w:ascii="Calibri" w:hAnsi="Calibri" w:eastAsia="Calibri" w:cs="Calibri"/>
        </w:rPr>
        <w:t xml:space="preserve">. 2026;16:11404. Опубликовано 28 февраля 2026 г. DOI: 10.1038/s41598-026-41787-7.</w:t>
      </w:r>
      <w:r/>
    </w:p>
    <w:p>
      <w:pPr>
        <w:pStyle w:val="746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[L06]</w:t>
      </w:r>
      <w:r>
        <w:rPr>
          <w:rFonts w:ascii="Calibri" w:hAnsi="Calibri" w:eastAsia="Calibri" w:cs="Calibri"/>
        </w:rPr>
        <w:t xml:space="preserve"> Robles Arévalo A., Maley J.H., Baker L., et al. Data-driven curation process for describing the blood glucose management in the intensive care unit. </w:t>
      </w:r>
      <w:r>
        <w:rPr>
          <w:rFonts w:ascii="Calibri" w:hAnsi="Calibri" w:eastAsia="Calibri" w:cs="Calibri"/>
          <w:i/>
          <w:iCs/>
        </w:rPr>
        <w:t xml:space="preserve">Scientific Data</w:t>
      </w:r>
      <w:r>
        <w:rPr>
          <w:rFonts w:ascii="Calibri" w:hAnsi="Calibri" w:eastAsia="Calibri" w:cs="Calibri"/>
        </w:rPr>
        <w:t xml:space="preserve">. 2021;8:80. DOI: 10.1038/s41597-021-00864-4.</w:t>
      </w:r>
      <w:r/>
    </w:p>
    <w:p>
      <w:pPr>
        <w:pStyle w:val="746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[L07]</w:t>
      </w:r>
      <w:r>
        <w:rPr>
          <w:rFonts w:ascii="Calibri" w:hAnsi="Calibri" w:eastAsia="Calibri" w:cs="Calibri"/>
        </w:rPr>
        <w:t xml:space="preserve"> Collins G.S., Moons K.G.M., Dhiman P., et al. TRIPOD+AI statement: updated guidance for reporting clinical prediction models that use regression or machine learning methods. </w:t>
      </w:r>
      <w:r>
        <w:rPr>
          <w:rFonts w:ascii="Calibri" w:hAnsi="Calibri" w:eastAsia="Calibri" w:cs="Calibri"/>
          <w:i/>
          <w:iCs/>
        </w:rPr>
        <w:t xml:space="preserve">BMJ</w:t>
      </w:r>
      <w:r>
        <w:rPr>
          <w:rFonts w:ascii="Calibri" w:hAnsi="Calibri" w:eastAsia="Calibri" w:cs="Calibri"/>
        </w:rPr>
        <w:t xml:space="preserve">. 2024;385:e078378. DOI: 10.1136/bmj-2023-078378.</w:t>
      </w:r>
      <w:r/>
    </w:p>
    <w:p>
      <w:pPr>
        <w:pStyle w:val="746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[L08]</w:t>
      </w:r>
      <w:r>
        <w:rPr>
          <w:rFonts w:ascii="Calibri" w:hAnsi="Calibri" w:eastAsia="Calibri" w:cs="Calibri"/>
        </w:rPr>
        <w:t xml:space="preserve"> Moons K.G.M., Damen J.A.A., Kaul T., et al. PROBAST+AI: an updated quality, risk of bias, and applicability assessment tool for prediction models using regression or artificial intelligence methods. </w:t>
      </w:r>
      <w:r>
        <w:rPr>
          <w:rFonts w:ascii="Calibri" w:hAnsi="Calibri" w:eastAsia="Calibri" w:cs="Calibri"/>
          <w:i/>
          <w:iCs/>
        </w:rPr>
        <w:t xml:space="preserve">BMJ</w:t>
      </w:r>
      <w:r>
        <w:rPr>
          <w:rFonts w:ascii="Calibri" w:hAnsi="Calibri" w:eastAsia="Calibri" w:cs="Calibri"/>
        </w:rPr>
        <w:t xml:space="preserve">. 2025;388:e082505. DOI: 10.1136/bmj-2024-082505.</w:t>
      </w:r>
      <w:r/>
    </w:p>
    <w:p>
      <w:pPr>
        <w:pStyle w:val="746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[L09]</w:t>
      </w:r>
      <w:r>
        <w:rPr>
          <w:rFonts w:ascii="Calibri" w:hAnsi="Calibri" w:eastAsia="Calibri" w:cs="Calibri"/>
        </w:rPr>
        <w:t xml:space="preserve"> Efthimiou O., Seo M., Chalkou K., Debray T., Egger M., Salanti G. Developing clinical prediction models: a step-by-step guide. </w:t>
      </w:r>
      <w:r>
        <w:rPr>
          <w:rFonts w:ascii="Calibri" w:hAnsi="Calibri" w:eastAsia="Calibri" w:cs="Calibri"/>
          <w:i/>
          <w:iCs/>
        </w:rPr>
        <w:t xml:space="preserve">BMJ</w:t>
      </w:r>
      <w:r>
        <w:rPr>
          <w:rFonts w:ascii="Calibri" w:hAnsi="Calibri" w:eastAsia="Calibri" w:cs="Calibri"/>
        </w:rPr>
        <w:t xml:space="preserve">. 2024;386:e078276. DOI: 10.1136/bmj-2023-078276. PubMed 39227063.</w:t>
      </w:r>
      <w:r/>
    </w:p>
    <w:p>
      <w:pPr>
        <w:pStyle w:val="746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[L10]</w:t>
      </w:r>
      <w:r>
        <w:rPr>
          <w:rFonts w:ascii="Calibri" w:hAnsi="Calibri" w:eastAsia="Calibri" w:cs="Calibri"/>
        </w:rPr>
        <w:t xml:space="preserve"> Riley R.D., Archer L., Snell K.I.E., et al. Evaluation of clinical prediction models (part 2): how to undertake an external validation study. </w:t>
      </w:r>
      <w:r>
        <w:rPr>
          <w:rFonts w:ascii="Calibri" w:hAnsi="Calibri" w:eastAsia="Calibri" w:cs="Calibri"/>
          <w:i/>
          <w:iCs/>
        </w:rPr>
        <w:t xml:space="preserve">BMJ</w:t>
      </w:r>
      <w:r>
        <w:rPr>
          <w:rFonts w:ascii="Calibri" w:hAnsi="Calibri" w:eastAsia="Calibri" w:cs="Calibri"/>
        </w:rPr>
        <w:t xml:space="preserve">. 2024;384:e074820. DOI: 10.1136/bmj-2023-074820. PubMed 38224968.</w:t>
      </w:r>
      <w:r/>
    </w:p>
    <w:p>
      <w:pPr>
        <w:pStyle w:val="746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[L11]</w:t>
      </w:r>
      <w:r>
        <w:rPr>
          <w:rFonts w:ascii="Calibri" w:hAnsi="Calibri" w:eastAsia="Calibri" w:cs="Calibri"/>
        </w:rPr>
        <w:t xml:space="preserve"> Ghassemi M., Oakden-Rayner L., Beam A.L. The false hope of current approaches to explainable artificial intelligence in health care. </w:t>
      </w:r>
      <w:r>
        <w:rPr>
          <w:rFonts w:ascii="Calibri" w:hAnsi="Calibri" w:eastAsia="Calibri" w:cs="Calibri"/>
          <w:i/>
          <w:iCs/>
        </w:rPr>
        <w:t xml:space="preserve">The Lancet Digital Health</w:t>
      </w:r>
      <w:r>
        <w:rPr>
          <w:rFonts w:ascii="Calibri" w:hAnsi="Calibri" w:eastAsia="Calibri" w:cs="Calibri"/>
        </w:rPr>
        <w:t xml:space="preserve">. 2021;3(11):e745-e750. DOI: 10.1016/S2589-7500(21)00208-9. PubMed 34711379.</w:t>
      </w:r>
      <w:r/>
    </w:p>
    <w:p>
      <w:pPr>
        <w:pStyle w:val="746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[L12]</w:t>
      </w:r>
      <w:r>
        <w:rPr>
          <w:rFonts w:ascii="Calibri" w:hAnsi="Calibri" w:eastAsia="Calibri" w:cs="Calibri"/>
        </w:rPr>
        <w:t xml:space="preserve"> Finlayson S.G., Subbaswamy A., Singh K., et al. The Clinician and Dataset Shift in Artificial Intelligence. </w:t>
      </w:r>
      <w:r>
        <w:rPr>
          <w:rFonts w:ascii="Calibri" w:hAnsi="Calibri" w:eastAsia="Calibri" w:cs="Calibri"/>
          <w:i/>
          <w:iCs/>
        </w:rPr>
        <w:t xml:space="preserve">The New England Journal of Medicine</w:t>
      </w:r>
      <w:r>
        <w:rPr>
          <w:rFonts w:ascii="Calibri" w:hAnsi="Calibri" w:eastAsia="Calibri" w:cs="Calibri"/>
        </w:rPr>
        <w:t xml:space="preserve">. 2021;385:283-286. DOI: 10.1056/NEJMc2104626. Тип публикации: Correspondence.</w:t>
      </w:r>
      <w:r/>
    </w:p>
    <w:p>
      <w:pPr>
        <w:pStyle w:val="746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[L13]</w:t>
      </w:r>
      <w:r>
        <w:rPr>
          <w:rFonts w:ascii="Calibri" w:hAnsi="Calibri" w:eastAsia="Calibri" w:cs="Calibri"/>
        </w:rPr>
        <w:t xml:space="preserve"> scikit-learn developers. </w:t>
      </w:r>
      <w:r>
        <w:rPr>
          <w:rFonts w:ascii="Calibri" w:hAnsi="Calibri" w:eastAsia="Calibri" w:cs="Calibri"/>
          <w:i/>
          <w:iCs/>
        </w:rPr>
        <w:t xml:space="preserve">Diabetes dataset; load_diabetes</w:t>
      </w:r>
      <w:r>
        <w:rPr>
          <w:rFonts w:ascii="Calibri" w:hAnsi="Calibri" w:eastAsia="Calibri" w:cs="Calibri"/>
        </w:rPr>
        <w:t xml:space="preserve">. Документация проекта (scikit-learn.org, toy datasets).</w:t>
      </w:r>
      <w:r/>
    </w:p>
    <w:p>
      <w:pPr>
        <w:pStyle w:val="746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[L14]</w:t>
      </w:r>
      <w:r>
        <w:rPr>
          <w:rFonts w:ascii="Calibri" w:hAnsi="Calibri" w:eastAsia="Calibri" w:cs="Calibri"/>
        </w:rPr>
        <w:t xml:space="preserve"> CDC / NCHS. </w:t>
      </w:r>
      <w:r>
        <w:rPr>
          <w:rFonts w:ascii="Calibri" w:hAnsi="Calibri" w:eastAsia="Calibri" w:cs="Calibri"/>
          <w:i/>
          <w:iCs/>
        </w:rPr>
        <w:t xml:space="preserve">NHANES 2017-March 2020 Data Documentation, Codebook, and Frequencies: Blood Pressure, Oscillometric Measurement (P_BPXO).</w:t>
      </w:r>
      <w:r>
        <w:rPr>
          <w:rFonts w:ascii="Calibri" w:hAnsi="Calibri" w:eastAsia="Calibri" w:cs="Calibri"/>
        </w:rPr>
        <w:t xml:space="preserve"> Первая публикация — май 2021 г. wwwn.cdc.gov/Nchs/Data/Nhanes/Public/2017/DataFiles/P_BPXO.htm</w:t>
      </w:r>
      <w:r/>
    </w:p>
    <w:p>
      <w:pPr>
        <w:pStyle w:val="746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[L15]</w:t>
      </w:r>
      <w:r>
        <w:rPr>
          <w:rFonts w:ascii="Calibri" w:hAnsi="Calibri" w:eastAsia="Calibri" w:cs="Calibri"/>
        </w:rPr>
        <w:t xml:space="preserve"> Robles Arévalo A., Mateo-Collado R., Celi L.A. </w:t>
      </w:r>
      <w:r>
        <w:rPr>
          <w:rFonts w:ascii="Calibri" w:hAnsi="Calibri" w:eastAsia="Calibri" w:cs="Calibri"/>
          <w:i/>
          <w:iCs/>
        </w:rPr>
        <w:t xml:space="preserve">Curated Data for Describing Blood Glucose Management in the Intensive Care Unit</w:t>
      </w:r>
      <w:r>
        <w:rPr>
          <w:rFonts w:ascii="Calibri" w:hAnsi="Calibri" w:eastAsia="Calibri" w:cs="Calibri"/>
        </w:rPr>
        <w:t xml:space="preserve">, версия 1.0.1. PhysioNet, 19 апреля 2021 г. DOI: 10.13026/517s-2q57. Условия доступа по аккредитации взяты из официального FAQ PhysioNet. Набор данных и статья L06 — разные типы источников, а не два независимых доказательства точности.</w:t>
      </w:r>
      <w:r/>
    </w:p>
    <w:p>
      <w:pPr>
        <w:pStyle w:val="746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[L16]</w:t>
      </w:r>
      <w:r>
        <w:rPr>
          <w:rFonts w:ascii="Calibri" w:hAnsi="Calibri" w:eastAsia="Calibri" w:cs="Calibri"/>
        </w:rPr>
        <w:t xml:space="preserve"> ONNX Runtime contributors. </w:t>
      </w:r>
      <w:r>
        <w:rPr>
          <w:rFonts w:ascii="Calibri" w:hAnsi="Calibri" w:eastAsia="Calibri" w:cs="Calibri"/>
          <w:i/>
          <w:iCs/>
        </w:rPr>
        <w:t xml:space="preserve">Get Started with ORT for Java.</w:t>
      </w:r>
      <w:r>
        <w:rPr>
          <w:rFonts w:ascii="Calibri" w:hAnsi="Calibri" w:eastAsia="Calibri" w:cs="Calibri"/>
        </w:rPr>
        <w:t xml:space="preserve"> onnxruntime.ai/docs/get-started/with-java.html</w:t>
      </w:r>
      <w:r/>
    </w:p>
    <w:p>
      <w:pPr>
        <w:pStyle w:val="746"/>
        <w:numPr>
          <w:ilvl w:val="0"/>
          <w:numId w:val="2"/>
        </w:numPr>
        <w:pBdr/>
        <w:spacing w:after="60" w:line="264" w:lineRule="auto"/>
        <w:ind/>
        <w:rPr/>
      </w:pPr>
      <w:r>
        <w:rPr>
          <w:rFonts w:ascii="Calibri" w:hAnsi="Calibri" w:eastAsia="Calibri" w:cs="Calibri"/>
          <w:b/>
          <w:bCs/>
        </w:rPr>
        <w:t xml:space="preserve">[L17]</w:t>
      </w:r>
      <w:r>
        <w:rPr>
          <w:rFonts w:ascii="Calibri" w:hAnsi="Calibri" w:eastAsia="Calibri" w:cs="Calibri"/>
        </w:rPr>
        <w:t xml:space="preserve"> World Health Organization. </w:t>
      </w:r>
      <w:r>
        <w:rPr>
          <w:rFonts w:ascii="Calibri" w:hAnsi="Calibri" w:eastAsia="Calibri" w:cs="Calibri"/>
          <w:i/>
          <w:iCs/>
        </w:rPr>
        <w:t xml:space="preserve">Ethics and governance of artificial intelligence for health: WHO guidance.</w:t>
      </w:r>
      <w:r>
        <w:rPr>
          <w:rFonts w:ascii="Calibri" w:hAnsi="Calibri" w:eastAsia="Calibri" w:cs="Calibri"/>
        </w:rPr>
        <w:t xml:space="preserve"> Geneva: WHO; 2021. ISBN 9789240029200.</w:t>
      </w:r>
      <w:r/>
    </w:p>
    <w:p>
      <w:pPr>
        <w:pStyle w:val="754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8. Журнал поиска и границы обзора</w:t>
      </w:r>
      <w:r/>
    </w:p>
    <w:p>
      <w:pPr>
        <w:keepNext w:val="true"/>
        <w:pBdr/>
        <w:spacing w:after="80" w:before="160"/>
        <w:ind/>
        <w:rPr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Таблица 4. Основные направления поиска, фактически использованные 16 октября 2026 г.</w:t>
      </w:r>
      <w:r/>
    </w:p>
    <w:tbl>
      <w:tblPr>
        <w:tblW w:w="96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819"/>
        <w:gridCol w:w="2891"/>
        <w:gridCol w:w="1928"/>
      </w:tblGrid>
      <w:tr>
        <w:trPr>
          <w:cantSplit/>
          <w:tblHeader/>
        </w:trPr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Запрос / проверка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Площадка</w:t>
            </w:r>
            <w:r/>
          </w:p>
        </w:tc>
        <w:tc>
          <w:tcPr>
            <w:shd w:val="clear" w:color="auto" w:fill="e7e6e6"/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 xml:space="preserve">Включённые источники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Least angle regression 2004 diabetes 442; открытие авторского PDF и академической записи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Project Euclid, Stanford, каталог университета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L01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Why do tree-based models still outperform deep learning on typical tabular data 2022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Официальные труды NeurIPS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L02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Открытие DOI статей по АД и PDF издателей; проверка тестовых метрик и дизайна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Scientific Reports, JPMH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L03, L04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blood glucose forecasting neural network continuous glucose monitoring; открытие статьи 2026 г.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Scientific Reports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L05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Наборы данных PhysioNet по глюкозе; «Curated Data for Describing Blood Glucose Management»; статья и правила доступа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PhysioNet, Scientific Data, PMC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L06, L15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TRIPOD+AI, PROBAST+AI, пошаговое руководство, внешняя валидация; DOI, PubMed и первичный текст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BMJ, PubMed, PMC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L07–L10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«The false hope of current approaches»; «The Clinician and Dataset Shift»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PubMed, NEJM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L11, L12</w:t>
            </w:r>
            <w:r/>
          </w:p>
        </w:tc>
      </w:tr>
      <w:tr>
        <w:trPr>
          <w:cantSplit/>
        </w:trPr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4819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Прямое открытие официальных страниц: Diabetes, P_BPXO, ONNX Java, WHO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2891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scikit-learn, CDC / NCHS, ONNX Runtime, WHO</w:t>
            </w:r>
            <w:r/>
          </w:p>
        </w:tc>
        <w:tc>
          <w:tcPr>
            <w:tcBorders>
              <w:top w:val="single" w:color="a6a6a6" w:sz="4" w:space="0"/>
              <w:left w:val="single" w:color="a6a6a6" w:sz="4" w:space="0"/>
              <w:bottom w:val="single" w:color="a6a6a6" w:sz="4" w:space="0"/>
              <w:right w:val="single" w:color="a6a6a6" w:sz="4" w:space="0"/>
            </w:tcBorders>
            <w:tcMar>
              <w:left w:w="90" w:type="dxa"/>
              <w:top w:w="50" w:type="dxa"/>
              <w:right w:w="90" w:type="dxa"/>
              <w:bottom w:w="50" w:type="dxa"/>
            </w:tcMar>
            <w:tcW w:w="1928" w:type="dxa"/>
          </w:tcPr>
          <w:p>
            <w:pPr>
              <w:pBdr/>
              <w:spacing w:after="2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L13, L14, L16, L17</w:t>
            </w:r>
            <w:r/>
          </w:p>
        </w:tc>
      </w:tr>
    </w:tbl>
    <w:p>
      <w:pPr>
        <w:pBdr/>
        <w:spacing w:after="60"/>
        <w:ind/>
        <w:rPr/>
      </w:pPr>
      <w:r/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Поиск ограничивался доступными англоязычными первичными и официальными источниками; полного экспорта Scopus </w:t>
      </w:r>
      <w:r>
        <w:rPr>
          <w:rFonts w:ascii="Calibri" w:hAnsi="Calibri" w:eastAsia="Calibri" w:cs="Calibri"/>
        </w:rPr>
        <w:t xml:space="preserve">/ Web of Science и независимого двойного отбора не было. Исходные данные не анализировались повторно, чужие эксперименты не воспроизводились, репозитории моделей не проверялись. Формальная оценка качества статей и полная оценка по PROBAST+AI не заявляются.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Новизна публикации — это отдельный вопрос от периода сбора данных: работа 2024–2026 гг. не обязательно использует новые данные или данные, применимы</w:t>
      </w:r>
      <w:r>
        <w:rPr>
          <w:rFonts w:ascii="Calibri" w:hAnsi="Calibri" w:eastAsia="Calibri" w:cs="Calibri"/>
        </w:rPr>
        <w:t xml:space="preserve">е к Казахстану. Обзор не установил применимость к местной популяции, пороги медицинской пригодности или клиническую эффективность MedPredict. Перед итоговой защитой поиск необходимо обновить, а выводы дополнить собственными воспроизводимыми экспериментами.</w:t>
      </w:r>
      <w:r/>
    </w:p>
    <w:p>
      <w:pPr>
        <w:pBdr/>
        <w:spacing w:after="120" w:line="276" w:lineRule="auto"/>
        <w:ind/>
        <w:rPr/>
      </w:pPr>
      <w:r>
        <w:rPr>
          <w:rFonts w:ascii="Calibri" w:hAnsi="Calibri" w:eastAsia="Calibri" w:cs="Calibri"/>
        </w:rPr>
        <w:t xml:space="preserve">По состоянию на 21 октября 2026 г. все три модели в переданных репозиториях остаются нереализованными; литература не заменяет недостающую работу. MedPredict — учебный исследовательский прототип, а не утверждённая система для диагностики или лечения.</w:t>
      </w:r>
      <w:r/>
    </w:p>
    <w:sectPr>
      <w:footerReference w:type="default" r:id="rId11"/>
      <w:footnotePr/>
      <w:endnotePr/>
      <w:type w:val="nextPage"/>
      <w:pgSz w:h="16838" w:orient="portrait" w:w="11906"/>
      <w:pgMar w:top="1134" w:right="1134" w:bottom="1134" w:left="1134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666666"/>
        <w:sz w:val="16"/>
        <w:szCs w:val="16"/>
      </w:rPr>
      <w:t xml:space="preserve">MedPredict  |  Обзор литературы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666666"/>
        <w:sz w:val="16"/>
        <w:szCs w:val="16"/>
      </w:rPr>
      <w:t xml:space="preserve">MedPredict  |  Обзор литературы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666666"/>
        <w:sz w:val="16"/>
        <w:szCs w:val="16"/>
      </w:rPr>
      <w:t xml:space="preserve">MedPredict  |  Обзор литературы  |  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5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39"/>
    <w:next w:val="73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9"/>
    <w:next w:val="73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9"/>
    <w:next w:val="73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4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9"/>
    <w:next w:val="73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9"/>
    <w:next w:val="73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9"/>
    <w:next w:val="73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3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3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39"/>
    <w:next w:val="73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39"/>
    <w:next w:val="739"/>
    <w:uiPriority w:val="39"/>
    <w:unhideWhenUsed/>
    <w:pPr>
      <w:pBdr/>
      <w:spacing w:after="100"/>
      <w:ind/>
    </w:pPr>
  </w:style>
  <w:style w:type="paragraph" w:styleId="190">
    <w:name w:val="toc 2"/>
    <w:basedOn w:val="739"/>
    <w:next w:val="739"/>
    <w:uiPriority w:val="39"/>
    <w:unhideWhenUsed/>
    <w:pPr>
      <w:pBdr/>
      <w:spacing w:after="100"/>
      <w:ind w:left="220"/>
    </w:pPr>
  </w:style>
  <w:style w:type="paragraph" w:styleId="191">
    <w:name w:val="toc 3"/>
    <w:basedOn w:val="739"/>
    <w:next w:val="739"/>
    <w:uiPriority w:val="39"/>
    <w:unhideWhenUsed/>
    <w:pPr>
      <w:pBdr/>
      <w:spacing w:after="100"/>
      <w:ind w:left="440"/>
    </w:pPr>
  </w:style>
  <w:style w:type="paragraph" w:styleId="192">
    <w:name w:val="toc 4"/>
    <w:basedOn w:val="739"/>
    <w:next w:val="739"/>
    <w:uiPriority w:val="39"/>
    <w:unhideWhenUsed/>
    <w:pPr>
      <w:pBdr/>
      <w:spacing w:after="100"/>
      <w:ind w:left="660"/>
    </w:pPr>
  </w:style>
  <w:style w:type="paragraph" w:styleId="193">
    <w:name w:val="toc 5"/>
    <w:basedOn w:val="739"/>
    <w:next w:val="739"/>
    <w:uiPriority w:val="39"/>
    <w:unhideWhenUsed/>
    <w:pPr>
      <w:pBdr/>
      <w:spacing w:after="100"/>
      <w:ind w:left="880"/>
    </w:pPr>
  </w:style>
  <w:style w:type="paragraph" w:styleId="194">
    <w:name w:val="toc 6"/>
    <w:basedOn w:val="739"/>
    <w:next w:val="739"/>
    <w:uiPriority w:val="39"/>
    <w:unhideWhenUsed/>
    <w:pPr>
      <w:pBdr/>
      <w:spacing w:after="100"/>
      <w:ind w:left="1100"/>
    </w:pPr>
  </w:style>
  <w:style w:type="paragraph" w:styleId="195">
    <w:name w:val="toc 7"/>
    <w:basedOn w:val="739"/>
    <w:next w:val="739"/>
    <w:uiPriority w:val="39"/>
    <w:unhideWhenUsed/>
    <w:pPr>
      <w:pBdr/>
      <w:spacing w:after="100"/>
      <w:ind w:left="1320"/>
    </w:pPr>
  </w:style>
  <w:style w:type="paragraph" w:styleId="196">
    <w:name w:val="toc 8"/>
    <w:basedOn w:val="739"/>
    <w:next w:val="739"/>
    <w:uiPriority w:val="39"/>
    <w:unhideWhenUsed/>
    <w:pPr>
      <w:pBdr/>
      <w:spacing w:after="100"/>
      <w:ind w:left="1540"/>
    </w:pPr>
  </w:style>
  <w:style w:type="paragraph" w:styleId="197">
    <w:name w:val="toc 9"/>
    <w:basedOn w:val="739"/>
    <w:next w:val="73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9"/>
    <w:next w:val="739"/>
    <w:uiPriority w:val="99"/>
    <w:unhideWhenUsed/>
    <w:pPr>
      <w:pBdr/>
      <w:spacing w:after="0" w:afterAutospacing="0"/>
      <w:ind/>
    </w:pPr>
  </w:style>
  <w:style w:type="paragraph" w:styleId="739" w:default="1">
    <w:name w:val="Normal"/>
    <w:qFormat/>
    <w:pPr>
      <w:pBdr/>
      <w:spacing/>
      <w:ind/>
    </w:pPr>
  </w:style>
  <w:style w:type="paragraph" w:styleId="740">
    <w:name w:val="Title"/>
    <w:basedOn w:val="739"/>
    <w:next w:val="739"/>
    <w:qFormat/>
    <w:pPr>
      <w:pBdr/>
      <w:spacing/>
      <w:ind/>
    </w:pPr>
    <w:rPr>
      <w:sz w:val="56"/>
      <w:szCs w:val="56"/>
    </w:rPr>
  </w:style>
  <w:style w:type="paragraph" w:styleId="741">
    <w:name w:val="Heading 3"/>
    <w:basedOn w:val="739"/>
    <w:next w:val="739"/>
    <w:qFormat/>
    <w:pPr>
      <w:pBdr/>
      <w:spacing/>
      <w:ind/>
    </w:pPr>
    <w:rPr>
      <w:color w:val="1f4d78"/>
      <w:sz w:val="24"/>
      <w:szCs w:val="24"/>
    </w:rPr>
  </w:style>
  <w:style w:type="paragraph" w:styleId="742">
    <w:name w:val="Heading 4"/>
    <w:basedOn w:val="739"/>
    <w:next w:val="739"/>
    <w:qFormat/>
    <w:pPr>
      <w:pBdr/>
      <w:spacing/>
      <w:ind/>
    </w:pPr>
    <w:rPr>
      <w:i/>
      <w:iCs/>
      <w:color w:val="2e74b5"/>
    </w:rPr>
  </w:style>
  <w:style w:type="paragraph" w:styleId="743">
    <w:name w:val="Heading 5"/>
    <w:basedOn w:val="739"/>
    <w:next w:val="739"/>
    <w:qFormat/>
    <w:pPr>
      <w:pBdr/>
      <w:spacing/>
      <w:ind/>
    </w:pPr>
    <w:rPr>
      <w:color w:val="2e74b5"/>
    </w:rPr>
  </w:style>
  <w:style w:type="paragraph" w:styleId="744">
    <w:name w:val="Heading 6"/>
    <w:basedOn w:val="739"/>
    <w:next w:val="739"/>
    <w:qFormat/>
    <w:pPr>
      <w:pBdr/>
      <w:spacing/>
      <w:ind/>
    </w:pPr>
    <w:rPr>
      <w:color w:val="1f4d78"/>
    </w:rPr>
  </w:style>
  <w:style w:type="paragraph" w:styleId="745">
    <w:name w:val="Strong"/>
    <w:basedOn w:val="739"/>
    <w:next w:val="739"/>
    <w:qFormat/>
    <w:pPr>
      <w:pBdr/>
      <w:spacing/>
      <w:ind/>
    </w:pPr>
    <w:rPr>
      <w:b/>
      <w:bCs/>
    </w:rPr>
  </w:style>
  <w:style w:type="paragraph" w:styleId="746">
    <w:name w:val="List Paragraph"/>
    <w:basedOn w:val="739"/>
    <w:qFormat/>
    <w:pPr>
      <w:pBdr/>
      <w:spacing/>
      <w:ind/>
    </w:pPr>
  </w:style>
  <w:style w:type="character" w:styleId="74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4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9">
    <w:name w:val="footnote text"/>
    <w:basedOn w:val="739"/>
    <w:link w:val="75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50">
    <w:name w:val="Footnote Text Char"/>
    <w:link w:val="74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5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52">
    <w:name w:val="endnote text"/>
    <w:basedOn w:val="739"/>
    <w:link w:val="75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53">
    <w:name w:val="Endnote Text Char"/>
    <w:link w:val="752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54">
    <w:name w:val="Heading 1"/>
    <w:basedOn w:val="739"/>
    <w:next w:val="739"/>
    <w:qFormat/>
    <w:pPr>
      <w:pBdr/>
      <w:spacing w:after="120" w:before="320"/>
      <w:ind/>
      <w:outlineLvl w:val="0"/>
    </w:pPr>
    <w:rPr>
      <w:rFonts w:ascii="Calibri" w:hAnsi="Calibri" w:eastAsia="Calibri" w:cs="Calibri"/>
      <w:b/>
      <w:bCs/>
      <w:color w:val="000000"/>
      <w:sz w:val="30"/>
      <w:szCs w:val="30"/>
    </w:rPr>
  </w:style>
  <w:style w:type="paragraph" w:styleId="755">
    <w:name w:val="Heading 2"/>
    <w:basedOn w:val="739"/>
    <w:next w:val="739"/>
    <w:qFormat/>
    <w:pPr>
      <w:pBdr/>
      <w:spacing w:after="90" w:before="220"/>
      <w:ind/>
      <w:outlineLvl w:val="1"/>
    </w:pPr>
    <w:rPr>
      <w:rFonts w:ascii="Calibri" w:hAnsi="Calibri" w:eastAsia="Calibri" w:cs="Calibri"/>
      <w:b/>
      <w:bCs/>
      <w:color w:val="000000"/>
      <w:sz w:val="25"/>
      <w:szCs w:val="2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Обзор литературы</dc:title>
  <dc:creator>Команда MedPredict</dc:creator>
  <dc:description>Документация MedPredict к предварительной защите</dc:description>
  <cp:revision>2</cp:revision>
  <dcterms:created xsi:type="dcterms:W3CDTF">2026-10-20T21:47:49Z</dcterms:created>
  <dcterms:modified xsi:type="dcterms:W3CDTF">2026-10-21T08:24:22Z</dcterms:modified>
</cp:coreProperties>
</file>