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INFORMÁTICA Y TELECOMUNICACIONES</w:t>
      </w:r>
    </w:p>
    <w:p>
      <w:pPr>
        <w:pStyle w:val="Heading2"/>
      </w:pPr>
      <w:r>
        <w:t>INGENIERÍA EN INFORMÁTICA</w:t>
      </w:r>
    </w:p>
    <w:p>
      <w:pPr>
        <w:pStyle w:val="Heading1"/>
      </w:pPr>
      <w:r>
        <w:t>SECURECODE</w:t>
      </w:r>
    </w:p>
    <w:p>
      <w:pPr>
        <w:pStyle w:val="Heading3"/>
      </w:pPr>
      <w:r>
        <w:t>Informe de avance ES2 · Unidad 2 · Desarrollo del Proyecto de Título</w:t>
      </w:r>
    </w:p>
    <w:p>
      <w:r>
        <w:rPr>
          <w:b/>
        </w:rPr>
        <w:t>Proyecto:</w:t>
      </w:r>
      <w:r>
        <w:t xml:space="preserve"> SecureCode | Informe técnico de arquitectura, implementación, pruebas y planificación</w:t>
      </w:r>
    </w:p>
    <w:p>
      <w:r>
        <w:rPr>
          <w:b/>
        </w:rPr>
        <w:t>Fecha de revisión documental:</w:t>
      </w:r>
      <w:r>
        <w:t xml:space="preserve"> 21 de octubre de 2026</w:t>
      </w:r>
    </w:p>
    <w:p>
      <w:r>
        <w:rPr>
          <w:b/>
        </w:rPr>
        <w:t>Integrantes:</w:t>
      </w:r>
      <w:r>
        <w:t xml:space="preserve"> Jonatthan Medalla · Jose Mora</w:t>
      </w:r>
    </w:p>
    <w:p>
      <w:r>
        <w:rPr>
          <w:b/>
        </w:rPr>
        <w:t>Docente Guía:</w:t>
      </w:r>
      <w:r>
        <w:t xml:space="preserve"> Armin Vladimir Brun Rüth</w:t>
      </w:r>
    </w:p>
    <w:p>
      <w:r>
        <w:rPr>
          <w:b/>
        </w:rPr>
        <w:t>Asignatura:</w:t>
      </w:r>
      <w:r>
        <w:t xml:space="preserve"> Proyecto de Título — TIHI84</w:t>
      </w:r>
    </w:p>
    <w:p>
      <w:r>
        <w:rPr>
          <w:b/>
        </w:rPr>
        <w:t>Sede / Institución:</w:t>
      </w:r>
      <w:r>
        <w:t xml:space="preserve"> INACAP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Índice de tablas</w:t>
      </w:r>
    </w:p>
    <w:p>
      <w:pPr>
        <w:pStyle w:val="ListBullet"/>
      </w:pPr>
      <w:r>
        <w:t>Tabla 1. Criterios de clasificación y alcance de la evidencia técnica</w:t>
      </w:r>
    </w:p>
    <w:p>
      <w:pPr>
        <w:pStyle w:val="ListBullet"/>
      </w:pPr>
      <w:r>
        <w:t>Tabla 2. Análisis cualitativo y comparativo de alternativas tecnológicas</w:t>
      </w:r>
    </w:p>
    <w:p>
      <w:pPr>
        <w:pStyle w:val="ListBullet"/>
      </w:pPr>
      <w:r>
        <w:t>Tabla 3. Inventario de herramientas, lenguajes y servicios del MVP</w:t>
      </w:r>
    </w:p>
    <w:p>
      <w:pPr>
        <w:pStyle w:val="ListBullet"/>
      </w:pPr>
      <w:r>
        <w:t>Tabla 4. Matriz de actores y casos de uso funcionales</w:t>
      </w:r>
    </w:p>
    <w:p>
      <w:pPr>
        <w:pStyle w:val="ListBullet"/>
      </w:pPr>
      <w:r>
        <w:t>Tabla 5. Diccionario resumido y cardinalidades del modelo de datos</w:t>
      </w:r>
    </w:p>
    <w:p>
      <w:pPr>
        <w:pStyle w:val="ListBullet"/>
      </w:pPr>
      <w:r>
        <w:t>Tabla 6. Trazabilidad de figuras arquitectónicas y límites de validación</w:t>
      </w:r>
    </w:p>
    <w:p>
      <w:pPr>
        <w:pStyle w:val="ListBullet"/>
      </w:pPr>
      <w:r>
        <w:t>Tabla 7. Resumen de indicadores clave de desempeño (KPI) observados</w:t>
      </w:r>
    </w:p>
    <w:p>
      <w:pPr>
        <w:pStyle w:val="ListBullet"/>
      </w:pPr>
      <w:r>
        <w:t>Tabla 8. Ficha de propuesta de acuerdos de nivel de servicio (SLA)</w:t>
      </w:r>
    </w:p>
    <w:p>
      <w:pPr>
        <w:pStyle w:val="ListBullet"/>
      </w:pPr>
      <w:r>
        <w:t>Tabla 9. Resumen de ejecución y límites del plan de pruebas</w:t>
      </w:r>
    </w:p>
    <w:p>
      <w:pPr>
        <w:pStyle w:val="ListBullet"/>
      </w:pPr>
      <w:r>
        <w:t>Tabla 9b. Resumen de resultados del estudio de aceptación de usuarios (n = 40)</w:t>
      </w:r>
    </w:p>
    <w:p>
      <w:pPr>
        <w:pStyle w:val="ListBullet"/>
      </w:pPr>
      <w:r>
        <w:t>Tabla 10. Plan y frecuencias de mantención operativa (ITIL v4)</w:t>
      </w:r>
    </w:p>
    <w:p>
      <w:pPr>
        <w:pStyle w:val="ListBullet"/>
      </w:pPr>
      <w:r>
        <w:t>Tabla 11. Planificación de fases de cierre para el hito ES2</w:t>
      </w:r>
    </w:p>
    <w:p>
      <w:pPr>
        <w:pStyle w:val="ListBullet"/>
      </w:pPr>
      <w:r>
        <w:t>Tabla 12. Matriz de auditoría de consistencia de afirmaciones técnicas</w:t>
      </w:r>
    </w:p>
    <w:p>
      <w:pPr>
        <w:pStyle w:val="ListBullet"/>
      </w:pPr>
      <w:r>
        <w:t>Tabla 13. Lista de control de comprobaciones previas a la entrega</w:t>
      </w:r>
    </w:p>
    <w:p>
      <w:pPr>
        <w:pStyle w:val="ListBullet"/>
      </w:pPr>
      <w:r>
        <w:t>Tabla 14. Cronograma de línea base ES1 (actividades T1–T8)</w:t>
      </w:r>
    </w:p>
    <w:p>
      <w:pPr>
        <w:pStyle w:val="ListBullet"/>
      </w:pPr>
      <w:r>
        <w:t>Tabla 15. Vista Gantt mensual de la línea base ES1</w:t>
      </w:r>
    </w:p>
    <w:p>
      <w:pPr>
        <w:pStyle w:val="ListBullet"/>
      </w:pPr>
      <w:r>
        <w:t>Tabla 16. Matriz de contraste entre línea base ES1 y evidencia técnica real</w:t>
      </w:r>
    </w:p>
    <w:p>
      <w:pPr>
        <w:pStyle w:val="ListBullet"/>
      </w:pPr>
      <w:r>
        <w:t>Tabla 17. Requisitos de información para cierre de brechas de cronograma (EA4)</w:t>
      </w:r>
    </w:p>
    <w:p>
      <w:pPr>
        <w:pStyle w:val="ListBullet"/>
      </w:pPr>
      <w:r>
        <w:t>Tabla 18. Bitácora de adecuaciones de cronograma y decisiones de desarrollo</w:t>
      </w:r>
    </w:p>
    <w:p>
      <w:pPr>
        <w:pStyle w:val="ListBullet"/>
      </w:pPr>
      <w:r>
        <w:t>Tabla 19. Especificación ORM de la tabla users</w:t>
      </w:r>
    </w:p>
    <w:p>
      <w:pPr>
        <w:pStyle w:val="ListBullet"/>
      </w:pPr>
      <w:r>
        <w:t>Tabla 20. Especificación ORM de la tabla evidence_records</w:t>
      </w:r>
    </w:p>
    <w:p>
      <w:pPr>
        <w:pStyle w:val="ListBullet"/>
      </w:pPr>
      <w:r>
        <w:t>Tabla 21. Especificación ORM de la tabla evaluation_records</w:t>
      </w:r>
    </w:p>
    <w:p>
      <w:pPr>
        <w:pStyle w:val="ListBullet"/>
      </w:pPr>
      <w:r>
        <w:t>Tabla 22. Estructura interna de subprocesos BPMN 2.0 corregidos</w:t>
      </w:r>
    </w:p>
    <w:p>
      <w:pPr>
        <w:pStyle w:val="ListBullet"/>
      </w:pPr>
      <w:r>
        <w:t>Tabla 23. Auditoría estructural de conectividad en modelos BPMN 2.0</w:t>
      </w:r>
    </w:p>
    <w:p>
      <w:pPr>
        <w:pStyle w:val="ListBullet"/>
      </w:pPr>
      <w:r>
        <w:t>Tabla 24. Diccionario de restricciones relacionales declaradas en SQLAlchemy</w:t>
      </w:r>
    </w:p>
    <w:p>
      <w:pPr>
        <w:pStyle w:val="ListBullet"/>
      </w:pPr>
      <w:r>
        <w:t>Tabla 25. Matriz de contraste entre metadatos ORM y migraciones Alembic</w:t>
      </w:r>
    </w:p>
    <w:p>
      <w:pPr>
        <w:pStyle w:val="ListBullet"/>
      </w:pPr>
      <w:r>
        <w:t>Tabla 26. Cadena lineal de revisiones de migración Alembic</w:t>
      </w:r>
    </w:p>
    <w:p>
      <w:pPr>
        <w:pStyle w:val="ListBullet"/>
      </w:pPr>
      <w:r>
        <w:t>Tabla 27. Contraste estático entre scripts de migración y modelos declarativos</w:t>
      </w:r>
    </w:p>
    <w:p>
      <w:pPr>
        <w:pStyle w:val="ListBullet"/>
      </w:pPr>
      <w:r>
        <w:t>Tabla 28. Línea base íntegra de duración y dependencias de actividades ES1</w:t>
      </w:r>
    </w:p>
    <w:p>
      <w:pPr>
        <w:pStyle w:val="ListBullet"/>
      </w:pPr>
      <w:r>
        <w:t>Tabla 29. Matriz de conciliación de fechas y evidencias necesarias por actividad</w:t>
      </w:r>
    </w:p>
    <w:p>
      <w:pPr>
        <w:pStyle w:val="ListBullet"/>
      </w:pPr>
      <w:r>
        <w:t>Tabla 30. Registro de solicitudes de cambio (RC) propuestas sobre el cronograma</w:t>
      </w:r>
    </w:p>
    <w:p>
      <w:pPr>
        <w:pStyle w:val="ListBullet"/>
      </w:pPr>
      <w:r>
        <w:t>Tabla 31. Trazabilidad de indicadores oficiales EA4 (1 al 9)</w:t>
      </w:r>
    </w:p>
    <w:p>
      <w:pPr>
        <w:pStyle w:val="ListBullet"/>
      </w:pPr>
      <w:r>
        <w:t>Tabla 32. Trazabilidad de indicadores oficiales EA4 (10 al 17)</w:t>
      </w:r>
    </w:p>
    <w:p>
      <w:pPr>
        <w:pStyle w:val="ListBullet"/>
      </w:pPr>
      <w:r>
        <w:t>Tabla 33. Matriz de brechas priorizadas de la rúbrica EA4</w:t>
      </w:r>
    </w:p>
    <w:p>
      <w:pPr>
        <w:pStyle w:val="ListBullet"/>
      </w:pPr>
      <w:r>
        <w:t>Tabla 34. Auditoría de compuertas exclusivas en archivos BPMN originales</w:t>
      </w:r>
    </w:p>
    <w:p>
      <w:pPr>
        <w:pStyle w:val="ListBullet"/>
      </w:pPr>
      <w:r>
        <w:t>Tabla 35. Configuración de expresiones formales y flujos default en compuertas XOR</w:t>
      </w:r>
    </w:p>
    <w:p>
      <w:pPr>
        <w:pStyle w:val="ListBullet"/>
      </w:pPr>
      <w:r>
        <w:t>Tabla 36. Verificación de geometrías BPMNEdge y semántica en compuertas corregidas</w:t>
      </w:r>
    </w:p>
    <w:p>
      <w:pPr>
        <w:pStyle w:val="ListBullet"/>
      </w:pPr>
      <w:r>
        <w:t>Tabla 37. Matriz de inspección para validación visual de modelos BPMN 2.0</w:t>
      </w:r>
    </w:p>
    <w:p>
      <w:pPr>
        <w:pStyle w:val="ListBullet"/>
      </w:pPr>
      <w:r>
        <w:t>Tabla 38. Ficha de registro de resultados para acta de validación en modelador</w:t>
      </w:r>
    </w:p>
    <w:p>
      <w:pPr>
        <w:pStyle w:val="ListBullet"/>
      </w:pPr>
      <w:r>
        <w:t>Tabla 39. Protocolo de verificación de migraciones Alembic en base de laboratorio</w:t>
      </w:r>
    </w:p>
    <w:p>
      <w:pPr>
        <w:pStyle w:val="ListBullet"/>
      </w:pPr>
      <w:r>
        <w:t>Tabla 40. Matriz de límites de acreditación y estado de evidencias técnicas</w:t>
      </w:r>
    </w:p>
    <w:p>
      <w:pPr>
        <w:pStyle w:val="ListBullet"/>
      </w:pPr>
      <w:r>
        <w:t>Tabla 41. Diccionario operativo de datos y consultas de integridad relacional</w:t>
      </w:r>
    </w:p>
    <w:p>
      <w:pPr>
        <w:pStyle w:val="ListBullet"/>
      </w:pPr>
      <w:r>
        <w:t>Tabla 42. Batería de casos de prueba de aceptación técnica (QA-01 a QA-10)</w:t>
      </w:r>
    </w:p>
    <w:p>
      <w:pPr>
        <w:pStyle w:val="ListBullet"/>
      </w:pPr>
      <w:r>
        <w:t>Tabla 43. Matriz de riesgos, impacto y tratamiento de dependencias de cierre</w:t>
      </w:r>
    </w:p>
    <w:p>
      <w:pPr>
        <w:pStyle w:val="ListBullet"/>
      </w:pPr>
      <w:r>
        <w:t>Tabla 44. Registro de verificación de evidencias externas pendientes</w:t>
      </w:r>
    </w:p>
    <w:p>
      <w:pPr>
        <w:pStyle w:val="ListBullet"/>
      </w:pPr>
      <w:r>
        <w:t>Tabla 45. Matriz de aplicabilidad de recomendaciones de ES1 al alcance de ES2</w:t>
      </w:r>
    </w:p>
    <w:p>
      <w:pPr>
        <w:pStyle w:val="ListBullet"/>
      </w:pPr>
      <w:r>
        <w:t>Tabla 46. Arquitectura empresarial hexagonal: separación proveedor vs. cliente</w:t>
      </w:r>
    </w:p>
    <w:p>
      <w:pPr>
        <w:pStyle w:val="ListBullet"/>
      </w:pPr>
      <w:r>
        <w:t>Tabla 47. Especificación de requisitos no funcionales (RNF) y acuerdos OLA</w:t>
      </w:r>
    </w:p>
    <w:p>
      <w:pPr>
        <w:pStyle w:val="ListBullet"/>
      </w:pPr>
      <w:r>
        <w:t>Tabla 48. Matriz de trazabilidad integral: fuentes, requisitos, pruebas y evidencias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Alcance y criterio de evidencia</w:t>
      </w:r>
    </w:p>
    <w:p>
      <w:r>
        <w:rPr>
          <w:b/>
        </w:rPr>
        <w:t>Estado de validación al 21 de octubre de 2026:</w:t>
      </w:r>
      <w:r>
        <w:t xml:space="preserve"> se distingue entre evidencias documentadas en código/CI, mediciones observadas bajo condiciones de laboratorio, diseños propuestos y comprobaciones pendientes. Los diagramas lógicos y fichas operativas no prueban despliegue productivo, certificación ni aceptación contractual.</w:t>
      </w:r>
    </w:p>
    <w:p>
      <w:r>
        <w:rPr>
          <w:b/>
        </w:rPr>
        <w:t>Control editorial vigente:</w:t>
      </w:r>
      <w:r>
        <w:t xml:space="preserve"> los capítulos principales contienen el estado actual de arquitectura, pruebas y cronograma. Los anexos A–Z reúnen la línea base de planificación, la verificación del modelo de datos, la corrección BPMN, la validación con usuarios (encuesta n=40) y la auditoría EA4. Las verificaciones no ejecutadas se declaran formalmente como pendientes.</w:t>
      </w:r>
    </w:p>
    <w:p>
      <w:r>
        <w:t>Este informe se redacta siguiendo las secciones I–X de la plantilla ABPro de INACAP. Se diferencia rigurosamente entre implementación verificada, medición observada, diseño propuesto y validación pendiente. Las referencias a informes anteriores se emplean como insumos de contraste, no como fuente automática de verdad.</w:t>
      </w:r>
    </w:p>
    <w:p>
      <w:pPr>
        <w:pStyle w:val="Heading4"/>
      </w:pPr>
      <w:r>
        <w:t>Tabla 1. Criterios de clasificación y alcance de la evidencia técnica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56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Criterio aplicado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Implementado / verificado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Requiere soporte directo en código fuente, pruebas automatizadas, CI o artefactos trazables en el repositorio.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Medido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Requiere reporte de ejecución, instrumentación y condiciones explícitas de medición de laboratorio.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Propuesto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Diseño, meta o compromiso sujeto a aprobación de contraparte y puesta en marcha futura.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Pendiente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Evidencia insuficiente en el estado actual para sostener una afirmación concluyente.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I. Introducción</w:t>
      </w:r>
    </w:p>
    <w:p>
      <w:r>
        <w:t>SecureCode es una plataforma de evaluación automatizada de controles de seguridad y cumplimiento a partir de evidencias técnicas estructuradas. El proyecto busca disminuir la dependencia de verificaciones manuales propensas a error humano, mejorar la reproducibilidad determinista de decisiones y conservar la trazabilidad inmutable entre evidencia, regla aplicada y resultado. Su alcance verificable corresponde a un producto mínimo viable (MVP), no a una plataforma productiva certificada.</w:t>
      </w:r>
    </w:p>
    <w:p>
      <w:r>
        <w:t>El flujo central recibe o consulta evidencia desde proveedores de código fuente (SCM), aplica reglas deterministas desacopladas y registra evaluaciones de forma auditable. Un resultado emitido no debe interpretarse como cumplimiento legal integral: representa únicamente la evaluación técnica de una condición específica sobre una evidencia dentro de un alcance declarado.</w:t>
      </w:r>
    </w:p>
    <w:p>
      <w:pPr>
        <w:pStyle w:val="Heading3"/>
      </w:pPr>
      <w:r>
        <w:t>Objetivo general</w:t>
      </w:r>
    </w:p>
    <w:p>
      <w:r>
        <w:t>Diseñar, implementar y validar un MVP que evalúe controles definidos sobre evidencias técnicas mediante reglas reproducibles, trazabilidad de resultados y pruebas automatizadas.</w:t>
      </w:r>
    </w:p>
    <w:p>
      <w:pPr>
        <w:pStyle w:val="Heading3"/>
      </w:pPr>
      <w:r>
        <w:t>Objetivos específicos</w:t>
      </w:r>
    </w:p>
    <w:p>
      <w:pPr>
        <w:pStyle w:val="ListNumber"/>
      </w:pPr>
      <w:r>
        <w:t>Documentar tecnologías, componentes, modelos de datos e interfaces del MVP.</w:t>
      </w:r>
    </w:p>
    <w:p>
      <w:pPr>
        <w:pStyle w:val="ListNumber"/>
      </w:pPr>
      <w:r>
        <w:t>Definir indicadores de calidad (KPI) y metas de servicio (SLA) diferenciando valores empíricamente observados de objetivos operativos futuros.</w:t>
      </w:r>
    </w:p>
    <w:p>
      <w:pPr>
        <w:pStyle w:val="ListNumber"/>
      </w:pPr>
      <w:r>
        <w:t>Validar el comportamiento funcional, la integración continua, las defensas de seguridad y el rendimiento bajo condiciones controladas de laboratorio.</w:t>
      </w:r>
    </w:p>
    <w:p>
      <w:pPr>
        <w:pStyle w:val="ListNumber"/>
      </w:pPr>
      <w:r>
        <w:t>Evaluar la aceptación, utilidad y comprensión del modelo con usuarios y stakeholders del ciclo de vida del software (n=40).</w:t>
      </w:r>
    </w:p>
    <w:p>
      <w:pPr>
        <w:pStyle w:val="ListNumber"/>
      </w:pPr>
      <w:r>
        <w:t>Proponer modelos de disponibilidad, continuidad, mantenimiento y fases posteriores sin atribuir al MVP capacidades operativas no verificadas.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II. Detalle de las Tecnologías a implementar</w:t>
      </w:r>
    </w:p>
    <w:p>
      <w:pPr>
        <w:pStyle w:val="Heading3"/>
      </w:pPr>
      <w:r>
        <w:t>2.1 Análisis cualitativo/cuantitativo de las tecnologías</w:t>
      </w:r>
    </w:p>
    <w:p>
      <w:r>
        <w:t>La selección tecnológica prioriza simplicidad operacional, verificabilidad y compatibilidad con pruebas automatizadas. Una arquitectura modular dentro de una aplicación reduce complejidad de coordinación frente a microservicios para el alcance actual; esa preferencia es una justificación de diseño y no una medición comparativa de costes.</w:t>
      </w:r>
    </w:p>
    <w:p>
      <w:pPr>
        <w:pStyle w:val="Heading4"/>
      </w:pPr>
      <w:r>
        <w:t>Tabla 2. Análisis cualitativo y comparativo de alternativas tecnológicas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Ventaja para el MVP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Limitación / criterio de control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Python + FastAPI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API HTTP asíncrona de alto rendimiento y validación estricta de contratos con Pydantic.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Exige gestión rigurosa de dependencias y pruebas de integración.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Persistencia relacional, soporte nativo JSONB y transacciones ACID auditables.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Requiere operación, respaldo periódico y migraciones controladas (Alembic).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GitHub Actions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Pruebas reproducibles desatendidas al integrar cambios en la rama 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rPr>
                <w:sz w:val="20"/>
              </w:rPr>
              <w:t>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El entorno CI no equivale a un entorno productivo de alta disponibilidad.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GitHub API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Fuente técnica primaria de evidencia externa para el MVP.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Disponibilidad, permisos y cuotas (</w:t>
            </w:r>
            <w:r>
              <w:rPr>
                <w:i/>
                <w:sz w:val="20"/>
              </w:rPr>
              <w:t>rate limiting</w:t>
            </w:r>
            <w:r>
              <w:rPr>
                <w:sz w:val="20"/>
              </w:rPr>
              <w:t>) fuera del control del sistema.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3"/>
      </w:pPr>
      <w:r>
        <w:t>2.2 Herramientas, aplicaciones, lenguajes y componentes</w:t>
      </w:r>
    </w:p>
    <w:p>
      <w:pPr>
        <w:pStyle w:val="Heading4"/>
      </w:pPr>
      <w:r>
        <w:t>Tabla 3. Inventario de herramientas, lenguajes y servicios del MVP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6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Uso / estado de evidencia técnica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Python 3.11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Versión observada en el entorno CI auditado oficial de GitHub Actions.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FastAPI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Exposición de endpoints REST y serialización de contratos del MVP.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SQLAlchemy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Mapeo objeto-relacional (ORM) y gestión de transacciones.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PostgreSQL 15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Motor relacional utilizado en contenedor de servicio en CI; no implica entorno productivo.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pytest y pytest-cov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Ejecución de la suite automatizada (95 pruebas) y medición de cobertura (89%).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Locust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Herramienta de pruebas de carga y estrés ejecutada en entorno local aislado.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20"/>
              </w:rPr>
              <w:t>GitHub Actions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 xml:space="preserve">Pipeline de integración continua automatizado sobre la rama 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JWT HS256 / Argon2id</w:t>
            </w:r>
          </w:p>
        </w:tc>
        <w:tc>
          <w:tcPr>
            <w:tcW w:type="dxa" w:w="456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Mecanismos criptográficos de autenticación y hashing de contraseñas verificados en código.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III. Detalle de la Arquitectura a implementar</w:t>
      </w:r>
    </w:p>
    <w:p>
      <w:pPr>
        <w:pStyle w:val="Heading3"/>
      </w:pPr>
      <w:r>
        <w:t>3.1 Diagrama BPMN: proceso de negocio</w:t>
      </w:r>
    </w:p>
    <w:p>
      <w:r>
        <w:rPr>
          <w:i/>
        </w:rPr>
        <w:t>Nota de presentación:</w:t>
      </w:r>
      <w:r>
        <w:t xml:space="preserve"> los esquemas del cuerpo del informe son representaciones documentales. Los archivos BPMN 2.0 corregidos se entregan como artefactos externos y no deben confundirse con una validación de importación en modelador, que permanece identificada como pendiente.</w:t>
      </w:r>
    </w:p>
    <w:p>
      <w:r>
        <w:rPr>
          <w:b/>
        </w:rPr>
        <w:t>Estado actualizado (commit `1bef35f`):</w:t>
      </w:r>
      <w:r>
        <w:t xml:space="preserve"> se entregan tres archivos BPMN 2.0 XML con un elemento </w:t>
      </w:r>
      <w:r>
        <w:rPr>
          <w:rFonts w:ascii="Courier New" w:hAnsi="Courier New"/>
          <w:sz w:val="18"/>
        </w:rPr>
        <w:t>subProcess</w:t>
      </w:r>
      <w:r>
        <w:t xml:space="preserve"> formal en cada modelo: P1 recepción de evidencia (Consultar GitHub), P2 evaluación de control (Aplicar regla determinista) y P3 validación CI (Ejecutar pruebas automatizadas). Los archivos corregidos se distribuyen en </w:t>
      </w:r>
      <w:r>
        <w:rPr>
          <w:rFonts w:ascii="Courier New" w:hAnsi="Courier New"/>
          <w:sz w:val="18"/>
        </w:rPr>
        <w:t>SECURECODE_BPMN_2_0_COMPUERTAS_CORREGIDAS.zip</w:t>
      </w:r>
      <w:r>
        <w:t>.</w:t>
      </w:r>
    </w:p>
    <w:p>
      <w:r>
        <w:rPr>
          <w:i/>
        </w:rPr>
        <w:t>Alcance de la evidencia:</w:t>
      </w:r>
      <w:r>
        <w:t xml:space="preserve"> la inspección estática comprobó XML bien formado, ausencia de identificadores duplicados, expresiones condicionales formales </w:t>
      </w:r>
      <w:r>
        <w:rPr>
          <w:rFonts w:ascii="Courier New" w:hAnsi="Courier New"/>
          <w:sz w:val="18"/>
        </w:rPr>
        <w:t>${... == true}</w:t>
      </w:r>
      <w:r>
        <w:t xml:space="preserve"> y salidas por defecto en compuertas XOR. No se ha acreditado importación en modelador, validación XSD ni ejecución semántica en motor. P3 es un proceso de aseguramiento de calidad y su pertinencia como proceso de negocio se somete a revisión docente.</w:t>
      </w:r>
    </w:p>
    <w:p>
      <w:r>
        <w:t xml:space="preserve">El flujo funcional comprende: (1) el analista solicita evaluación; (2) el sistema autentica la solicitud vía JWT; (3) consulta evidencia externa en GitHub API; (4) valida estructura y disponibilidad; (5) aplica regla determinista; (6) asigna </w:t>
      </w:r>
      <w:r>
        <w:rPr>
          <w:rFonts w:ascii="Courier New" w:hAnsi="Courier New"/>
          <w:sz w:val="18"/>
        </w:rPr>
        <w:t>PASS</w:t>
      </w:r>
      <w:r>
        <w:t xml:space="preserve">, </w:t>
      </w:r>
      <w:r>
        <w:rPr>
          <w:rFonts w:ascii="Courier New" w:hAnsi="Courier New"/>
          <w:sz w:val="18"/>
        </w:rPr>
        <w:t>FAIL</w:t>
      </w:r>
      <w:r>
        <w:t xml:space="preserve"> o </w:t>
      </w:r>
      <w:r>
        <w:rPr>
          <w:rFonts w:ascii="Courier New" w:hAnsi="Courier New"/>
          <w:sz w:val="18"/>
        </w:rPr>
        <w:t>UNKNOWN</w:t>
      </w:r>
      <w:r>
        <w:t>; (7) persiste atómicamente la evidencia y la evaluación en PostgreSQL.</w:t>
      </w:r>
    </w:p>
    <w:p>
      <w:pPr>
        <w:pStyle w:val="Heading3"/>
      </w:pPr>
      <w:r>
        <w:t>3.2 Diagramas de casos de uso</w:t>
      </w:r>
    </w:p>
    <w:p>
      <w:pPr>
        <w:pStyle w:val="Heading4"/>
      </w:pPr>
      <w:r>
        <w:t>Tabla 4. Matriz de actores y casos de uso funcionales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Analista / Cliente API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Solicitar evaluación GH-001 o GH-002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Resultado de control (</w:t>
            </w:r>
            <w:r>
              <w:rPr>
                <w:rFonts w:ascii="Courier New" w:hAnsi="Courier New"/>
                <w:sz w:val="20"/>
              </w:rPr>
              <w:t>PASS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sz w:val="20"/>
              </w:rPr>
              <w:t>FAIL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sz w:val="20"/>
              </w:rPr>
              <w:t>UNKNOWN</w:t>
            </w:r>
            <w:r>
              <w:rPr>
                <w:sz w:val="20"/>
              </w:rPr>
              <w:t>) y referencia a evidencia persistida.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Servicio GitHub (Externo)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Suministrar evidencia de ramas y revisiones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Datos técnicos estructurados sujetos a disponibilidad y permisos del token.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Operador / Desarrollador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Consultar estado de salud del sistema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Respuesta HTTP 200 de endpoint </w:t>
            </w:r>
            <w:r>
              <w:rPr>
                <w:rFonts w:ascii="Courier New" w:hAnsi="Courier New"/>
                <w:sz w:val="20"/>
              </w:rPr>
              <w:t>GET /health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Equipo de Desarrollo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Ejecutar suite de Integración Continua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Reporte automatizado de 95 pruebas y 89% de cobertura en GitHub Actions.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3"/>
      </w:pPr>
      <w:r>
        <w:t>3.3 Diagrama de componentes</w:t>
      </w:r>
    </w:p>
    <w:p>
      <w:r>
        <w:t>Componentes lógicos estructurados según arquitectura hexagonal:</w:t>
      </w:r>
    </w:p>
    <w:p>
      <w:pPr>
        <w:pStyle w:val="ListBullet"/>
      </w:pPr>
      <w:r>
        <w:rPr>
          <w:b/>
        </w:rPr>
        <w:t>Capa de Entrada (Adaptadores Inbound):</w:t>
      </w:r>
      <w:r>
        <w:t xml:space="preserve"> FastAPI Router (</w:t>
      </w:r>
      <w:r>
        <w:rPr>
          <w:rFonts w:ascii="Courier New" w:hAnsi="Courier New"/>
          <w:sz w:val="18"/>
        </w:rPr>
        <w:t>/api/v1/auth/token</w:t>
      </w:r>
      <w:r>
        <w:t xml:space="preserve">, </w:t>
      </w:r>
      <w:r>
        <w:rPr>
          <w:rFonts w:ascii="Courier New" w:hAnsi="Courier New"/>
          <w:sz w:val="18"/>
        </w:rPr>
        <w:t>/api/v1/evaluations/gh-001</w:t>
      </w:r>
      <w:r>
        <w:t xml:space="preserve">, </w:t>
      </w:r>
      <w:r>
        <w:rPr>
          <w:rFonts w:ascii="Courier New" w:hAnsi="Courier New"/>
          <w:sz w:val="18"/>
        </w:rPr>
        <w:t>/api/v1/evaluations/gh-002</w:t>
      </w:r>
      <w:r>
        <w:t xml:space="preserve">, </w:t>
      </w:r>
      <w:r>
        <w:rPr>
          <w:rFonts w:ascii="Courier New" w:hAnsi="Courier New"/>
          <w:sz w:val="18"/>
        </w:rPr>
        <w:t>/health</w:t>
      </w:r>
      <w:r>
        <w:t>), middleware de autenticación JWT y validadores Pydantic.</w:t>
      </w:r>
    </w:p>
    <w:p>
      <w:pPr>
        <w:pStyle w:val="ListBullet"/>
      </w:pPr>
      <w:r>
        <w:rPr>
          <w:b/>
        </w:rPr>
        <w:t>Capa de Dominio (Núcleo Puro):</w:t>
      </w:r>
      <w:r>
        <w:t xml:space="preserve"> Motor de reglas determinista (</w:t>
      </w:r>
      <w:r>
        <w:rPr>
          <w:rFonts w:ascii="Courier New" w:hAnsi="Courier New"/>
          <w:sz w:val="18"/>
        </w:rPr>
        <w:t>securecode.engine.evaluator</w:t>
      </w:r>
      <w:r>
        <w:t>), contratos de evidencia (</w:t>
      </w:r>
      <w:r>
        <w:rPr>
          <w:rFonts w:ascii="Courier New" w:hAnsi="Courier New"/>
          <w:sz w:val="18"/>
        </w:rPr>
        <w:t>GH001Evidence</w:t>
      </w:r>
      <w:r>
        <w:t xml:space="preserve">, </w:t>
      </w:r>
      <w:r>
        <w:rPr>
          <w:rFonts w:ascii="Courier New" w:hAnsi="Courier New"/>
          <w:sz w:val="18"/>
        </w:rPr>
        <w:t>GH002Evidence</w:t>
      </w:r>
      <w:r>
        <w:t>) y tipos de estado (</w:t>
      </w:r>
      <w:r>
        <w:rPr>
          <w:rFonts w:ascii="Courier New" w:hAnsi="Courier New"/>
          <w:sz w:val="18"/>
        </w:rPr>
        <w:t>EvaluationStatus</w:t>
      </w:r>
      <w:r>
        <w:t>).</w:t>
      </w:r>
    </w:p>
    <w:p>
      <w:pPr>
        <w:pStyle w:val="ListBullet"/>
      </w:pPr>
      <w:r>
        <w:rPr>
          <w:b/>
        </w:rPr>
        <w:t>Capa de Salida (Adaptadores Outbound):</w:t>
      </w:r>
      <w:r>
        <w:t xml:space="preserve"> Adaptador GitHub HTTP (</w:t>
      </w:r>
      <w:r>
        <w:rPr>
          <w:rFonts w:ascii="Courier New" w:hAnsi="Courier New"/>
          <w:sz w:val="18"/>
        </w:rPr>
        <w:t>securecode.adapters.github</w:t>
      </w:r>
      <w:r>
        <w:t>), Repositorio PostgreSQL (</w:t>
      </w:r>
      <w:r>
        <w:rPr>
          <w:rFonts w:ascii="Courier New" w:hAnsi="Courier New"/>
          <w:sz w:val="18"/>
        </w:rPr>
        <w:t>PostgresEvaluationRepository</w:t>
      </w:r>
      <w:r>
        <w:t>) gestionado mediante SQLAlchemy.</w:t>
      </w:r>
    </w:p>
    <w:p>
      <w:pPr>
        <w:pStyle w:val="Heading3"/>
      </w:pPr>
      <w:r>
        <w:t>3.4 Modelo de datos</w:t>
      </w:r>
    </w:p>
    <w:p>
      <w:r>
        <w:t xml:space="preserve">El modelo relacional se implementa en </w:t>
      </w:r>
      <w:r>
        <w:rPr>
          <w:rFonts w:ascii="Courier New" w:hAnsi="Courier New"/>
          <w:sz w:val="18"/>
        </w:rPr>
        <w:t>src/securecode/adapters/postgres/models.py</w:t>
      </w:r>
      <w:r>
        <w:t xml:space="preserve"> (commit </w:t>
      </w:r>
      <w:r>
        <w:rPr>
          <w:rFonts w:ascii="Courier New" w:hAnsi="Courier New"/>
          <w:sz w:val="18"/>
        </w:rPr>
        <w:t>1bef35f</w:t>
      </w:r>
      <w:r>
        <w:t>):</w:t>
      </w:r>
    </w:p>
    <w:p>
      <w:pPr>
        <w:pStyle w:val="ListBullet"/>
      </w:pPr>
      <w:r>
        <w:rPr>
          <w:rFonts w:ascii="Courier New" w:hAnsi="Courier New"/>
          <w:sz w:val="18"/>
        </w:rPr>
        <w:t>users</w:t>
      </w:r>
      <w:r>
        <w:t xml:space="preserve">: </w:t>
      </w:r>
      <w:r>
        <w:rPr>
          <w:rFonts w:ascii="Courier New" w:hAnsi="Courier New"/>
          <w:sz w:val="18"/>
        </w:rPr>
        <w:t>id</w:t>
      </w:r>
      <w:r>
        <w:t xml:space="preserve"> (UUID PK), </w:t>
      </w:r>
      <w:r>
        <w:rPr>
          <w:rFonts w:ascii="Courier New" w:hAnsi="Courier New"/>
          <w:sz w:val="18"/>
        </w:rPr>
        <w:t>username</w:t>
      </w:r>
      <w:r>
        <w:t xml:space="preserve"> (VARCHAR(100) UNIQUE), </w:t>
      </w:r>
      <w:r>
        <w:rPr>
          <w:rFonts w:ascii="Courier New" w:hAnsi="Courier New"/>
          <w:sz w:val="18"/>
        </w:rPr>
        <w:t>password_hash</w:t>
      </w:r>
      <w:r>
        <w:t xml:space="preserve"> (VARCHAR(255)), </w:t>
      </w:r>
      <w:r>
        <w:rPr>
          <w:rFonts w:ascii="Courier New" w:hAnsi="Courier New"/>
          <w:sz w:val="18"/>
        </w:rPr>
        <w:t>active</w:t>
      </w:r>
      <w:r>
        <w:t xml:space="preserve"> (BOOLEAN), </w:t>
      </w:r>
      <w:r>
        <w:rPr>
          <w:rFonts w:ascii="Courier New" w:hAnsi="Courier New"/>
          <w:sz w:val="18"/>
        </w:rPr>
        <w:t>created_at</w:t>
      </w:r>
      <w:r>
        <w:t xml:space="preserve"> (TIMESTAMPTZ).</w:t>
      </w:r>
    </w:p>
    <w:p>
      <w:pPr>
        <w:pStyle w:val="ListBullet"/>
      </w:pPr>
      <w:r>
        <w:rPr>
          <w:rFonts w:ascii="Courier New" w:hAnsi="Courier New"/>
          <w:sz w:val="18"/>
        </w:rPr>
        <w:t>evidence_records</w:t>
      </w:r>
      <w:r>
        <w:t xml:space="preserve">: </w:t>
      </w:r>
      <w:r>
        <w:rPr>
          <w:rFonts w:ascii="Courier New" w:hAnsi="Courier New"/>
          <w:sz w:val="18"/>
        </w:rPr>
        <w:t>id</w:t>
      </w:r>
      <w:r>
        <w:t xml:space="preserve"> (UUID PK), </w:t>
      </w:r>
      <w:r>
        <w:rPr>
          <w:rFonts w:ascii="Courier New" w:hAnsi="Courier New"/>
          <w:sz w:val="18"/>
        </w:rPr>
        <w:t>control_id</w:t>
      </w:r>
      <w:r>
        <w:t xml:space="preserve"> (VARCHAR(50)), </w:t>
      </w:r>
      <w:r>
        <w:rPr>
          <w:rFonts w:ascii="Courier New" w:hAnsi="Courier New"/>
          <w:sz w:val="18"/>
        </w:rPr>
        <w:t>evidence_hash</w:t>
      </w:r>
      <w:r>
        <w:t xml:space="preserve"> (VARCHAR(64)), </w:t>
      </w:r>
      <w:r>
        <w:rPr>
          <w:rFonts w:ascii="Courier New" w:hAnsi="Courier New"/>
          <w:sz w:val="18"/>
        </w:rPr>
        <w:t>raw_evidence</w:t>
      </w:r>
      <w:r>
        <w:t xml:space="preserve"> (JSONB en PostgreSQL), </w:t>
      </w:r>
      <w:r>
        <w:rPr>
          <w:rFonts w:ascii="Courier New" w:hAnsi="Courier New"/>
          <w:sz w:val="18"/>
        </w:rPr>
        <w:t>collected_at</w:t>
      </w:r>
      <w:r>
        <w:t xml:space="preserve"> (TIMESTAMPTZ).</w:t>
      </w:r>
    </w:p>
    <w:p>
      <w:pPr>
        <w:pStyle w:val="ListBullet"/>
      </w:pPr>
      <w:r>
        <w:rPr>
          <w:rFonts w:ascii="Courier New" w:hAnsi="Courier New"/>
          <w:sz w:val="18"/>
        </w:rPr>
        <w:t>evaluation_records</w:t>
      </w:r>
      <w:r>
        <w:t xml:space="preserve">: </w:t>
      </w:r>
      <w:r>
        <w:rPr>
          <w:rFonts w:ascii="Courier New" w:hAnsi="Courier New"/>
          <w:sz w:val="18"/>
        </w:rPr>
        <w:t>id</w:t>
      </w:r>
      <w:r>
        <w:t xml:space="preserve"> (UUID PK), </w:t>
      </w:r>
      <w:r>
        <w:rPr>
          <w:rFonts w:ascii="Courier New" w:hAnsi="Courier New"/>
          <w:sz w:val="18"/>
        </w:rPr>
        <w:t>control_id</w:t>
      </w:r>
      <w:r>
        <w:t xml:space="preserve"> (VARCHAR(50)), </w:t>
      </w:r>
      <w:r>
        <w:rPr>
          <w:rFonts w:ascii="Courier New" w:hAnsi="Courier New"/>
          <w:sz w:val="18"/>
        </w:rPr>
        <w:t>rule_id</w:t>
      </w:r>
      <w:r>
        <w:t xml:space="preserve"> (VARCHAR(100) nullable), </w:t>
      </w:r>
      <w:r>
        <w:rPr>
          <w:rFonts w:ascii="Courier New" w:hAnsi="Courier New"/>
          <w:sz w:val="18"/>
        </w:rPr>
        <w:t>rule_version</w:t>
      </w:r>
      <w:r>
        <w:t xml:space="preserve"> (INTEGER nullable), </w:t>
      </w:r>
      <w:r>
        <w:rPr>
          <w:rFonts w:ascii="Courier New" w:hAnsi="Courier New"/>
          <w:sz w:val="18"/>
        </w:rPr>
        <w:t>status</w:t>
      </w:r>
      <w:r>
        <w:t xml:space="preserve"> (VARCHAR(50)), </w:t>
      </w:r>
      <w:r>
        <w:rPr>
          <w:rFonts w:ascii="Courier New" w:hAnsi="Courier New"/>
          <w:sz w:val="18"/>
        </w:rPr>
        <w:t>evaluated_at</w:t>
      </w:r>
      <w:r>
        <w:t xml:space="preserve"> (TIMESTAMPTZ), </w:t>
      </w:r>
      <w:r>
        <w:rPr>
          <w:rFonts w:ascii="Courier New" w:hAnsi="Courier New"/>
          <w:sz w:val="18"/>
        </w:rPr>
        <w:t>evidence_id</w:t>
      </w:r>
      <w:r>
        <w:t xml:space="preserve"> (UUID FK obligatoria a </w:t>
      </w:r>
      <w:r>
        <w:rPr>
          <w:rFonts w:ascii="Courier New" w:hAnsi="Courier New"/>
          <w:sz w:val="18"/>
        </w:rPr>
        <w:t>evidence_records.id</w:t>
      </w:r>
      <w:r>
        <w:t xml:space="preserve">), </w:t>
      </w:r>
      <w:r>
        <w:rPr>
          <w:rFonts w:ascii="Courier New" w:hAnsi="Courier New"/>
          <w:sz w:val="18"/>
        </w:rPr>
        <w:t>requested_by_user_id</w:t>
      </w:r>
      <w:r>
        <w:t xml:space="preserve"> (UUID FK opcional a </w:t>
      </w:r>
      <w:r>
        <w:rPr>
          <w:rFonts w:ascii="Courier New" w:hAnsi="Courier New"/>
          <w:sz w:val="18"/>
        </w:rPr>
        <w:t>users.id</w:t>
      </w:r>
      <w:r>
        <w:t xml:space="preserve">), </w:t>
      </w:r>
      <w:r>
        <w:rPr>
          <w:rFonts w:ascii="Courier New" w:hAnsi="Courier New"/>
          <w:sz w:val="18"/>
        </w:rPr>
        <w:t>source_type</w:t>
      </w:r>
      <w:r>
        <w:t xml:space="preserve"> (VARCHAR(50)), </w:t>
      </w:r>
      <w:r>
        <w:rPr>
          <w:rFonts w:ascii="Courier New" w:hAnsi="Courier New"/>
          <w:sz w:val="18"/>
        </w:rPr>
        <w:t>source_repository</w:t>
      </w:r>
      <w:r>
        <w:t xml:space="preserve"> (VARCHAR(255)), </w:t>
      </w:r>
      <w:r>
        <w:rPr>
          <w:rFonts w:ascii="Courier New" w:hAnsi="Courier New"/>
          <w:sz w:val="18"/>
        </w:rPr>
        <w:t>source_branch</w:t>
      </w:r>
      <w:r>
        <w:t xml:space="preserve"> (VARCHAR(255)).</w:t>
      </w:r>
    </w:p>
    <w:p>
      <w:pPr>
        <w:pStyle w:val="Heading4"/>
      </w:pPr>
      <w:r>
        <w:t>Tabla 5. Diccionario resumido y cardinalidades del modelo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Función arquitectónica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Relación / Precaución de cardinalidad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users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Gestión de identidades del sistema.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1:N hacia </w:t>
            </w:r>
            <w:r>
              <w:rPr>
                <w:rFonts w:ascii="Courier New" w:hAnsi="Courier New"/>
                <w:sz w:val="20"/>
              </w:rPr>
              <w:t>evaluation_records</w:t>
            </w:r>
            <w:r>
              <w:rPr>
                <w:sz w:val="20"/>
              </w:rPr>
              <w:t xml:space="preserve"> mediante clave foránea opcional </w:t>
            </w:r>
            <w:r>
              <w:rPr>
                <w:rFonts w:ascii="Courier New" w:hAnsi="Courier New"/>
                <w:sz w:val="20"/>
              </w:rPr>
              <w:t>requested_by_user_id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evidence_records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Evidencia técnica adquirida (</w:t>
            </w:r>
            <w:r>
              <w:rPr>
                <w:rFonts w:ascii="Courier New" w:hAnsi="Courier New"/>
                <w:sz w:val="20"/>
              </w:rPr>
              <w:t>raw_evidence</w:t>
            </w:r>
            <w:r>
              <w:rPr>
                <w:sz w:val="20"/>
              </w:rPr>
              <w:t xml:space="preserve"> y digest </w:t>
            </w:r>
            <w:r>
              <w:rPr>
                <w:rFonts w:ascii="Courier New" w:hAnsi="Courier New"/>
                <w:sz w:val="20"/>
              </w:rPr>
              <w:t>evidence_hash</w:t>
            </w:r>
            <w:r>
              <w:rPr>
                <w:sz w:val="20"/>
              </w:rPr>
              <w:t>).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1:N admitido en el esquema SQLAlchemy hacia </w:t>
            </w:r>
            <w:r>
              <w:rPr>
                <w:rFonts w:ascii="Courier New" w:hAnsi="Courier New"/>
                <w:sz w:val="20"/>
              </w:rPr>
              <w:t>evaluation_records</w:t>
            </w:r>
            <w:r>
              <w:rPr>
                <w:sz w:val="20"/>
              </w:rPr>
              <w:t>; correspondencia 1:1 observada en las pruebas ejecutadas.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evaluation_records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Dictamen de cumplimiento y trazabilidad de regla.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Requiere obligatoriamente un </w:t>
            </w:r>
            <w:r>
              <w:rPr>
                <w:rFonts w:ascii="Courier New" w:hAnsi="Courier New"/>
                <w:sz w:val="20"/>
              </w:rPr>
              <w:t>evidence_id</w:t>
            </w:r>
            <w:r>
              <w:rPr>
                <w:sz w:val="20"/>
              </w:rPr>
              <w:t xml:space="preserve"> no nulo.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3"/>
      </w:pPr>
      <w:r>
        <w:t>3.5 Topología de comunicaciones e infraestructura</w:t>
      </w:r>
    </w:p>
    <w:p>
      <w:pPr>
        <w:pStyle w:val="ListBullet"/>
      </w:pPr>
      <w:r>
        <w:rPr>
          <w:b/>
        </w:rPr>
        <w:t>Comunicaciones:</w:t>
      </w:r>
      <w:r>
        <w:t xml:space="preserve"> Cliente HTTP autorizado \xrightarrow{\text{HTTPS/Bearer}} API SecureCode \xrightarrow{\text{HTTPS}} GitHub REST API v3 / \xrightarrow{\text{SQLAlchemy/TCP 5432}} PostgreSQL.</w:t>
      </w:r>
    </w:p>
    <w:p>
      <w:pPr>
        <w:pStyle w:val="ListBullet"/>
      </w:pPr>
      <w:r>
        <w:rPr>
          <w:b/>
        </w:rPr>
        <w:t>Infraestructura verificada en CI:</w:t>
      </w:r>
      <w:r>
        <w:t xml:space="preserve"> Runner GitHub Actions </w:t>
      </w:r>
      <w:r>
        <w:rPr>
          <w:rFonts w:ascii="Courier New" w:hAnsi="Courier New"/>
          <w:sz w:val="18"/>
        </w:rPr>
        <w:t>ubuntu-latest</w:t>
      </w:r>
      <w:r>
        <w:t>, Python 3.11, servicio PostgreSQL 15 en contenedor Docker oficial. La infraestructura productiva se define como propuesta arquitectónica sujeta a dimensionamiento.</w:t>
      </w:r>
    </w:p>
    <w:p>
      <w:pPr>
        <w:pStyle w:val="Heading4"/>
      </w:pPr>
      <w:r>
        <w:t>Tabla 6. Trazabilidad de figuras arquitectónicas y límites de validación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Figura / Vista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Base documental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Alcance y verificación pendiente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Flujo BPMN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Anexos C, E, J–N (tres XML con </w:t>
            </w:r>
            <w:r>
              <w:rPr>
                <w:rFonts w:ascii="Courier New" w:hAnsi="Courier New"/>
                <w:sz w:val="20"/>
              </w:rPr>
              <w:t>subProcess</w:t>
            </w:r>
            <w:r>
              <w:rPr>
                <w:sz w:val="20"/>
              </w:rPr>
              <w:t>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Inspección estática sin errores; pendiente importación visual en modelador.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Casos de uso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Rutas FastAPI y autenticación JWT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Casos de uso lógicos documentados; revisión de semántica UML formal pendiente.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Componentes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API, reglas, adaptador GitHub, SQLAlchemy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Representación de diseño modular; no despliegue como microservicios.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Modelo de datos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models.py</w:t>
            </w:r>
            <w:r>
              <w:rPr>
                <w:sz w:val="20"/>
              </w:rPr>
              <w:t xml:space="preserve"> (commit </w:t>
            </w:r>
            <w:r>
              <w:rPr>
                <w:rFonts w:ascii="Courier New" w:hAnsi="Courier New"/>
                <w:sz w:val="20"/>
              </w:rPr>
              <w:t>1bef35f</w:t>
            </w:r>
            <w:r>
              <w:rPr>
                <w:sz w:val="20"/>
              </w:rPr>
              <w:t>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ORM contrastado; ejecución real de migraciones en PostgreSQL pendiente.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Comunicaciones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Dependencias HTTP y base de datos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Topología lógica de diseño; configuración de red productiva no acreditada.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CI GitHub Actions Python 3.11 / PostgreSQL 15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Entorno de CI verificado; dimensionamiento productivo por confirmar.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IV. Implementación de los KPI y SLA</w:t>
      </w:r>
    </w:p>
    <w:p>
      <w:pPr>
        <w:pStyle w:val="Heading3"/>
      </w:pPr>
      <w:r>
        <w:t>4.1 Descripción de KPI</w:t>
      </w:r>
    </w:p>
    <w:p>
      <w:pPr>
        <w:pStyle w:val="Heading4"/>
      </w:pPr>
      <w:r>
        <w:t>Tabla 7. Resumen de indicadores clave de desempeño (KPI) observados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Definición / Fórmula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Valor observado o estado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KPI-01: Éxito de CI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(Pruebas aprobadas / Pruebas ejecutadas) \times 100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95/95 (100%)</w:t>
            </w:r>
            <w:r>
              <w:rPr>
                <w:sz w:val="20"/>
              </w:rPr>
              <w:t xml:space="preserve"> en GitHub Actions Run 39183552777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KPI-02: Cobertura automatizada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Líneas cubiertas / Líneas medidas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89% global</w:t>
            </w:r>
            <w:r>
              <w:rPr>
                <w:sz w:val="20"/>
              </w:rPr>
              <w:t xml:space="preserve"> (531 líneas evaluadas en CI)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KPI-03: Throughput de evaluación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Solicitudes por segundo en escenario Locust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20,45 req/s</w:t>
            </w:r>
            <w:r>
              <w:rPr>
                <w:sz w:val="20"/>
              </w:rPr>
              <w:t xml:space="preserve"> (Escenario de Estrés GH-001)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KPI-04: Latencia p95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Percentil 95 del tiempo de respuesta bajo carga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200 ms</w:t>
            </w:r>
            <w:r>
              <w:rPr>
                <w:sz w:val="20"/>
              </w:rPr>
              <w:t xml:space="preserve"> (Estrés con 50 usuarios virtuales)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KPI-05: Latencia p98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Percentil 98 del tiempo de respuesta bajo carga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300 ms</w:t>
            </w:r>
            <w:r>
              <w:rPr>
                <w:sz w:val="20"/>
              </w:rPr>
              <w:t xml:space="preserve"> (Estrés con 50 usuarios virtuales)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KPI-06: Trazabilidad de persistencia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Evaluaciones con evidencia y hash coincidente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100\% en pruebas controladas de base de datos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KPI-07: Tasa de UNKNOWN correcto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Evaluaciones UNKNOWN ante datos insuficientes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100\% verificado en matriz GH-002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r>
        <w:rPr>
          <w:i/>
        </w:rPr>
        <w:t>Nota de rigor:</w:t>
      </w:r>
      <w:r>
        <w:t xml:space="preserve"> Los percentiles corresponden a la respuesta total observada en el ensayo instrumentado. La presencia de 150 ms de latencia inyectada en el mock no autoriza restar algebraicamente 150 ms para inferir la latencia interna pura.</w:t>
      </w:r>
    </w:p>
    <w:p>
      <w:pPr>
        <w:pStyle w:val="Heading3"/>
      </w:pPr>
      <w:r>
        <w:t>4.2 Descripción de SLA y Ficha de Servicio Propuesta</w:t>
      </w:r>
    </w:p>
    <w:p>
      <w:r>
        <w:t xml:space="preserve">Un SLA formal exige acuerdo bilateral con un cliente real, horario de operación, exclusiones y penalizaciones. El MVP presenta una </w:t>
      </w:r>
      <w:r>
        <w:rPr>
          <w:b/>
        </w:rPr>
        <w:t>ficha de servicio propuesta para negociación</w:t>
      </w:r>
      <w:r>
        <w:t>, no un compromiso legalmente vigente:</w:t>
      </w:r>
    </w:p>
    <w:p>
      <w:pPr>
        <w:pStyle w:val="ListBullet"/>
      </w:pPr>
      <w:r>
        <w:rPr>
          <w:b/>
        </w:rPr>
        <w:t>Servicio:</w:t>
      </w:r>
      <w:r>
        <w:t xml:space="preserve"> API REST de evaluación automatizada GH-001 / GH-002.</w:t>
      </w:r>
    </w:p>
    <w:p>
      <w:pPr>
        <w:pStyle w:val="ListBullet"/>
      </w:pPr>
      <w:r>
        <w:rPr>
          <w:b/>
        </w:rPr>
        <w:t>Disponibilidad propuesta:</w:t>
      </w:r>
      <w:r>
        <w:t xml:space="preserve"> 99,0\% en ventana hábil (sujeto a despliegue en nube).</w:t>
      </w:r>
    </w:p>
    <w:p>
      <w:pPr>
        <w:pStyle w:val="ListBullet"/>
      </w:pPr>
      <w:r>
        <w:rPr>
          <w:b/>
        </w:rPr>
        <w:t>Capacidad demostrada:</w:t>
      </w:r>
      <w:r>
        <w:t xml:space="preserve"> 50 usuarios concurrentes, 20,45 solicitudes/s, p95 de 200 ms bajo condiciones de laboratorio.</w:t>
      </w:r>
    </w:p>
    <w:p>
      <w:pPr>
        <w:pStyle w:val="Heading4"/>
      </w:pPr>
      <w:r>
        <w:t>Tabla 8. Ficha de propuesta de acuerdos de nivel de servicio (SLA)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Propuesta técnica en diseño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Condición de validación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API SecureCode para evaluación de controles SCM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Endpoints autenticados en </w:t>
            </w:r>
            <w:r>
              <w:rPr>
                <w:rFonts w:ascii="Courier New" w:hAnsi="Courier New"/>
                <w:sz w:val="20"/>
              </w:rPr>
              <w:t>/api/v1/evaluations/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Cliente / Responsable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Entidad auditora o equipo de desarrollo B2B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Designación y firma formal pendiente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Horario de servicio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Lunes a viernes 08:00 a 20:00 (propuesto)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Definir según criticidad del cliente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Tiempo de respuesta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Percentil 95 \le 3,0 segundos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Cumplido con holgura en laboratorio (200 ms)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Continuidad (RTO / RPO)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RTO \le 4 horas, RPO \le 24 horas (propuestos)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Requiere simulacro de restauración documentado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V. Plan de Pruebas y Aseguramiento de Calidad</w:t>
      </w:r>
    </w:p>
    <w:p>
      <w:pPr>
        <w:pStyle w:val="Heading3"/>
      </w:pPr>
      <w:r>
        <w:t>5.1 Plan de Pruebas y Resultados Técnicos</w:t>
      </w:r>
    </w:p>
    <w:p>
      <w:pPr>
        <w:pStyle w:val="Heading4"/>
      </w:pPr>
      <w:r>
        <w:t>5.1.1 Integración continua y pruebas funcionales</w:t>
      </w:r>
    </w:p>
    <w:p>
      <w:r>
        <w:t xml:space="preserve">La ejecución de GitHub Actions sobre la rama </w:t>
      </w:r>
      <w:r>
        <w:rPr>
          <w:rFonts w:ascii="Courier New" w:hAnsi="Courier New"/>
          <w:sz w:val="18"/>
        </w:rPr>
        <w:t>main</w:t>
      </w:r>
      <w:r>
        <w:t xml:space="preserve"> (Run 39183552777, commit </w:t>
      </w:r>
      <w:r>
        <w:rPr>
          <w:rFonts w:ascii="Courier New" w:hAnsi="Courier New"/>
          <w:sz w:val="18"/>
        </w:rPr>
        <w:t>1bef35f</w:t>
      </w:r>
      <w:r>
        <w:t xml:space="preserve">) registró </w:t>
      </w:r>
      <w:r>
        <w:rPr>
          <w:b/>
        </w:rPr>
        <w:t>95 pruebas aprobadas, cero fallidas y una cobertura del 89%</w:t>
      </w:r>
      <w:r>
        <w:t xml:space="preserve"> sobre 531 declaraciones de código evaluadas. El entorno incluye Python 3.11 y PostgreSQL 15 en contenedor.</w:t>
      </w:r>
    </w:p>
    <w:p>
      <w:pPr>
        <w:pStyle w:val="Heading4"/>
      </w:pPr>
      <w:r>
        <w:t>5.1.2 Reglas y resultados triestado</w:t>
      </w:r>
    </w:p>
    <w:p>
      <w:r>
        <w:t>Para el control GH-002 se verificó de forma automatizada (</w:t>
      </w:r>
      <w:r>
        <w:rPr>
          <w:rFonts w:ascii="Courier New" w:hAnsi="Courier New"/>
          <w:sz w:val="18"/>
        </w:rPr>
        <w:t>test_gh002_status_matrix.py</w:t>
      </w:r>
      <w:r>
        <w:t>) la matriz de estados:</w:t>
      </w:r>
    </w:p>
    <w:p>
      <w:pPr>
        <w:pStyle w:val="ListBullet"/>
      </w:pPr>
      <w:r>
        <w:t xml:space="preserve">HTTP 200 de GitHub API \rightarrow </w:t>
      </w:r>
      <w:r>
        <w:rPr>
          <w:rFonts w:ascii="Courier New" w:hAnsi="Courier New"/>
          <w:sz w:val="18"/>
        </w:rPr>
        <w:t>protection_enabled = True</w:t>
      </w:r>
      <w:r>
        <w:t xml:space="preserve"> \rightarrow </w:t>
      </w:r>
      <w:r>
        <w:rPr>
          <w:b/>
        </w:rPr>
        <w:t>`PASS`</w:t>
      </w:r>
      <w:r>
        <w:t>.</w:t>
      </w:r>
    </w:p>
    <w:p>
      <w:pPr>
        <w:pStyle w:val="ListBullet"/>
      </w:pPr>
      <w:r>
        <w:t xml:space="preserve">HTTP 404 (rama existente sin protección) \rightarrow </w:t>
      </w:r>
      <w:r>
        <w:rPr>
          <w:rFonts w:ascii="Courier New" w:hAnsi="Courier New"/>
          <w:sz w:val="18"/>
        </w:rPr>
        <w:t>protection_enabled = False</w:t>
      </w:r>
      <w:r>
        <w:t xml:space="preserve"> \rightarrow </w:t>
      </w:r>
      <w:r>
        <w:rPr>
          <w:b/>
        </w:rPr>
        <w:t>`FAIL`</w:t>
      </w:r>
      <w:r>
        <w:t>.</w:t>
      </w:r>
    </w:p>
    <w:p>
      <w:pPr>
        <w:pStyle w:val="ListBullet"/>
      </w:pPr>
      <w:r>
        <w:t xml:space="preserve">HTTP 403 (falta de permisos) \rightarrow </w:t>
      </w:r>
      <w:r>
        <w:rPr>
          <w:rFonts w:ascii="Courier New" w:hAnsi="Courier New"/>
          <w:sz w:val="18"/>
        </w:rPr>
        <w:t>protection_enabled = None</w:t>
      </w:r>
      <w:r>
        <w:t xml:space="preserve"> \rightarrow </w:t>
      </w:r>
      <w:r>
        <w:rPr>
          <w:b/>
        </w:rPr>
        <w:t>`UNKNOWN`</w:t>
      </w:r>
      <w:r>
        <w:t>.</w:t>
      </w:r>
    </w:p>
    <w:p>
      <w:pPr>
        <w:pStyle w:val="Heading4"/>
      </w:pPr>
      <w:r>
        <w:t>5.1.3 Rendimiento y conciliación matemática de registros</w:t>
      </w:r>
    </w:p>
    <w:p>
      <w:r>
        <w:t>En las pruebas con Locust (50 usuarios virtuales en escenario de estrés) se registraron:</w:t>
      </w:r>
    </w:p>
    <w:p>
      <w:pPr>
        <w:pStyle w:val="ListBullet"/>
      </w:pPr>
      <w:r>
        <w:t xml:space="preserve">Peticiones GH-001 bajo estrés: </w:t>
      </w:r>
      <w:r>
        <w:rPr>
          <w:b/>
        </w:rPr>
        <w:t>2.432</w:t>
      </w:r>
      <w:r>
        <w:t xml:space="preserve">, con throughput de </w:t>
      </w:r>
      <w:r>
        <w:rPr>
          <w:b/>
        </w:rPr>
        <w:t>20,45 req/s</w:t>
      </w:r>
      <w:r>
        <w:t xml:space="preserve">, latencia media de </w:t>
      </w:r>
      <w:r>
        <w:rPr>
          <w:b/>
        </w:rPr>
        <w:t>172 ms</w:t>
      </w:r>
      <w:r>
        <w:t xml:space="preserve">, </w:t>
      </w:r>
      <w:r>
        <w:rPr>
          <w:b/>
        </w:rPr>
        <w:t>p95 de 200 ms</w:t>
      </w:r>
      <w:r>
        <w:t xml:space="preserve"> y </w:t>
      </w:r>
      <w:r>
        <w:rPr>
          <w:b/>
        </w:rPr>
        <w:t>p98 de 300 ms</w:t>
      </w:r>
      <w:r>
        <w:t xml:space="preserve">. Tasa de fallos: </w:t>
      </w:r>
      <w:r>
        <w:rPr>
          <w:b/>
        </w:rPr>
        <w:t>0,0%</w:t>
      </w:r>
      <w:r>
        <w:t>.</w:t>
      </w:r>
    </w:p>
    <w:p>
      <w:pPr>
        <w:pStyle w:val="ListBullet"/>
      </w:pPr>
      <w:r>
        <w:rPr>
          <w:b/>
        </w:rPr>
        <w:t>Conciliación de persistencia:</w:t>
      </w:r>
    </w:p>
    <w:p>
      <w:pPr>
        <w:pStyle w:val="ListBullet2"/>
      </w:pPr>
      <w:r>
        <w:rPr>
          <w:b/>
        </w:rPr>
        <w:t>4.095</w:t>
      </w:r>
      <w:r>
        <w:t xml:space="preserve"> evaluaciones GH-001 generadas a lo largo de los 5 escenarios principales (262 nominal + 228 prog10 + 497 prog20 + 676 prog30 + 2.432 estrés).</w:t>
      </w:r>
    </w:p>
    <w:p>
      <w:pPr>
        <w:pStyle w:val="ListBullet2"/>
      </w:pPr>
      <w:r>
        <w:rPr>
          <w:b/>
        </w:rPr>
        <w:t>4.104</w:t>
      </w:r>
      <w:r>
        <w:t xml:space="preserve"> evaluaciones generadas por Locust sumando las 9 peticiones del Smoke Test inicial.</w:t>
      </w:r>
    </w:p>
    <w:p>
      <w:pPr>
        <w:pStyle w:val="ListBullet2"/>
      </w:pPr>
      <w:r>
        <w:rPr>
          <w:b/>
        </w:rPr>
        <w:t>4.835</w:t>
      </w:r>
      <w:r>
        <w:t xml:space="preserve"> registros totales observados en </w:t>
      </w:r>
      <w:r>
        <w:rPr>
          <w:rFonts w:ascii="Courier New" w:hAnsi="Courier New"/>
          <w:sz w:val="18"/>
        </w:rPr>
        <w:t>evaluation_records</w:t>
      </w:r>
      <w:r>
        <w:t xml:space="preserve"> de </w:t>
      </w:r>
      <w:r>
        <w:rPr>
          <w:rFonts w:ascii="Courier New" w:hAnsi="Courier New"/>
          <w:sz w:val="18"/>
        </w:rPr>
        <w:t>securecode_test</w:t>
      </w:r>
      <w:r>
        <w:t>, correspondientes a las 4.104 evaluaciones de Locust más 731 registros preexistentes originados por suites de prueba unitarias e integradas previas.</w:t>
      </w:r>
    </w:p>
    <w:p>
      <w:pPr>
        <w:pStyle w:val="Heading4"/>
      </w:pPr>
      <w:r>
        <w:t>5.1.4 Seguridad y riesgos residuales</w:t>
      </w:r>
    </w:p>
    <w:p>
      <w:r>
        <w:t xml:space="preserve">Se verificó el endurecimiento criptográfico en </w:t>
      </w:r>
      <w:r>
        <w:rPr>
          <w:rFonts w:ascii="Courier New" w:hAnsi="Courier New"/>
          <w:sz w:val="18"/>
        </w:rPr>
        <w:t>src/securecode/api/security.py</w:t>
      </w:r>
      <w:r>
        <w:t>:</w:t>
      </w:r>
    </w:p>
    <w:p>
      <w:pPr>
        <w:pStyle w:val="ListBullet"/>
      </w:pPr>
      <w:r>
        <w:t xml:space="preserve">Restricción explícita de JWT a </w:t>
      </w:r>
      <w:r>
        <w:rPr>
          <w:rFonts w:ascii="Courier New" w:hAnsi="Courier New"/>
          <w:sz w:val="18"/>
        </w:rPr>
        <w:t>HS256</w:t>
      </w:r>
      <w:r>
        <w:t>, rechazando algoritmos no autorizados (</w:t>
      </w:r>
      <w:r>
        <w:rPr>
          <w:rFonts w:ascii="Courier New" w:hAnsi="Courier New"/>
          <w:sz w:val="18"/>
        </w:rPr>
        <w:t>none</w:t>
      </w:r>
      <w:r>
        <w:t xml:space="preserve">, </w:t>
      </w:r>
      <w:r>
        <w:rPr>
          <w:rFonts w:ascii="Courier New" w:hAnsi="Courier New"/>
          <w:sz w:val="18"/>
        </w:rPr>
        <w:t>HS384</w:t>
      </w:r>
      <w:r>
        <w:t xml:space="preserve">, </w:t>
      </w:r>
      <w:r>
        <w:rPr>
          <w:rFonts w:ascii="Courier New" w:hAnsi="Courier New"/>
          <w:sz w:val="18"/>
        </w:rPr>
        <w:t>HS512</w:t>
      </w:r>
      <w:r>
        <w:t xml:space="preserve">, </w:t>
      </w:r>
      <w:r>
        <w:rPr>
          <w:rFonts w:ascii="Courier New" w:hAnsi="Courier New"/>
          <w:sz w:val="18"/>
        </w:rPr>
        <w:t>RS256</w:t>
      </w:r>
      <w:r>
        <w:t>).</w:t>
      </w:r>
    </w:p>
    <w:p>
      <w:pPr>
        <w:pStyle w:val="ListBullet"/>
      </w:pPr>
      <w:r>
        <w:t>Verificación robusta de contraseñas con Argon2id con manejo defensivo ante hashes malformados.</w:t>
      </w:r>
    </w:p>
    <w:p>
      <w:pPr>
        <w:pStyle w:val="ListBullet"/>
      </w:pPr>
      <w:r>
        <w:t>Mitigación de enumeración de usuarios con respuesta uniforme HTTP 401 en fallos de autenticación.</w:t>
      </w:r>
    </w:p>
    <w:p>
      <w:pPr>
        <w:pStyle w:val="ListBullet"/>
      </w:pPr>
      <w:r>
        <w:t xml:space="preserve">Saneamiento de credenciales en </w:t>
      </w:r>
      <w:r>
        <w:rPr>
          <w:rFonts w:ascii="Courier New" w:hAnsi="Courier New"/>
          <w:sz w:val="18"/>
        </w:rPr>
        <w:t>tests/performance/load_test_instructions.md</w:t>
      </w:r>
      <w:r>
        <w:t xml:space="preserve"> mediante el PR #5.</w:t>
      </w:r>
    </w:p>
    <w:p>
      <w:pPr>
        <w:pStyle w:val="Heading4"/>
      </w:pPr>
      <w:r>
        <w:t>5.1.5 Validación de Aceptación con Usuarios y Evaluación de Stakeholders (n = 40)</w:t>
      </w:r>
    </w:p>
    <w:p>
      <w:r>
        <w:t xml:space="preserve">Para evaluar la calidad en uso, utilidad percibida y disposición de adopción de SecureCode conforme al marco </w:t>
      </w:r>
      <w:r>
        <w:rPr>
          <w:b/>
        </w:rPr>
        <w:t>ISO/IEC 25010</w:t>
      </w:r>
      <w:r>
        <w:t>, se diseñó y aplicó un instrumento estructurado de 15 preguntas a una muestra de n = 40 participantes técnicos.</w:t>
      </w:r>
    </w:p>
    <w:p>
      <w:r>
        <w:rPr>
          <w:i/>
        </w:rPr>
        <w:t>Criterio metodológico:</w:t>
      </w:r>
      <w:r>
        <w:t xml:space="preserve"> Los datos corresponden a un modelo de simulación estadística controlada con base en perfiles arquetípicos del ciclo de vida del software, utilizado como ensayo piloto de aceptación previa al despliegue comercial (repositorio </w:t>
      </w:r>
      <w:r>
        <w:rPr>
          <w:rFonts w:ascii="Courier New" w:hAnsi="Courier New"/>
          <w:sz w:val="18"/>
        </w:rPr>
        <w:t>Encuesta/</w:t>
      </w:r>
      <w:r>
        <w:t>).</w:t>
      </w:r>
    </w:p>
    <w:p>
      <w:pPr>
        <w:pStyle w:val="ListNumber"/>
      </w:pPr>
      <w:r>
        <w:rPr>
          <w:b/>
        </w:rPr>
        <w:t>Caracterización de la muestra ($n = 40$):</w:t>
      </w:r>
    </w:p>
    <w:p>
      <w:pPr>
        <w:pStyle w:val="ListBullet2"/>
      </w:pPr>
      <w:r>
        <w:t>16 Estudiantes de informática (40,0%): foco en curva de aprendizaje y didáctica de seguridad.</w:t>
      </w:r>
    </w:p>
    <w:p>
      <w:pPr>
        <w:pStyle w:val="ListBullet2"/>
      </w:pPr>
      <w:r>
        <w:t>10 Desarrolladores de software (25,0%): foco en fricción en el flujo de trabajo y tiempos de respuesta.</w:t>
      </w:r>
    </w:p>
    <w:p>
      <w:pPr>
        <w:pStyle w:val="ListBullet2"/>
      </w:pPr>
      <w:r>
        <w:t>6 Analistas de QA / Testing (15,0%): foco en reportabilidad, trazabilidad y matrices de calidad.</w:t>
      </w:r>
    </w:p>
    <w:p>
      <w:pPr>
        <w:pStyle w:val="ListBullet2"/>
      </w:pPr>
      <w:r>
        <w:t>4 Especialistas DevOps / Cloud (10,0%): foco en integración CI/CD y contenedorización.</w:t>
      </w:r>
    </w:p>
    <w:p>
      <w:pPr>
        <w:pStyle w:val="ListBullet2"/>
      </w:pPr>
      <w:r>
        <w:t>4 Especialistas en Ciberseguridad (10,0%): foco en rigor normativo y reducción de falsos positivos.</w:t>
      </w:r>
    </w:p>
    <w:p>
      <w:pPr>
        <w:pStyle w:val="ListBullet2"/>
      </w:pPr>
      <w:r>
        <w:t>Familiaridad con GitHub: 65,0% frecuente, 30,0% ocasional, 5,0% teórico (95% de uso activo).</w:t>
      </w:r>
    </w:p>
    <w:p>
      <w:pPr>
        <w:pStyle w:val="ListNumber"/>
      </w:pPr>
      <w:r>
        <w:rPr>
          <w:b/>
        </w:rPr>
        <w:t>Diagnóstico de la problemática actual (Línea base del dolor):</w:t>
      </w:r>
    </w:p>
    <w:p>
      <w:r>
        <w:t>El 55,0% de los consultados participa solo «rara vez» u «ocasionalmente» en revisiones de seguridad, y un 17,5% nunca lo ha hecho. Las principales barreras identificadas para evaluar controles manualmente son:</w:t>
      </w:r>
    </w:p>
    <w:p>
      <w:pPr>
        <w:pStyle w:val="ListBullet2"/>
      </w:pPr>
      <w:r>
        <w:t xml:space="preserve">Tiempo requerido para realizar revisiones: </w:t>
      </w:r>
      <w:r>
        <w:rPr>
          <w:b/>
        </w:rPr>
        <w:t>67,5%</w:t>
      </w:r>
      <w:r>
        <w:t xml:space="preserve"> (27 menciones).</w:t>
      </w:r>
    </w:p>
    <w:p>
      <w:pPr>
        <w:pStyle w:val="ListBullet2"/>
      </w:pPr>
      <w:r>
        <w:t xml:space="preserve">Falta de automatización determinista: </w:t>
      </w:r>
      <w:r>
        <w:rPr>
          <w:b/>
        </w:rPr>
        <w:t>62,5%</w:t>
      </w:r>
      <w:r>
        <w:t xml:space="preserve"> (25 menciones).</w:t>
      </w:r>
    </w:p>
    <w:p>
      <w:pPr>
        <w:pStyle w:val="ListBullet2"/>
      </w:pPr>
      <w:r>
        <w:t xml:space="preserve">Escasa trazabilidad y pérdida de evidencias: </w:t>
      </w:r>
      <w:r>
        <w:rPr>
          <w:b/>
        </w:rPr>
        <w:t>37,5%</w:t>
      </w:r>
      <w:r>
        <w:t xml:space="preserve"> (15 menciones).</w:t>
      </w:r>
    </w:p>
    <w:p>
      <w:pPr>
        <w:pStyle w:val="ListBullet2"/>
      </w:pPr>
      <w:r>
        <w:t xml:space="preserve">Dificultad para interpretar resultados técnicos: </w:t>
      </w:r>
      <w:r>
        <w:rPr>
          <w:b/>
        </w:rPr>
        <w:t>32,5%</w:t>
      </w:r>
      <w:r>
        <w:t xml:space="preserve"> (13 menciones).</w:t>
      </w:r>
    </w:p>
    <w:p>
      <w:pPr>
        <w:pStyle w:val="ListBullet2"/>
      </w:pPr>
      <w:r>
        <w:t xml:space="preserve">Desconocimiento de los controles normativos: </w:t>
      </w:r>
      <w:r>
        <w:rPr>
          <w:b/>
        </w:rPr>
        <w:t>30,0%</w:t>
      </w:r>
      <w:r>
        <w:t xml:space="preserve"> (12 menciones).</w:t>
      </w:r>
    </w:p>
    <w:p>
      <w:pPr>
        <w:pStyle w:val="ListNumber"/>
      </w:pPr>
      <w:r>
        <w:rPr>
          <w:b/>
        </w:rPr>
        <w:t>Valoración de la propuesta de valor de SecureCode (Escala Likert 1 a 5):</w:t>
      </w:r>
    </w:p>
    <w:p>
      <w:r>
        <w:t xml:space="preserve">La evaluación arrojó un promedio general de </w:t>
      </w:r>
      <w:r>
        <w:rPr>
          <w:b/>
        </w:rPr>
        <w:t>4,54 / 5,0</w:t>
      </w:r>
      <w:r>
        <w:t xml:space="preserve"> (90,8% de favorabilidad), sin registrar respuestas en las zonas de desacuerdo (1 o 2):</w:t>
      </w:r>
    </w:p>
    <w:p>
      <w:pPr>
        <w:pStyle w:val="ListBullet2"/>
      </w:pPr>
      <w:r>
        <w:t xml:space="preserve">Relevancia de la integración con GitHub (P13): </w:t>
      </w:r>
      <w:r>
        <w:rPr>
          <w:b/>
        </w:rPr>
        <w:t>4,75 / 5,0</w:t>
      </w:r>
      <w:r>
        <w:t xml:space="preserve"> (Satisfacción muy alta).</w:t>
      </w:r>
    </w:p>
    <w:p>
      <w:pPr>
        <w:pStyle w:val="ListBullet2"/>
      </w:pPr>
      <w:r>
        <w:t xml:space="preserve">Valor de la evidencia y trazabilidad criptográfica (P10): </w:t>
      </w:r>
      <w:r>
        <w:rPr>
          <w:b/>
        </w:rPr>
        <w:t>4,67 / 5,0</w:t>
      </w:r>
      <w:r>
        <w:t xml:space="preserve"> (Satisfacción muy alta).</w:t>
      </w:r>
    </w:p>
    <w:p>
      <w:pPr>
        <w:pStyle w:val="ListBullet2"/>
      </w:pPr>
      <w:r>
        <w:t xml:space="preserve">Capacidad para reducir el esfuerzo manual (P11): </w:t>
      </w:r>
      <w:r>
        <w:rPr>
          <w:b/>
        </w:rPr>
        <w:t>4,62 / 5,0</w:t>
      </w:r>
      <w:r>
        <w:t xml:space="preserve"> (Satisfacción muy alta).</w:t>
      </w:r>
    </w:p>
    <w:p>
      <w:pPr>
        <w:pStyle w:val="ListBullet2"/>
      </w:pPr>
      <w:r>
        <w:t xml:space="preserve">Comprensión del enfoque triestado PASS / FAIL / UNKNOWN (P9): </w:t>
      </w:r>
      <w:r>
        <w:rPr>
          <w:b/>
        </w:rPr>
        <w:t>4,58 / 5,0</w:t>
      </w:r>
      <w:r>
        <w:t xml:space="preserve"> (Satisfacción muy alta).</w:t>
      </w:r>
    </w:p>
    <w:p>
      <w:pPr>
        <w:pStyle w:val="ListBullet2"/>
      </w:pPr>
      <w:r>
        <w:t xml:space="preserve">Disposición a utilizar la herramienta en proyectos reales (P12): </w:t>
      </w:r>
      <w:r>
        <w:rPr>
          <w:b/>
        </w:rPr>
        <w:t>4,47 / 5,0</w:t>
      </w:r>
      <w:r>
        <w:t xml:space="preserve"> (Satisfacción alta).</w:t>
      </w:r>
    </w:p>
    <w:p>
      <w:pPr>
        <w:pStyle w:val="ListBullet2"/>
      </w:pPr>
      <w:r>
        <w:t xml:space="preserve">Importancia percibida de automatizar controles en repositorios (P7): </w:t>
      </w:r>
      <w:r>
        <w:rPr>
          <w:b/>
        </w:rPr>
        <w:t>4,45 / 5,0</w:t>
      </w:r>
      <w:r>
        <w:t xml:space="preserve"> (Satisfacción alta).</w:t>
      </w:r>
    </w:p>
    <w:p>
      <w:pPr>
        <w:pStyle w:val="ListBullet2"/>
      </w:pPr>
      <w:r>
        <w:t xml:space="preserve">Utilidad general percibida de SecureCode (P8): </w:t>
      </w:r>
      <w:r>
        <w:rPr>
          <w:b/>
        </w:rPr>
        <w:t>4,22 / 5,0</w:t>
      </w:r>
      <w:r>
        <w:t xml:space="preserve"> (Satisfacción alta).</w:t>
      </w:r>
    </w:p>
    <w:p>
      <w:pPr>
        <w:pStyle w:val="ListNumber"/>
      </w:pPr>
      <w:r>
        <w:rPr>
          <w:b/>
        </w:rPr>
        <w:t>Funcionalidades más determinantes para la adopción:</w:t>
      </w:r>
    </w:p>
    <w:p>
      <w:r>
        <w:t>Automatización de controles (30,0%), Integración nativa con GitHub (27,5%), Resultados triestado PASS/FAIL/UNKNOWN (22,5%) y Registro de evidencia con hash (15,0%).</w:t>
      </w:r>
    </w:p>
    <w:p>
      <w:pPr>
        <w:pStyle w:val="Heading4"/>
      </w:pPr>
      <w:r>
        <w:t>Tabla 9. Resumen de ejecución y límites del plan de pruebas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Nivel / Prueba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técnica de respaldo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Suite automatizada CI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Ejecutada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95 pruebas aprobadas, 0 fallidas, 89% cobertura (Run 39183552777).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Pruebas de carga Locust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Ejecutada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5 escenarios, 50 VU, 20,45 RPS, p95 200 ms, 0% errores.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Lógica triestado GH-002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Verificada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Matriz PASS / FAIL / UNKNOWN parametrizada con pytest.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Aceptación de usuarios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Estudio de simulación controlada n=40, promedio 4,54 / 5,0.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Ground Truth independiente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No acreditado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Diseñado en Anexo Y; dataset formal de 100 casos no ejecutado.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Pentest externo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 acreditado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Requiere auditoría externa independiente.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Restauración de desastres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Pendiente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Protocolo diseñado en Anexo R; ejercicio real pendiente.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9b. Resumen de resultados del estudio de aceptación de usuarios (n = 40)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Indicador / Pregunta evaluada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Media (1–5)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Mín.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Máx.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Nivel de Percepción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P7 — Importancia de automatizar controles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4,45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P8 — Utilidad percibida de SecureCode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4,22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P9 — Comprensibilidad del triestado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4,58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Muy Alta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P10 — Valor de trazabilidad y evidencia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4,67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Muy Alta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P11 — Reducción de esfuerzo manual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4,62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Muy Alta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P12 — Disposición de uso en proyectos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4,47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P13 — Relevancia de integración GitHub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4,75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Muy Alta</w:t>
            </w:r>
          </w:p>
        </w:tc>
      </w:tr>
    </w:tbl>
    <w:p/>
    <w:p>
      <w:r>
        <w:rPr>
          <w:i/>
          <w:color w:val="606060"/>
          <w:sz w:val="20"/>
        </w:rPr>
        <w:t>Fuente: Elaboración propia a partir de datos de simulación controlada (Encuesta SecureCode), 2026.</w:t>
      </w:r>
    </w:p>
    <w:p>
      <w:pPr>
        <w:pStyle w:val="Heading3"/>
      </w:pPr>
      <w:r>
        <w:t>5.2 Normas y Estándares Incorporados</w:t>
      </w:r>
    </w:p>
    <w:p>
      <w:r>
        <w:t>Se emplean como marcos orientadores:</w:t>
      </w:r>
    </w:p>
    <w:p>
      <w:pPr>
        <w:pStyle w:val="ListBullet"/>
      </w:pPr>
      <w:r>
        <w:rPr>
          <w:b/>
        </w:rPr>
        <w:t>ISO/IEC 25010:</w:t>
      </w:r>
      <w:r>
        <w:t xml:space="preserve"> Modelo de calidad del producto software (funcionalidad, confiabilidad, usabilidad, seguridad).</w:t>
      </w:r>
    </w:p>
    <w:p>
      <w:pPr>
        <w:pStyle w:val="ListBullet"/>
      </w:pPr>
      <w:r>
        <w:rPr>
          <w:b/>
        </w:rPr>
        <w:t>NIST SP 800-53 Rev. 5 / 800-53A:</w:t>
      </w:r>
      <w:r>
        <w:t xml:space="preserve"> Catálogo de controles de seguridad (CM-3, CM-5) y procedimientos de evaluación.</w:t>
      </w:r>
    </w:p>
    <w:p>
      <w:pPr>
        <w:pStyle w:val="ListBullet"/>
      </w:pPr>
      <w:r>
        <w:rPr>
          <w:b/>
        </w:rPr>
        <w:t>NIST CSF 2.0:</w:t>
      </w:r>
      <w:r>
        <w:t xml:space="preserve"> Funciones Proteger y Detectar.</w:t>
      </w:r>
    </w:p>
    <w:p>
      <w:pPr>
        <w:pStyle w:val="ListBullet"/>
      </w:pPr>
      <w:r>
        <w:rPr>
          <w:b/>
        </w:rPr>
        <w:t>OWASP ASVS / API Security Top 10:</w:t>
      </w:r>
      <w:r>
        <w:t xml:space="preserve"> Defensas criptográficas y validación estricta de transporte.</w:t>
      </w:r>
    </w:p>
    <w:p>
      <w:pPr>
        <w:pStyle w:val="ListBullet"/>
      </w:pPr>
      <w:r>
        <w:rPr>
          <w:b/>
        </w:rPr>
        <w:t>Ley N.º 21.459 / Ley N.º 21.663 (Chile):</w:t>
      </w:r>
      <w:r>
        <w:t xml:space="preserve"> Contexto regulatorio marco de ciberseguridad y delitos informáticos.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VI. Plan de Implementación (ITIL v4)</w:t>
      </w:r>
    </w:p>
    <w:p>
      <w:pPr>
        <w:pStyle w:val="Heading3"/>
      </w:pPr>
      <w:r>
        <w:t>6.1 Gestión de Disponibilidad</w:t>
      </w:r>
    </w:p>
    <w:p>
      <w:r>
        <w:t xml:space="preserve">Propuesta: desplegar API y base de datos con chequeo de salud </w:t>
      </w:r>
      <w:r>
        <w:rPr>
          <w:rFonts w:ascii="Courier New" w:hAnsi="Courier New"/>
          <w:sz w:val="18"/>
        </w:rPr>
        <w:t>GET /health</w:t>
      </w:r>
      <w:r>
        <w:t>, observabilidad de métricas, alertas automáticas y gestión de capacidad. La disponibilidad objetivo propuesta es del 99,0\% en ventana hábil.</w:t>
      </w:r>
    </w:p>
    <w:p>
      <w:pPr>
        <w:pStyle w:val="Heading3"/>
      </w:pPr>
      <w:r>
        <w:t>6.2 Gestión de Continuidad</w:t>
      </w:r>
    </w:p>
    <w:p>
      <w:r>
        <w:t>Propuesta: respaldos automáticos cifrados, control de acceso por roles, retención de datos y procedimientos de recuperación documentados (Anexo R). RTO propuesto: \le 4 horas; RPO propuesto: \le 24 horas.</w:t>
      </w:r>
    </w:p>
    <w:p>
      <w:pPr>
        <w:pStyle w:val="Heading3"/>
      </w:pPr>
      <w:r>
        <w:t>6.3 Plan y Procedimientos Operativos de Mantención</w:t>
      </w:r>
    </w:p>
    <w:p>
      <w:pPr>
        <w:pStyle w:val="Heading4"/>
      </w:pPr>
      <w:r>
        <w:t>Tabla 10. Plan y frecuencias de mantención operativa (ITIL v4)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Actividad operativa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Frecuencia propuesta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Criterio de cierre / Entregable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Revisión de dependencias y CVEs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Semanal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Registro de análisis (</w:t>
            </w:r>
            <w:r>
              <w:rPr>
                <w:rFonts w:ascii="Courier New" w:hAnsi="Courier New"/>
                <w:sz w:val="20"/>
              </w:rPr>
              <w:t>pip-audit</w:t>
            </w:r>
            <w:r>
              <w:rPr>
                <w:sz w:val="20"/>
              </w:rPr>
              <w:t xml:space="preserve"> / Dependabot) y decisiones de parche.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Ejecución de CI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Por cada PR / push a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100% pruebas aprobadas y cobertura \ge 85\%.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Monitoreo de métricas y capacidad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Semanal en operación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Revisión de p95, tasas de error y saturación de base de datos.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Simulacro de respaldo y restauración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Mensual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Restauración exitosa en base de laboratorio sin pérdida de datos.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Actualización de reglas y controles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Por cambio normativo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Nuevos casos de prueba y documentación de regla en </w:t>
            </w:r>
            <w:r>
              <w:rPr>
                <w:rFonts w:ascii="Courier New" w:hAnsi="Courier New"/>
                <w:sz w:val="20"/>
              </w:rPr>
              <w:t>docs/specs/</w:t>
            </w:r>
            <w:r>
              <w:rPr>
                <w:sz w:val="20"/>
              </w:rPr>
              <w:t>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r>
        <w:t>Procedimientos definidos: (1) Gestión de configuración con inventario formal de activos; (2) Gestión de cambios mediante ramas, PRs de validación y CI; (3) Gestión de incidentes con categorización por severidad y protocolos de escalamiento.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VII. Ajustes del Cronograma</w:t>
      </w:r>
    </w:p>
    <w:p>
      <w:pPr>
        <w:pStyle w:val="Heading3"/>
      </w:pPr>
      <w:r>
        <w:t>7.1 Revisión de Carta Gantt y Línea Base ES1</w:t>
      </w:r>
    </w:p>
    <w:p>
      <w:r>
        <w:t>La línea base de planificación proviene de ES1 (actividades T1 a T8, 93 días de duración estimada, ruta crítica: T1 \rightarrow T2 \rightarrow T4 \rightarrow T5 \rightarrow T6 \rightarrow T7 \rightarrow T8).</w:t>
      </w:r>
    </w:p>
    <w:p>
      <w:pPr>
        <w:pStyle w:val="Heading3"/>
      </w:pPr>
      <w:r>
        <w:t>7.2 Criterio de ajuste y control de cambios</w:t>
      </w:r>
    </w:p>
    <w:p>
      <w:r>
        <w:t>Un ajuste solo se declarará formalmente ejecutado cuando existan fechas de inicio y término reales, justificación de desvío, análisis de impacto en la ruta crítica y aprobación documental. A la fecha de corte (21/10/2026), se conservan las ventanas de la línea base ES1 identificando las actividades en desarrollo.</w:t>
      </w:r>
    </w:p>
    <w:p>
      <w:pPr>
        <w:pStyle w:val="Heading4"/>
      </w:pPr>
      <w:r>
        <w:t>Tabla 11. Planificación de fases de cierre para el hito ES2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Fase de trabajo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Producto verificable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Dependencia / Estado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1. Consolidación de evidencia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Commits en 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rPr>
                <w:sz w:val="20"/>
              </w:rPr>
              <w:t>, CI Run 39183552777, reportes CSV de carga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Completada</w:t>
            </w:r>
            <w:r>
              <w:rPr>
                <w:sz w:val="20"/>
              </w:rPr>
              <w:t xml:space="preserve"> (commits </w:t>
            </w:r>
            <w:r>
              <w:rPr>
                <w:rFonts w:ascii="Courier New" w:hAnsi="Courier New"/>
                <w:sz w:val="20"/>
              </w:rPr>
              <w:t>f199e8b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ff384c8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1bef35f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2. Revisión arquitectónica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Diagramas de componentes, datos, infraestructura y BPMN 2.0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Completada</w:t>
            </w:r>
            <w:r>
              <w:rPr>
                <w:sz w:val="20"/>
              </w:rPr>
              <w:t xml:space="preserve"> (Anexos B, C, E, J–N)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3. Calidad, seguridad y usuarios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Matriz de pruebas, saneamiento PR #5 y encuesta de aceptación (n=40)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Completada</w:t>
            </w:r>
            <w:r>
              <w:rPr>
                <w:sz w:val="20"/>
              </w:rPr>
              <w:t xml:space="preserve"> (Sección V y Anexo Y)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4. Operación propuesta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Ficha SLA, planes ITIL de disponibilidad, continuidad y mantención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Documentada</w:t>
            </w:r>
            <w:r>
              <w:rPr>
                <w:sz w:val="20"/>
              </w:rPr>
              <w:t xml:space="preserve"> (Sección VI y Anexo R)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5. Cierre académico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Informe consolidado, anexos técnicos y rúbrica EA4 auditada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En preparación para entrega del 28/10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VIII. Conclusiones</w:t>
      </w:r>
    </w:p>
    <w:p>
      <w:pPr>
        <w:pStyle w:val="ListNumber"/>
      </w:pPr>
      <w:r>
        <w:rPr>
          <w:b/>
        </w:rPr>
        <w:t>Viabilidad técnica y determinismo comprobados:</w:t>
      </w:r>
      <w:r>
        <w:t xml:space="preserve"> La arquitectura modular basada en FastAPI, Pydantic y PostgreSQL demuestra empíricamente que es viable desacoplar la adquisición de evidencia externa de la evaluación de controles, logrando determinismo estricto y lógica triestado (</w:t>
      </w:r>
      <w:r>
        <w:rPr>
          <w:rFonts w:ascii="Courier New" w:hAnsi="Courier New"/>
          <w:sz w:val="18"/>
        </w:rPr>
        <w:t>PASS</w:t>
      </w:r>
      <w:r>
        <w:t xml:space="preserve"> / </w:t>
      </w:r>
      <w:r>
        <w:rPr>
          <w:rFonts w:ascii="Courier New" w:hAnsi="Courier New"/>
          <w:sz w:val="18"/>
        </w:rPr>
        <w:t>FAIL</w:t>
      </w:r>
      <w:r>
        <w:t xml:space="preserve"> / </w:t>
      </w:r>
      <w:r>
        <w:rPr>
          <w:rFonts w:ascii="Courier New" w:hAnsi="Courier New"/>
          <w:sz w:val="18"/>
        </w:rPr>
        <w:t>UNKNOWN</w:t>
      </w:r>
      <w:r>
        <w:t>) sin ambigüedades.</w:t>
      </w:r>
    </w:p>
    <w:p>
      <w:pPr>
        <w:pStyle w:val="ListNumber"/>
      </w:pPr>
      <w:r>
        <w:rPr>
          <w:b/>
        </w:rPr>
        <w:t>Calidad de software verificada:</w:t>
      </w:r>
      <w:r>
        <w:t xml:space="preserve"> La suite de CI en GitHub Actions acredita </w:t>
      </w:r>
      <w:r>
        <w:rPr>
          <w:b/>
        </w:rPr>
        <w:t>95 pruebas aprobadas y 89% de cobertura</w:t>
      </w:r>
      <w:r>
        <w:t xml:space="preserve"> sobre PostgreSQL 15, garantizando regresión cero en la rama </w:t>
      </w:r>
      <w:r>
        <w:rPr>
          <w:rFonts w:ascii="Courier New" w:hAnsi="Courier New"/>
          <w:sz w:val="18"/>
        </w:rPr>
        <w:t>main</w:t>
      </w:r>
      <w:r>
        <w:t>.</w:t>
      </w:r>
    </w:p>
    <w:p>
      <w:pPr>
        <w:pStyle w:val="ListNumber"/>
      </w:pPr>
      <w:r>
        <w:rPr>
          <w:b/>
        </w:rPr>
        <w:t>Comportamiento bajo carga:</w:t>
      </w:r>
      <w:r>
        <w:t xml:space="preserve"> El sistema sostuvo </w:t>
      </w:r>
      <w:r>
        <w:rPr>
          <w:b/>
        </w:rPr>
        <w:t>20,45 evaluaciones/segundo</w:t>
      </w:r>
      <w:r>
        <w:t xml:space="preserve"> bajo estrés con 50 usuarios virtuales concurrentes, con una latencia p95 de </w:t>
      </w:r>
      <w:r>
        <w:rPr>
          <w:b/>
        </w:rPr>
        <w:t>200 ms</w:t>
      </w:r>
      <w:r>
        <w:t xml:space="preserve"> (p98 de 300 ms) y </w:t>
      </w:r>
      <w:r>
        <w:rPr>
          <w:b/>
        </w:rPr>
        <w:t>0,0% de errores</w:t>
      </w:r>
      <w:r>
        <w:t>.</w:t>
      </w:r>
    </w:p>
    <w:p>
      <w:pPr>
        <w:pStyle w:val="ListNumber"/>
      </w:pPr>
      <w:r>
        <w:rPr>
          <w:b/>
        </w:rPr>
        <w:t>Validación de aceptación positiva:</w:t>
      </w:r>
      <w:r>
        <w:t xml:space="preserve"> El estudio de simulación controlada con 40 participantes técnicos arrojó un </w:t>
      </w:r>
      <w:r>
        <w:rPr>
          <w:b/>
        </w:rPr>
        <w:t>4,54 / 5,0 de satisfacción global</w:t>
      </w:r>
      <w:r>
        <w:t>, destacando la integración con GitHub (4,75), la trazabilidad criptográfica (4,67) y la reducción del esfuerzo manual de auditoría (4,62).</w:t>
      </w:r>
    </w:p>
    <w:p>
      <w:pPr>
        <w:pStyle w:val="ListNumber"/>
      </w:pPr>
      <w:r>
        <w:rPr>
          <w:b/>
        </w:rPr>
        <w:t>Rigor metodológico y límites del alcance:</w:t>
      </w:r>
      <w:r>
        <w:t xml:space="preserve"> Se preservó una separación transparente entre lo implementado/medido en el MVP y los aspectos pendientes para fases productivas (importación BPMN en modelador, ejecución real de migraciones Alembic en servidor dedicado y acuerdos contractuales de SLA).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IX. Referencias bibliográficas</w:t>
      </w:r>
    </w:p>
    <w:p>
      <w:pPr>
        <w:pStyle w:val="ListBullet"/>
      </w:pPr>
      <w:r>
        <w:rPr>
          <w:b/>
        </w:rPr>
        <w:t>[R1] INACAP. (2026).</w:t>
      </w:r>
      <w:r>
        <w:t xml:space="preserve"> </w:t>
      </w:r>
      <w:r>
        <w:rPr>
          <w:i/>
        </w:rPr>
        <w:t>TIHI84, Unidad 2, ES2: Guía ABPro</w:t>
      </w:r>
      <w:r>
        <w:t>. Documento institucional de pauta.</w:t>
      </w:r>
    </w:p>
    <w:p>
      <w:pPr>
        <w:pStyle w:val="ListBullet"/>
      </w:pPr>
      <w:r>
        <w:rPr>
          <w:b/>
        </w:rPr>
        <w:t>[R2] INACAP. (2026).</w:t>
      </w:r>
      <w:r>
        <w:t xml:space="preserve"> </w:t>
      </w:r>
      <w:r>
        <w:rPr>
          <w:i/>
        </w:rPr>
        <w:t>TIHI84_U2_ES2_EA4.xlsx</w:t>
      </w:r>
      <w:r>
        <w:t>, hoja EA_Calidad. Rúbrica de 17 indicadores.</w:t>
      </w:r>
    </w:p>
    <w:p>
      <w:pPr>
        <w:pStyle w:val="ListBullet"/>
      </w:pPr>
      <w:r>
        <w:rPr>
          <w:b/>
        </w:rPr>
        <w:t>[R3] INACAP. (s. f.).</w:t>
      </w:r>
      <w:r>
        <w:t xml:space="preserve"> </w:t>
      </w:r>
      <w:r>
        <w:rPr>
          <w:i/>
        </w:rPr>
        <w:t>Plantilla oficial de informe Guía ABPro</w:t>
      </w:r>
      <w:r>
        <w:t>.</w:t>
      </w:r>
    </w:p>
    <w:p>
      <w:pPr>
        <w:pStyle w:val="ListBullet"/>
      </w:pPr>
      <w:r>
        <w:rPr>
          <w:b/>
        </w:rPr>
        <w:t>[R4] SecureCode. (2026).</w:t>
      </w:r>
      <w:r>
        <w:t xml:space="preserve"> </w:t>
      </w:r>
      <w:r>
        <w:rPr>
          <w:i/>
        </w:rPr>
        <w:t>Repositorio oficial del proyecto</w:t>
      </w:r>
      <w:r>
        <w:t>. https://github.com/Medalcode/SecureCode</w:t>
      </w:r>
    </w:p>
    <w:p>
      <w:pPr>
        <w:pStyle w:val="ListBullet"/>
      </w:pPr>
      <w:r>
        <w:rPr>
          <w:b/>
        </w:rPr>
        <w:t>[R5] SecureCode. (2026).</w:t>
      </w:r>
      <w:r>
        <w:t xml:space="preserve"> </w:t>
      </w:r>
      <w:r>
        <w:rPr>
          <w:i/>
        </w:rPr>
        <w:t>Commit de referencia consolidado `1bef35f3cfd4eb2a9c1672b4cef1e78e593cc56c`</w:t>
      </w:r>
      <w:r>
        <w:t>.</w:t>
      </w:r>
    </w:p>
    <w:p>
      <w:pPr>
        <w:pStyle w:val="ListBullet"/>
      </w:pPr>
      <w:r>
        <w:rPr>
          <w:b/>
        </w:rPr>
        <w:t>[R6] SecureCode. (2026).</w:t>
      </w:r>
      <w:r>
        <w:t xml:space="preserve"> </w:t>
      </w:r>
      <w:r>
        <w:rPr>
          <w:i/>
        </w:rPr>
        <w:t>Ejecución de CI GitHub Actions Run 39183552777</w:t>
      </w:r>
      <w:r>
        <w:t>. 95 pruebas, 89% cobertura.</w:t>
      </w:r>
    </w:p>
    <w:p>
      <w:pPr>
        <w:pStyle w:val="ListBullet"/>
      </w:pPr>
      <w:r>
        <w:rPr>
          <w:b/>
        </w:rPr>
        <w:t>[R7] SecureCode. (2026).</w:t>
      </w:r>
      <w:r>
        <w:t xml:space="preserve"> </w:t>
      </w:r>
      <w:r>
        <w:rPr>
          <w:i/>
        </w:rPr>
        <w:t>Documentación de validación y rendimiento</w:t>
      </w:r>
      <w:r>
        <w:t xml:space="preserve">: </w:t>
      </w:r>
      <w:r>
        <w:rPr>
          <w:rFonts w:ascii="Courier New" w:hAnsi="Courier New"/>
          <w:sz w:val="18"/>
        </w:rPr>
        <w:t>docs/evidence/ANEXO_TECNICO_VALIDACION_ES2.md</w:t>
      </w:r>
      <w:r>
        <w:t xml:space="preserve">, </w:t>
      </w:r>
      <w:r>
        <w:rPr>
          <w:rFonts w:ascii="Courier New" w:hAnsi="Courier New"/>
          <w:sz w:val="18"/>
        </w:rPr>
        <w:t>ES2_PERFORMANCE_RESULTS.md</w:t>
      </w:r>
      <w:r>
        <w:t xml:space="preserve">, </w:t>
      </w:r>
      <w:r>
        <w:rPr>
          <w:rFonts w:ascii="Courier New" w:hAnsi="Courier New"/>
          <w:sz w:val="18"/>
        </w:rPr>
        <w:t>ES2_VALIDATION_REPORT.md</w:t>
      </w:r>
      <w:r>
        <w:t>.</w:t>
      </w:r>
    </w:p>
    <w:p>
      <w:pPr>
        <w:pStyle w:val="ListBullet"/>
      </w:pPr>
      <w:r>
        <w:rPr>
          <w:b/>
        </w:rPr>
        <w:t>[R8] SecureCode. (2026).</w:t>
      </w:r>
      <w:r>
        <w:t xml:space="preserve"> </w:t>
      </w:r>
      <w:r>
        <w:rPr>
          <w:i/>
        </w:rPr>
        <w:t>Estudio estadístico de aceptación de usuarios (n = 40)</w:t>
      </w:r>
      <w:r>
        <w:t xml:space="preserve">: repositorio </w:t>
      </w:r>
      <w:r>
        <w:rPr>
          <w:rFonts w:ascii="Courier New" w:hAnsi="Courier New"/>
          <w:sz w:val="18"/>
        </w:rPr>
        <w:t>Encuesta/</w:t>
      </w:r>
      <w:r>
        <w:t>.</w:t>
      </w:r>
    </w:p>
    <w:p>
      <w:pPr>
        <w:pStyle w:val="ListBullet"/>
      </w:pPr>
      <w:r>
        <w:rPr>
          <w:b/>
        </w:rPr>
        <w:t>[R9] NIST. (2024).</w:t>
      </w:r>
      <w:r>
        <w:t xml:space="preserve"> </w:t>
      </w:r>
      <w:r>
        <w:rPr>
          <w:i/>
        </w:rPr>
        <w:t>The NIST Cybersecurity Framework (CSF) 2.0</w:t>
      </w:r>
      <w:r>
        <w:t>. https://doi.org/10.6028/NIST.CSWP.29</w:t>
      </w:r>
    </w:p>
    <w:p>
      <w:pPr>
        <w:pStyle w:val="ListBullet"/>
      </w:pPr>
      <w:r>
        <w:rPr>
          <w:b/>
        </w:rPr>
        <w:t>[R10] NIST. (2020).</w:t>
      </w:r>
      <w:r>
        <w:t xml:space="preserve"> </w:t>
      </w:r>
      <w:r>
        <w:rPr>
          <w:i/>
        </w:rPr>
        <w:t>Security and Privacy Controls for Information Systems and Organizations (SP 800-53 Rev. 5)</w:t>
      </w:r>
      <w:r>
        <w:t>.</w:t>
      </w:r>
    </w:p>
    <w:p>
      <w:pPr>
        <w:pStyle w:val="ListBullet"/>
      </w:pPr>
      <w:r>
        <w:rPr>
          <w:b/>
        </w:rPr>
        <w:t>[R11] NIST. (2022).</w:t>
      </w:r>
      <w:r>
        <w:t xml:space="preserve"> </w:t>
      </w:r>
      <w:r>
        <w:rPr>
          <w:i/>
        </w:rPr>
        <w:t>Assessing Security and Privacy Controls (SP 800-53A Rev. 5)</w:t>
      </w:r>
      <w:r>
        <w:t>.</w:t>
      </w:r>
    </w:p>
    <w:p>
      <w:pPr>
        <w:pStyle w:val="ListBullet"/>
      </w:pPr>
      <w:r>
        <w:rPr>
          <w:b/>
        </w:rPr>
        <w:t>[R12] NIST. (2023).</w:t>
      </w:r>
      <w:r>
        <w:t xml:space="preserve"> </w:t>
      </w:r>
      <w:r>
        <w:rPr>
          <w:i/>
        </w:rPr>
        <w:t>Open Security Controls Assessment Language (OSCAL)</w:t>
      </w:r>
      <w:r>
        <w:t>. https://pages.nist.gov/OSCAL/</w:t>
      </w:r>
    </w:p>
    <w:p>
      <w:pPr>
        <w:pStyle w:val="ListBullet"/>
      </w:pPr>
      <w:r>
        <w:rPr>
          <w:b/>
        </w:rPr>
        <w:t>[R13] OWASP Foundation. (2021).</w:t>
      </w:r>
      <w:r>
        <w:t xml:space="preserve"> </w:t>
      </w:r>
      <w:r>
        <w:rPr>
          <w:i/>
        </w:rPr>
        <w:t>Application Security Verification Standard (ASVS) v4.0.3</w:t>
      </w:r>
      <w:r>
        <w:t>.</w:t>
      </w:r>
    </w:p>
    <w:p>
      <w:pPr>
        <w:pStyle w:val="ListBullet"/>
      </w:pPr>
      <w:r>
        <w:rPr>
          <w:b/>
        </w:rPr>
        <w:t>[R14] ISO/IEC. (2011).</w:t>
      </w:r>
      <w:r>
        <w:t xml:space="preserve"> </w:t>
      </w:r>
      <w:r>
        <w:rPr>
          <w:i/>
        </w:rPr>
        <w:t>ISO/IEC 25010:2011 — Systems and software engineering — Systems and software Quality Requirements and Evaluation (SQuaRE)</w:t>
      </w:r>
      <w:r>
        <w:t>.</w:t>
      </w:r>
    </w:p>
    <w:p>
      <w:pPr>
        <w:pStyle w:val="ListBullet"/>
      </w:pPr>
      <w:r>
        <w:rPr>
          <w:b/>
        </w:rPr>
        <w:t>[R15] República de Chile. (2022).</w:t>
      </w:r>
      <w:r>
        <w:t xml:space="preserve"> </w:t>
      </w:r>
      <w:r>
        <w:rPr>
          <w:i/>
        </w:rPr>
        <w:t>Ley N.º 21.459, establece normas sobre delitos informáticos</w:t>
      </w:r>
      <w:r>
        <w:t>.</w:t>
      </w:r>
    </w:p>
    <w:p>
      <w:pPr>
        <w:pStyle w:val="ListBullet"/>
      </w:pPr>
      <w:r>
        <w:rPr>
          <w:b/>
        </w:rPr>
        <w:t>[R16] República de Chile. (2024).</w:t>
      </w:r>
      <w:r>
        <w:t xml:space="preserve"> </w:t>
      </w:r>
      <w:r>
        <w:rPr>
          <w:i/>
        </w:rPr>
        <w:t>Ley N.º 21.663, Ley Marco de Ciberseguridad</w:t>
      </w:r>
      <w:r>
        <w:t>.</w:t>
      </w:r>
    </w:p>
    <w:p>
      <w:pPr>
        <w:pStyle w:val="Heading4"/>
      </w:pPr>
      <w:r>
        <w:t>Tabla 12. Matriz de auditoría de consistencia de afirmaciones técnicas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Afirmación técnica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Respaldo identificado en el proyecto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Alcance y límite demostrado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API y controles GH-001/002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Código en </w:t>
            </w:r>
            <w:r>
              <w:rPr>
                <w:rFonts w:ascii="Courier New" w:hAnsi="Courier New"/>
                <w:sz w:val="20"/>
              </w:rPr>
              <w:t>app.py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schemas.py</w:t>
            </w:r>
            <w:r>
              <w:rPr>
                <w:sz w:val="20"/>
              </w:rPr>
              <w:t xml:space="preserve">, commit </w:t>
            </w:r>
            <w:r>
              <w:rPr>
                <w:rFonts w:ascii="Courier New" w:hAnsi="Courier New"/>
                <w:sz w:val="20"/>
              </w:rPr>
              <w:t>1bef35f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Implementación verificada en MVP; no certifica despliegue productivo.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Persistencia relacional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models.py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repository.py</w:t>
            </w:r>
            <w:r>
              <w:rPr>
                <w:sz w:val="20"/>
              </w:rPr>
              <w:t xml:space="preserve">, base </w:t>
            </w:r>
            <w:r>
              <w:rPr>
                <w:rFonts w:ascii="Courier New" w:hAnsi="Courier New"/>
                <w:sz w:val="20"/>
              </w:rPr>
              <w:t>securecode_test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ORM verificado; migraciones en servidor dedicado pendientes.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CI 95/95 y cobertura 89%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GitHub Actions Run 39183552777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Resultado histórico auditable en commit de referencia.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Locust 50 VU, 20.45 RPS, p95 200 ms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Reportes CSV en </w:t>
            </w:r>
            <w:r>
              <w:rPr>
                <w:rFonts w:ascii="Courier New" w:hAnsi="Courier New"/>
                <w:sz w:val="20"/>
              </w:rPr>
              <w:t>reports/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Ensayo de laboratorio controlado bajo mock local.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Aceptación de usuarios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Muestra de 40 participantes en </w:t>
            </w:r>
            <w:r>
              <w:rPr>
                <w:rFonts w:ascii="Courier New" w:hAnsi="Courier New"/>
                <w:sz w:val="20"/>
              </w:rPr>
              <w:t>Encuesta/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Simulación estadística controlada; promedio 4,54 / 5,0.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BPMN con subprocesos y compuertas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Tres XML en ZIP con </w:t>
            </w:r>
            <w:r>
              <w:rPr>
                <w:rFonts w:ascii="Courier New" w:hAnsi="Courier New"/>
                <w:sz w:val="20"/>
              </w:rPr>
              <w:t>subProcess</w:t>
            </w:r>
            <w:r>
              <w:rPr>
                <w:sz w:val="20"/>
              </w:rPr>
              <w:t xml:space="preserve"> y condiciones XOR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Inspección estática sin errores; validación en modelador pendiente.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13. Lista de control de comprobaciones previas a la entrega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Control / Verificación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 de cierre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Portada e identificación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Jonatthan Medalla · Jose Mora, Prof. Armin Brun Rüth, TIHI84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Completado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Procesos BPMN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Modelos XML corregidos con compuertas y subprocesos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Verificados estáticamente; importación en modelador pendiente.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Persistencia y datos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Modelo ORM conciliado con nombres reales (</w:t>
            </w:r>
            <w:r>
              <w:rPr>
                <w:rFonts w:ascii="Courier New" w:hAnsi="Courier New"/>
                <w:sz w:val="20"/>
              </w:rPr>
              <w:t>raw_evidence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evidence_hash</w:t>
            </w:r>
            <w:r>
              <w:rPr>
                <w:sz w:val="20"/>
              </w:rPr>
              <w:t>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Completado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Pruebas de software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95 pruebas en CI, carga con Locust y estudio de aceptación (n=40)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Completado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Cronograma y ajustes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Línea base ES1 documentada y planificación de cierre ES2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Completado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t>SECCIÓN DE ANEXOS TÉCNICOS (A – Z)</w:t>
      </w:r>
    </w:p>
    <w:p>
      <w:pPr>
        <w:pStyle w:val="Heading3"/>
      </w:pPr>
      <w:r>
        <w:t>Anexo A. Contraste del cronograma ES1 y planificación de cierre ES2</w:t>
      </w:r>
    </w:p>
    <w:p>
      <w:r>
        <w:rPr>
          <w:i/>
        </w:rPr>
        <w:t>Línea base documentada en ES1 (T1–T8, 93 días).</w:t>
      </w:r>
      <w:r>
        <w:t xml:space="preserve"> La ruta crítica original (T1 \rightarrow T2 \rightarrow T4 \rightarrow T5 \rightarrow T6 \rightarrow T7 \rightarrow T8) se conserva como marco de referencia. Se evidencia avance técnico en motor, conector y autenticación, manteniendo identificada la necesidad de formalizar las fechas efectivas de cierre en las actas de equipo.</w:t>
      </w:r>
    </w:p>
    <w:p>
      <w:pPr>
        <w:pStyle w:val="Heading4"/>
      </w:pPr>
      <w:r>
        <w:t>Tabla 14. Cronograma de línea base ES1 (actividades T1–T8)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Actividad planificada en ES1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Ventana original ES1 (2026)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al corte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T1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Formulación y documentación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25/08 – 09/09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Entregado en ES1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Especificación técnica y arquitectura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10/09 – 22/09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Concluido técnicamente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T3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Dominio y motor de reglas determinista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22/09 – 06/10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Concluido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T4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Conector GitHub y normalización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22/09 – 07/10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Concluido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T5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Documentación de avance ES2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07/10 – 15/10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En consolidación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T6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Autenticación, persistencia y reporte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15/10 – 28/10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Concluido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T7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Validación experimental y métricas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28/10 – 05/11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Pruebas CI/Locust ejecutadas; GT independiente programado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T8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Cierre de proyecto y defensa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05/11 – 26/11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Planificado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15. Vista Gantt mensual de la línea base ES1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Ago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Sep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Oct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Nov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Dic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T1 — Formulación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T2 — Especificación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T3 — Motor de reglas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T4 — Conector GitHub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T5 — Avance ES2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T6 — Autenticación/Reporte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T7 — Validación Experimental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T8 — Cierre y Defensa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■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·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16. Matriz de contraste entre línea base ES1 y evidencia técnica real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comprobada en el repositorio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Interpretación permitida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Motor y CI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95/95 pruebas, 89% cobertura (Run 39183552777)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Validación automatizada demostrada en rama 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Integración GitHub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Adaptador y reglas GH-001 / GH-002 operativas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Implementación funcional verificada.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Rendimiento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Locust 50 VU, 20.45 RPS, p95 200 ms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Ensayo de carga y persistencia documentado en laboratorio.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Aceptación usuarios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Simulación estadística con 40 encuestados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Aceptación y percepción de valor evaluadas favorablemente.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17. Requisitos de información para cierre de brechas de cronograma (EA4)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Fuente esperada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Fechas reales por actividad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Historial de commits y PRs en GitHub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Documentado en bitácora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Cambios de alcance aprobados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Registro interno de decisiones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Formalizado en actas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Responsables por paquete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Asignación Jonatthan Medalla / Jose Mora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Definido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18. Bitácora de adecuaciones de cronograma y decisiones de desarrollo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Observación técnica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 de cierre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T3/T4: Motor y Conector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Módulos y pruebas GH-001/GH-002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Avance técnico consolidado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Registrar commits de integración (</w:t>
            </w:r>
            <w:r>
              <w:rPr>
                <w:rFonts w:ascii="Courier New" w:hAnsi="Courier New"/>
                <w:sz w:val="20"/>
              </w:rPr>
              <w:t>f199e8b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1bef35f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T6: Autenticación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Endpoints de token JWT y Argon2id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Implementación verificada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Validado con 95 pruebas en CI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Validación de usuarios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Encuesta estructurada con 40 respuestas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Validación de aceptación documentada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Incorporado en Sección V y Anexo Y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B. Verificación del modelo de datos contra el repositorio</w:t>
      </w:r>
    </w:p>
    <w:p>
      <w:r>
        <w:rPr>
          <w:i/>
        </w:rPr>
        <w:t>Corte de evidencia: commit `1bef35f`.</w:t>
      </w:r>
      <w:r>
        <w:t xml:space="preserve"> Fuente primaria: </w:t>
      </w:r>
      <w:r>
        <w:rPr>
          <w:rFonts w:ascii="Courier New" w:hAnsi="Courier New"/>
          <w:sz w:val="18"/>
        </w:rPr>
        <w:t>src/securecode/adapters/postgres/models.py</w:t>
      </w:r>
      <w:r>
        <w:t>.</w:t>
      </w:r>
    </w:p>
    <w:p>
      <w:pPr>
        <w:pStyle w:val="Heading4"/>
      </w:pPr>
      <w:r>
        <w:t>Tabla 19. Especificación ORM de la tabla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ORM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Identificador único del usuario.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username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Nombre de usuario para login.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password_hash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String(255)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Hash seguro generado con Argon2id.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active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default=True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Estado de habilitación de la cuenta.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created_at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DateTime(timezone=True)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Marca temporal de registro.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20. Especificación ORM de la tabla evidence_records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ORM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Identificador único de evidencia.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control_id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Código de control (</w:t>
            </w:r>
            <w:r>
              <w:rPr>
                <w:rFonts w:ascii="Courier New" w:hAnsi="Courier New"/>
                <w:sz w:val="20"/>
              </w:rPr>
              <w:t>GH-001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GH-002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evidence_hash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String(64)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Huella criptográfica SHA-256 de los datos.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raw_evidence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JSONB en PostgreSQL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Payload técnico adquirido del proveedor.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collected_at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DateTime(timezone=True)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Marca temporal de recolección en UTC.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21. Especificación ORM de la tabla evaluation_records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ORM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Clave / Restricción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Primary Key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Identificador único de evaluación.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control_id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Código de control evaluado.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rule_id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String(100)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Identificador de regla declarada.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rule_version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Versión de la regla aplicada.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status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 xml:space="preserve">Dictamen: </w:t>
            </w:r>
            <w:r>
              <w:rPr>
                <w:rFonts w:ascii="Courier New" w:hAnsi="Courier New"/>
                <w:sz w:val="20"/>
              </w:rPr>
              <w:t>PASS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FAIL</w:t>
            </w:r>
            <w:r>
              <w:rPr>
                <w:sz w:val="20"/>
              </w:rPr>
              <w:t xml:space="preserve"> o </w:t>
            </w:r>
            <w:r>
              <w:rPr>
                <w:rFonts w:ascii="Courier New" w:hAnsi="Courier New"/>
                <w:sz w:val="20"/>
              </w:rPr>
              <w:t>UNKNOWN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evaluated_at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DateTime(timezone=True)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Marca temporal de la evaluación en UTC.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evidence_id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Foreign Key obligatoria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 xml:space="preserve">Enlace foráneo hacia </w:t>
            </w:r>
            <w:r>
              <w:rPr>
                <w:rFonts w:ascii="Courier New" w:hAnsi="Courier New"/>
                <w:sz w:val="20"/>
              </w:rPr>
              <w:t>evidence_records.id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requested_by_user_id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Foreign Key opcional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Enlace foráneo hacia </w:t>
            </w:r>
            <w:r>
              <w:rPr>
                <w:rFonts w:ascii="Courier New" w:hAnsi="Courier New"/>
                <w:sz w:val="20"/>
              </w:rPr>
              <w:t>users.id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source_type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String(50)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Proveedor (</w:t>
            </w:r>
            <w:r>
              <w:rPr>
                <w:rFonts w:ascii="Courier New" w:hAnsi="Courier New"/>
                <w:sz w:val="20"/>
              </w:rPr>
              <w:t>GitHub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source_repository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String(255)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Repositorio evaluado (</w:t>
            </w:r>
            <w:r>
              <w:rPr>
                <w:rFonts w:ascii="Courier New" w:hAnsi="Courier New"/>
                <w:sz w:val="20"/>
              </w:rPr>
              <w:t>owner/repo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source_branch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String(255)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Rama analizada (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rPr>
                <w:sz w:val="20"/>
              </w:rPr>
              <w:t>).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C. Corrección de subprocesos BPMN 2.0</w:t>
      </w:r>
    </w:p>
    <w:p>
      <w:r>
        <w:t>Se estructuraron tres procesos BPMN 2.0 formales con subprocesos colapsados (</w:t>
      </w:r>
      <w:r>
        <w:rPr>
          <w:rFonts w:ascii="Courier New" w:hAnsi="Courier New"/>
          <w:sz w:val="18"/>
        </w:rPr>
        <w:t>isExpanded=false</w:t>
      </w:r>
      <w:r>
        <w:t>) y compuertas exclusivas configuradas:</w:t>
      </w:r>
    </w:p>
    <w:p>
      <w:pPr>
        <w:pStyle w:val="ListNumber"/>
      </w:pPr>
      <w:r>
        <w:rPr>
          <w:rFonts w:ascii="Courier New" w:hAnsi="Courier New"/>
          <w:sz w:val="18"/>
        </w:rPr>
        <w:t>P1_Recepcion_evidencia.bpmn</w:t>
      </w:r>
      <w:r>
        <w:t xml:space="preserve">: Subproceso </w:t>
      </w:r>
      <w:r>
        <w:rPr>
          <w:i/>
        </w:rPr>
        <w:t>Consultar GitHub</w:t>
      </w:r>
      <w:r>
        <w:t xml:space="preserve"> con dos salidas condicionales.</w:t>
      </w:r>
    </w:p>
    <w:p>
      <w:pPr>
        <w:pStyle w:val="ListNumber"/>
      </w:pPr>
      <w:r>
        <w:rPr>
          <w:rFonts w:ascii="Courier New" w:hAnsi="Courier New"/>
          <w:sz w:val="18"/>
        </w:rPr>
        <w:t>P2_Evaluacion_control.bpmn</w:t>
      </w:r>
      <w:r>
        <w:t xml:space="preserve">: Subproceso </w:t>
      </w:r>
      <w:r>
        <w:rPr>
          <w:i/>
        </w:rPr>
        <w:t>Aplicar regla determinista</w:t>
      </w:r>
      <w:r>
        <w:t xml:space="preserve"> con ramificación triestado.</w:t>
      </w:r>
    </w:p>
    <w:p>
      <w:pPr>
        <w:pStyle w:val="ListNumber"/>
      </w:pPr>
      <w:r>
        <w:rPr>
          <w:rFonts w:ascii="Courier New" w:hAnsi="Courier New"/>
          <w:sz w:val="18"/>
        </w:rPr>
        <w:t>P3_Validacion_CI.bpmn</w:t>
      </w:r>
      <w:r>
        <w:t xml:space="preserve">: Subproceso </w:t>
      </w:r>
      <w:r>
        <w:rPr>
          <w:i/>
        </w:rPr>
        <w:t>Ejecutar pruebas automatizadas</w:t>
      </w:r>
      <w:r>
        <w:t xml:space="preserve"> en entorno CI.</w:t>
      </w:r>
    </w:p>
    <w:p>
      <w:pPr>
        <w:pStyle w:val="Heading4"/>
      </w:pPr>
      <w:r>
        <w:t>Tabla 22. Estructura interna de subprocesos BPMN 2.0 corregidos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Proceso BPMN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Subproceso incorporado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Estructura interna modelada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P1: Recepción de evidencia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Consultar GitHub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Evento Inicio \rightarrow Tarea HTTP \rightarrow Evento Fin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P2: Evaluación de control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Aplicar regla determinista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Evento Inicio \rightarrow Tarea Motor \rightarrow Evento Fin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P3: Validación CI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Ejecutar pruebas automatizadas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Evento Inicio \rightarrow Tarea pytest \rightarrow Evento Fin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D. Auditoría EA4 rectificada: 17 indicadores oficiales</w:t>
      </w:r>
    </w:p>
    <w:p>
      <w:r>
        <w:t xml:space="preserve">Evaluación documental interna de los 17 indicadores de la hoja </w:t>
      </w:r>
      <w:r>
        <w:rPr>
          <w:rFonts w:ascii="Courier New" w:hAnsi="Courier New"/>
          <w:sz w:val="18"/>
        </w:rPr>
        <w:t>EA_Calidad</w:t>
      </w:r>
      <w:r>
        <w:t xml:space="preserve"> de INACAP:</w:t>
      </w:r>
    </w:p>
    <w:p>
      <w:pPr>
        <w:pStyle w:val="ListBullet"/>
      </w:pPr>
      <w:r>
        <w:rPr>
          <w:b/>
        </w:rPr>
        <w:t>Indicadores 1, 2, 4, 6, 7, 8, 9, 11, 12, 13, 14, 15, 16:</w:t>
      </w:r>
      <w:r>
        <w:t xml:space="preserve"> Documentados con respaldo técnico directo en código, pruebas CI, arquitectura o planes operativos.</w:t>
      </w:r>
    </w:p>
    <w:p>
      <w:pPr>
        <w:pStyle w:val="ListBullet"/>
      </w:pPr>
      <w:r>
        <w:rPr>
          <w:b/>
        </w:rPr>
        <w:t>Indicador 3 (BPMN):</w:t>
      </w:r>
      <w:r>
        <w:t xml:space="preserve"> Parcial; modelos XML corregidos con subprocesos y compuertas, con importación en modelador pendiente.</w:t>
      </w:r>
    </w:p>
    <w:p>
      <w:pPr>
        <w:pStyle w:val="ListBullet"/>
      </w:pPr>
      <w:r>
        <w:rPr>
          <w:b/>
        </w:rPr>
        <w:t>Indicador 5 (Modelo de datos):</w:t>
      </w:r>
      <w:r>
        <w:t xml:space="preserve"> Parcial; ORM y migraciones auditados, con prueba en instancia PostgreSQL de producción pendiente.</w:t>
      </w:r>
    </w:p>
    <w:p>
      <w:pPr>
        <w:pStyle w:val="ListBullet"/>
      </w:pPr>
      <w:r>
        <w:rPr>
          <w:b/>
        </w:rPr>
        <w:t>Indicador 10 (SLA):</w:t>
      </w:r>
      <w:r>
        <w:t xml:space="preserve"> Propuesto con respaldo empírico de satisfacción y expectativas en estudio de aceptación (n=40).</w:t>
      </w:r>
    </w:p>
    <w:p>
      <w:pPr>
        <w:pStyle w:val="ListBullet"/>
      </w:pPr>
      <w:r>
        <w:rPr>
          <w:b/>
        </w:rPr>
        <w:t>Indicador 17 (Adecuación del cronograma):</w:t>
      </w:r>
      <w:r>
        <w:t xml:space="preserve"> En proceso de justificación formal de hitos reales.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E. Validación estructural de archivos BPMN 2.0</w:t>
      </w:r>
    </w:p>
    <w:p>
      <w:r>
        <w:t xml:space="preserve">Inspección con </w:t>
      </w:r>
      <w:r>
        <w:rPr>
          <w:rFonts w:ascii="Courier New" w:hAnsi="Courier New"/>
          <w:sz w:val="18"/>
        </w:rPr>
        <w:t>lxml</w:t>
      </w:r>
      <w:r>
        <w:t xml:space="preserve"> certificando que los tres archivos XML están bien formados, poseen identificadores únicos (43 en P1, 51 en P2, 45 en P3) y no tienen referencias rotas de flujo.</w:t>
      </w:r>
    </w:p>
    <w:p>
      <w:pPr>
        <w:pStyle w:val="Heading4"/>
      </w:pPr>
      <w:r>
        <w:t>Tabla 23. Auditoría estructural de conectividad en modelos BPMN 2.0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Archivo BPMN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Ámbito de proceso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Nodos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Flujos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Inicio / Fin</w:t>
            </w:r>
          </w:p>
        </w:tc>
        <w:tc>
          <w:tcPr>
            <w:tcW w:type="dxa" w:w="152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estructural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P1_Recepcion_evidencia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Principal / Subproceso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9 / 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8 / 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1 / 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Sin referencias rotas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P2_Evaluacion_control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Principal / Subproceso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 / 3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11 / 2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 / 1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Sin referencias rotas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b/>
                <w:sz w:val="20"/>
              </w:rPr>
              <w:t>P3_Validacion_CI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Principal / Subproceso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9 / 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9 / 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1 / 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0"/>
              </w:rPr>
              <w:t>Sin referencias rotas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F. Contraste verificable de configuración Alembic y ORM</w:t>
      </w:r>
    </w:p>
    <w:p>
      <w:r>
        <w:t xml:space="preserve">Cotejo de </w:t>
      </w:r>
      <w:r>
        <w:rPr>
          <w:rFonts w:ascii="Courier New" w:hAnsi="Courier New"/>
          <w:sz w:val="18"/>
        </w:rPr>
        <w:t>alembic/env.py</w:t>
      </w:r>
      <w:r>
        <w:t xml:space="preserve"> con </w:t>
      </w:r>
      <w:r>
        <w:rPr>
          <w:rFonts w:ascii="Courier New" w:hAnsi="Courier New"/>
          <w:sz w:val="18"/>
        </w:rPr>
        <w:t>securecode.adapters.postgres.models.Base.metadata</w:t>
      </w:r>
      <w:r>
        <w:t>, confirmando que el entorno de migraciones apunta a los mismos metadatos declarativos del ORM.</w:t>
      </w:r>
    </w:p>
    <w:p>
      <w:pPr>
        <w:pStyle w:val="Heading4"/>
      </w:pPr>
      <w:r>
        <w:t>Tabla 24. Diccionario de restricciones relacionales declaradas en SQLAlchemy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Columnas principales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Restricciones declaradas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users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username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password_hash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active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created_at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PK </w:t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username</w:t>
            </w:r>
            <w:r>
              <w:rPr>
                <w:sz w:val="20"/>
              </w:rPr>
              <w:t xml:space="preserve"> UNIQUE NOT NULL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evidence_records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control_id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evidence_hash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raw_evidence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collected_at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PK </w:t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>, todos NOT NULL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evaluation_records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control_id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evaluated_at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evidence_id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PK </w:t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FK </w:t>
            </w:r>
            <w:r>
              <w:rPr>
                <w:rFonts w:ascii="Courier New" w:hAnsi="Courier New"/>
                <w:sz w:val="20"/>
              </w:rPr>
              <w:t>evidence_id</w:t>
            </w:r>
            <w:r>
              <w:rPr>
                <w:sz w:val="20"/>
              </w:rPr>
              <w:t xml:space="preserve"> NOT NULL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25. Matriz de contraste entre metadatos ORM y migraciones Alembic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Elemento verificado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técnico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Respaldo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Importación de metadatos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target_metadata = Base.metadata</w:t>
            </w:r>
            <w:r>
              <w:rPr>
                <w:sz w:val="20"/>
              </w:rPr>
              <w:t xml:space="preserve"> en </w:t>
            </w:r>
            <w:r>
              <w:rPr>
                <w:rFonts w:ascii="Courier New" w:hAnsi="Courier New"/>
                <w:sz w:val="20"/>
              </w:rPr>
              <w:t>env.py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Definición de claves foráneas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FK obligatoria </w:t>
            </w:r>
            <w:r>
              <w:rPr>
                <w:rFonts w:ascii="Courier New" w:hAnsi="Courier New"/>
                <w:sz w:val="20"/>
              </w:rPr>
              <w:t>evidence_id</w:t>
            </w:r>
            <w:r>
              <w:rPr>
                <w:sz w:val="20"/>
              </w:rPr>
              <w:t xml:space="preserve"> y opcional </w:t>
            </w:r>
            <w:r>
              <w:rPr>
                <w:rFonts w:ascii="Courier New" w:hAnsi="Courier New"/>
                <w:sz w:val="20"/>
              </w:rPr>
              <w:t>requested_by_user_id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Soporte JSONB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Tipo JSON con variante JSONB en dialecto PostgreSQL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G. Verificación documental de tres migraciones Alembic</w:t>
      </w:r>
    </w:p>
    <w:p>
      <w:r>
        <w:t xml:space="preserve">Inspección de las tres revisiones lineales en </w:t>
      </w:r>
      <w:r>
        <w:rPr>
          <w:rFonts w:ascii="Courier New" w:hAnsi="Courier New"/>
          <w:sz w:val="18"/>
        </w:rPr>
        <w:t>alembic/versions/</w:t>
      </w:r>
      <w:r>
        <w:t>:</w:t>
      </w:r>
    </w:p>
    <w:p>
      <w:pPr>
        <w:pStyle w:val="ListNumber"/>
      </w:pPr>
      <w:r>
        <w:rPr>
          <w:rFonts w:ascii="Courier New" w:hAnsi="Courier New"/>
          <w:sz w:val="18"/>
        </w:rPr>
        <w:t>7409c81f5bf7_baseline.py</w:t>
      </w:r>
      <w:r>
        <w:t xml:space="preserve">: Crea tablas </w:t>
      </w:r>
      <w:r>
        <w:rPr>
          <w:rFonts w:ascii="Courier New" w:hAnsi="Courier New"/>
          <w:sz w:val="18"/>
        </w:rPr>
        <w:t>evidence_records</w:t>
      </w:r>
      <w:r>
        <w:t xml:space="preserve"> y </w:t>
      </w:r>
      <w:r>
        <w:rPr>
          <w:rFonts w:ascii="Courier New" w:hAnsi="Courier New"/>
          <w:sz w:val="18"/>
        </w:rPr>
        <w:t>evaluation_records</w:t>
      </w:r>
      <w:r>
        <w:t>.</w:t>
      </w:r>
    </w:p>
    <w:p>
      <w:pPr>
        <w:pStyle w:val="ListNumber"/>
      </w:pPr>
      <w:r>
        <w:rPr>
          <w:rFonts w:ascii="Courier New" w:hAnsi="Courier New"/>
          <w:sz w:val="18"/>
        </w:rPr>
        <w:t>4d932f877ae7_rule_traceability.py</w:t>
      </w:r>
      <w:r>
        <w:t xml:space="preserve">: Añade </w:t>
      </w:r>
      <w:r>
        <w:rPr>
          <w:rFonts w:ascii="Courier New" w:hAnsi="Courier New"/>
          <w:sz w:val="18"/>
        </w:rPr>
        <w:t>rule_id</w:t>
      </w:r>
      <w:r>
        <w:t xml:space="preserve"> y </w:t>
      </w:r>
      <w:r>
        <w:rPr>
          <w:rFonts w:ascii="Courier New" w:hAnsi="Courier New"/>
          <w:sz w:val="18"/>
        </w:rPr>
        <w:t>rule_version</w:t>
      </w:r>
      <w:r>
        <w:t xml:space="preserve"> en </w:t>
      </w:r>
      <w:r>
        <w:rPr>
          <w:rFonts w:ascii="Courier New" w:hAnsi="Courier New"/>
          <w:sz w:val="18"/>
        </w:rPr>
        <w:t>evaluation_records</w:t>
      </w:r>
      <w:r>
        <w:t>.</w:t>
      </w:r>
    </w:p>
    <w:p>
      <w:pPr>
        <w:pStyle w:val="ListNumber"/>
      </w:pPr>
      <w:r>
        <w:rPr>
          <w:rFonts w:ascii="Courier New" w:hAnsi="Courier New"/>
          <w:sz w:val="18"/>
        </w:rPr>
        <w:t>1bfdcaee6d14_auth.py</w:t>
      </w:r>
      <w:r>
        <w:t xml:space="preserve">: Crea tabla </w:t>
      </w:r>
      <w:r>
        <w:rPr>
          <w:rFonts w:ascii="Courier New" w:hAnsi="Courier New"/>
          <w:sz w:val="18"/>
        </w:rPr>
        <w:t>users</w:t>
      </w:r>
      <w:r>
        <w:t xml:space="preserve"> y agrega </w:t>
      </w:r>
      <w:r>
        <w:rPr>
          <w:rFonts w:ascii="Courier New" w:hAnsi="Courier New"/>
          <w:sz w:val="18"/>
        </w:rPr>
        <w:t>requested_by_user_id</w:t>
      </w:r>
      <w:r>
        <w:t xml:space="preserve"> con FK.</w:t>
      </w:r>
    </w:p>
    <w:p>
      <w:pPr>
        <w:pStyle w:val="Heading4"/>
      </w:pPr>
      <w:r>
        <w:t>Tabla 26. Cadena lineal de revisiones de migración Alembic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Revisión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Antecesora (</w:t>
            </w:r>
            <w:r>
              <w:rPr>
                <w:rFonts w:ascii="Courier New" w:hAnsi="Courier New"/>
                <w:b/>
                <w:color w:val="FFFFFF"/>
                <w:sz w:val="20"/>
              </w:rPr>
              <w:t>down_revision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Operaciones </w:t>
            </w:r>
            <w:r>
              <w:rPr>
                <w:rFonts w:ascii="Courier New" w:hAnsi="Courier New"/>
                <w:b/>
                <w:color w:val="FFFFFF"/>
                <w:sz w:val="20"/>
              </w:rPr>
              <w:t>upgrade()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Operaciones </w:t>
            </w:r>
            <w:r>
              <w:rPr>
                <w:rFonts w:ascii="Courier New" w:hAnsi="Courier New"/>
                <w:b/>
                <w:color w:val="FFFFFF"/>
                <w:sz w:val="20"/>
              </w:rPr>
              <w:t>downgrade()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`7409c81f5bf7` (baseline)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None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Crea </w:t>
            </w:r>
            <w:r>
              <w:rPr>
                <w:rFonts w:ascii="Courier New" w:hAnsi="Courier New"/>
                <w:sz w:val="20"/>
              </w:rPr>
              <w:t>evidence_records</w:t>
            </w:r>
            <w:r>
              <w:rPr>
                <w:sz w:val="20"/>
              </w:rPr>
              <w:t xml:space="preserve"> y </w:t>
            </w:r>
            <w:r>
              <w:rPr>
                <w:rFonts w:ascii="Courier New" w:hAnsi="Courier New"/>
                <w:sz w:val="20"/>
              </w:rPr>
              <w:t>evaluation_records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drop_table()</w:t>
            </w:r>
            <w:r>
              <w:rPr>
                <w:sz w:val="20"/>
              </w:rPr>
              <w:t xml:space="preserve"> de ambas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`4d932f877ae7` (rules)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7409c81f5bf7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Añade </w:t>
            </w:r>
            <w:r>
              <w:rPr>
                <w:rFonts w:ascii="Courier New" w:hAnsi="Courier New"/>
                <w:sz w:val="20"/>
              </w:rPr>
              <w:t>rule_id</w:t>
            </w:r>
            <w:r>
              <w:rPr>
                <w:sz w:val="20"/>
              </w:rPr>
              <w:t xml:space="preserve"> y </w:t>
            </w:r>
            <w:r>
              <w:rPr>
                <w:rFonts w:ascii="Courier New" w:hAnsi="Courier New"/>
                <w:sz w:val="20"/>
              </w:rPr>
              <w:t>rule_version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drop_column()</w:t>
            </w:r>
            <w:r>
              <w:rPr>
                <w:sz w:val="20"/>
              </w:rPr>
              <w:t xml:space="preserve"> de ambas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`1bfdcaee6d14` (auth)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4d932f877ae7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Crea </w:t>
            </w:r>
            <w:r>
              <w:rPr>
                <w:rFonts w:ascii="Courier New" w:hAnsi="Courier New"/>
                <w:sz w:val="20"/>
              </w:rPr>
              <w:t>users</w:t>
            </w:r>
            <w:r>
              <w:rPr>
                <w:sz w:val="20"/>
              </w:rPr>
              <w:t xml:space="preserve"> y añade FK de usuario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Elimina FK y tabla </w:t>
            </w:r>
            <w:r>
              <w:rPr>
                <w:rFonts w:ascii="Courier New" w:hAnsi="Courier New"/>
                <w:sz w:val="20"/>
              </w:rPr>
              <w:t>users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27. Contraste estático entre scripts de migración y modelos declarativos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Coincidencia ORM vs Alembic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Observación técnica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Tablas y columnas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100\%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Nombres, nulabilidades y tipos coinciden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Secuencia de reversibilidad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Lineal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Cada migración cuenta con función </w:t>
            </w:r>
            <w:r>
              <w:rPr>
                <w:rFonts w:ascii="Courier New" w:hAnsi="Courier New"/>
                <w:sz w:val="20"/>
              </w:rPr>
              <w:t>downgrade()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H. Conciliación del cronograma ES1–ES2 y control de desviaciones</w:t>
      </w:r>
    </w:p>
    <w:p>
      <w:r>
        <w:t>Matriz comparativa de hitos planificados frente al avance técnico real en el repositorio.</w:t>
      </w:r>
    </w:p>
    <w:p>
      <w:pPr>
        <w:pStyle w:val="Heading4"/>
      </w:pPr>
      <w:r>
        <w:t>Tabla 28. Línea base íntegra de duración y dependencias de actividades ES1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Ventana ES1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Predecesora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T1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Formulación y documentación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16 días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25/08 – 09/09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T2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Especificación técnica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12 días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10/09 – 22/09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T1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T3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Dominio y motor de reglas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14 días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22/09 – 06/10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T2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T4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Conector GitHub y normalizador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15 días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22/09 – 07/10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T2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T5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Documentación de avance ES2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8 días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07/10 – 15/10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T3, T4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T6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Autenticación y reporte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13 días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15/10 – 28/10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T5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T7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Validación experimental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8 días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28/10 – 05/11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T6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T8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Cierre y defensa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21 días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05/11 – 26/11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T7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29. Matriz de conciliación de fechas y evidencias necesarias por actividad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Señal técnica verificada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de conciliación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T1–T2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Especificaciones en </w:t>
            </w:r>
            <w:r>
              <w:rPr>
                <w:rFonts w:ascii="Courier New" w:hAnsi="Courier New"/>
                <w:sz w:val="20"/>
              </w:rPr>
              <w:t>docs/specs/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Concluido técnicamente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T3–T4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Motor y conector validados con 95 pruebas en CI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Concluido en </w:t>
            </w:r>
            <w:r>
              <w:rPr>
                <w:rFonts w:ascii="Courier New" w:hAnsi="Courier New"/>
                <w:sz w:val="20"/>
              </w:rPr>
              <w:t>main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T5–T6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Autenticación JWT/Argon2id y avance ES2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En entrega para hito del 28/10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30. Registro de solicitudes de cambio (RC) propuestas sobre el cronograma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Solicitud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Descripción y justificación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RC-01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Conciliar fechas reales de T1–T6 con historial de PRs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Propuesta formal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RC-02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Incorporar validación de compuertas BPMN 2.0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Concluida en XML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RC-03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Incorporar estudio de aceptación con usuarios (n=40)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Concluida en Sección V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I. Auditoría de cierre EA4: 17 indicadores oficiales</w:t>
      </w:r>
    </w:p>
    <w:p>
      <w:r>
        <w:t>Detalle de cobertura de cada indicador de la rúbrica oficial de INACAP.</w:t>
      </w:r>
    </w:p>
    <w:p>
      <w:pPr>
        <w:pStyle w:val="Heading4"/>
      </w:pPr>
      <w:r>
        <w:t>Tabla 31. Trazabilidad de indicadores oficiales EA4 (1 al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Indicador EA_Calidad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documental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Ubicación en informe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Análisis cuali/cuantitativo de tecnologías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II.2.1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Inventario de herramientas y componentes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II.2.2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Diagramas BPMN con subprocesos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Parcial (modelador pend.)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III.3.1 y Anexos C, E, J–N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Diagramas UML casos de uso y componentes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III.3.2 y III.3.3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Modelo de datos y diccionario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III.3.4 y Anexos B, F, G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Topología de comunicaciones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III.3.5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Diseño de infraestructura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III.3.6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Diagrama de arquitectura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III.3.7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Detalle SMART de KPIs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 (con mediciones)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IV.4.1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32. Trazabilidad de indicadores oficiales EA4 (10 al 17)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Indicador EA_Calidad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documental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Ubicación en informe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Ficha de niveles de servicio (SLA)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 (con encuesta n=40)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IV.4.2 y Anexo Y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Plan de pruebas de software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 (95 pruebas CI + carga)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V.5.1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Normas y estándares incorporados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 (ISO 25010, NIST)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V.5.2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Servicios TI y disponibilidad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 en diseño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VI.6.1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Continuidad y recuperación de desastres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 (procedimientos)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VI.6.2 y Anexo R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Control de cambios y configuración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VI.6.3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Planificación en Carta Gantt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Documentado (línea base ES1)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Sección VII y Anexo A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17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Revisión y adecuación del cronograma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 en bitácora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Sección VII y Anexo H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33. Matriz de brechas priorizadas de la rúbrica EA4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Brecha técnica o documental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 de mitigación ejecutada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Alta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Validación visual en modelador BPMN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XMLs corregidos con compuertas XOR y subprocesos formalizados.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Alta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Conciliación de persistencia y métricas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Realizada: 4.095 en Locust, 4.104 con smoke test, 4.835 en BD.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Media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Expectativas de usuarios para SLA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Realizada: Estudio de aceptación con 40 encuestados.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J. Auditoría BPMN de condiciones de decisión</w:t>
      </w:r>
    </w:p>
    <w:p>
      <w:r>
        <w:t>Inspección de compuertas exclusivas en los modelos originales para identificar bifurcaciones no tipadas.</w:t>
      </w:r>
    </w:p>
    <w:p>
      <w:pPr>
        <w:pStyle w:val="Heading4"/>
      </w:pPr>
      <w:r>
        <w:t>Tabla 34. Auditoría de compuertas exclusivas en archivos BPMN originales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Archivo BPMN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Compuertas XOR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Expresiones condicionales en XML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Flujos default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P1_Recepcion_evidencia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Ausentes en versión original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Ausentes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P2_Evaluacion_control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Ausentes en versión original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Ausentes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P3_Validacion_CI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Ausentes en versión original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Ausentes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K. Corrección controlada de las decisiones BPMN</w:t>
      </w:r>
    </w:p>
    <w:p>
      <w:r>
        <w:t xml:space="preserve">Incorporación de expresiones formales </w:t>
      </w:r>
      <w:r>
        <w:rPr>
          <w:rFonts w:ascii="Courier New" w:hAnsi="Courier New"/>
          <w:sz w:val="18"/>
        </w:rPr>
        <w:t>${... == true}</w:t>
      </w:r>
      <w:r>
        <w:t xml:space="preserve"> en las ramas afirmativas y definición de salidas default en las ramas negativas.</w:t>
      </w:r>
    </w:p>
    <w:p>
      <w:pPr>
        <w:pStyle w:val="Heading4"/>
      </w:pPr>
      <w:r>
        <w:t>Tabla 35. Configuración de expresiones formales y flujos default en compuertas XOR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Proceso y Decisión XOR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Salida «Sí» (Expresión formal)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Salida «No» (Flujo default)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P1 — ¿Solicitud válida?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${solicitudValida == true}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P1_flow_4</w:t>
            </w:r>
            <w:r>
              <w:rPr>
                <w:sz w:val="20"/>
              </w:rPr>
              <w:t xml:space="preserve"> (Rechazo)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P1 — ¿Evidencia observable?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${evidenciaObservable == true}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P1_flow_7</w:t>
            </w:r>
            <w:r>
              <w:rPr>
                <w:sz w:val="20"/>
              </w:rPr>
              <w:t xml:space="preserve"> (Sin evidencia)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P2 — ¿Datos suficientes?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${datosSuficientes == true}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P2_flow_4</w:t>
            </w:r>
            <w:r>
              <w:rPr>
                <w:sz w:val="20"/>
              </w:rPr>
              <w:t xml:space="preserve"> (Asignar UNKNOWN)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P2 — ¿Cumple control?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${cumpleControl == true}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P2_flow_7</w:t>
            </w:r>
            <w:r>
              <w:rPr>
                <w:sz w:val="20"/>
              </w:rPr>
              <w:t xml:space="preserve"> (Asignar FAIL)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P3 — ¿Pruebas aprobadas?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${pruebasAprobadas == true}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P3_flow_5</w:t>
            </w:r>
            <w:r>
              <w:rPr>
                <w:sz w:val="20"/>
              </w:rPr>
              <w:t xml:space="preserve"> (Corregir cambio)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P3 — ¿Criterios aceptados?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${criteriosAceptados == true}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P3_flow_8</w:t>
            </w:r>
            <w:r>
              <w:rPr>
                <w:sz w:val="20"/>
              </w:rPr>
              <w:t xml:space="preserve"> (Pendiente corrección)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L. Verificación estática de BPMN DI y semántica de compuertas</w:t>
      </w:r>
    </w:p>
    <w:p>
      <w:r>
        <w:t xml:space="preserve">Inspección de correspondencia entre flujos de secuencia y elementos gráficos </w:t>
      </w:r>
      <w:r>
        <w:rPr>
          <w:rFonts w:ascii="Courier New" w:hAnsi="Courier New"/>
          <w:sz w:val="18"/>
        </w:rPr>
        <w:t>BPMNEdge</w:t>
      </w:r>
      <w:r>
        <w:t>.</w:t>
      </w:r>
    </w:p>
    <w:p>
      <w:pPr>
        <w:pStyle w:val="Heading4"/>
      </w:pPr>
      <w:r>
        <w:t>Tabla 36. Verificación de geometrías BPMNEdge y semántica en compuertas corregidas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Compuertas XOR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Flujos totales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Elementos BPMNEdge</w:t>
            </w:r>
          </w:p>
        </w:tc>
        <w:tc>
          <w:tcPr>
            <w:tcW w:type="dxa" w:w="1824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Configuración correcta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P1_Recepcion_evidencia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8 (2 internos)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P2_Evaluacion_control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11 (2 internos)</w:t>
            </w:r>
          </w:p>
        </w:tc>
        <w:tc>
          <w:tcPr>
            <w:tcW w:type="dxa" w:w="182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/>
                <w:sz w:val="20"/>
              </w:rPr>
              <w:t>P3_Validacion_CI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9 (2 internos)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0"/>
              </w:rPr>
              <w:t>SÍ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M. Acta de validación externa de BPMN 2.0</w:t>
      </w:r>
    </w:p>
    <w:p>
      <w:r>
        <w:t>Protocolo de importación y verificación visual en Camunda Modeler u otro modelador BPMN 2.0 compatible.</w:t>
      </w:r>
    </w:p>
    <w:p>
      <w:pPr>
        <w:pStyle w:val="Heading4"/>
      </w:pPr>
      <w:r>
        <w:t>Tabla 37. Matriz de inspección para validación visual de modelos BPMN 2.0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Archivo BPMN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Compuertas a inspeccionar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Expresiones condicionales esperadas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P1_Recepcion_evidencia.bpmn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¿Solicitud válida?; ¿Evidencia observable?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${solicitudValida == true}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sz w:val="20"/>
              </w:rPr>
              <w:t>${evidenciaObservable == true}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P2_Evaluacion_control.bpmn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¿Datos suficientes?; ¿Cumple control?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${datosSuficientes == true}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sz w:val="20"/>
              </w:rPr>
              <w:t>${cumpleControl == true}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P3_Validacion_CI.bpmn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¿Pruebas aprobadas?; ¿Criterios aceptados?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${pruebasAprobadas == true}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sz w:val="20"/>
              </w:rPr>
              <w:t>${criteriosAceptados == true}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38. Ficha de registro de resultados para acta de validación en modelador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Criterio de verificación visual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P3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Archivo abre sin errores de sintaxis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XML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XML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XML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Diagrama legible y sin colisiones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Geometría limpia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Geometría limpia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Geometría limpia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Subprocesos accesibles y colapsados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Configurado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Configurado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Configurado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N. Reconstrucción gráfica independiente de BPMN DI</w:t>
      </w:r>
    </w:p>
    <w:p>
      <w:r>
        <w:t>Generación independiente de diagramas vectoriales a partir de las coordenadas XML (</w:t>
      </w:r>
      <w:r>
        <w:rPr>
          <w:rFonts w:ascii="Courier New" w:hAnsi="Courier New"/>
          <w:sz w:val="18"/>
        </w:rPr>
        <w:t>BPMNShape</w:t>
      </w:r>
      <w:r>
        <w:t xml:space="preserve"> y </w:t>
      </w:r>
      <w:r>
        <w:rPr>
          <w:rFonts w:ascii="Courier New" w:hAnsi="Courier New"/>
          <w:sz w:val="18"/>
        </w:rPr>
        <w:t>BPMNEdge</w:t>
      </w:r>
      <w:r>
        <w:t>), ratificando que los tres flujos son geométricamente coherentes y trazables.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O. Protocolo reproducible de verificación Alembic–PostgreSQL</w:t>
      </w:r>
    </w:p>
    <w:p>
      <w:r>
        <w:t>Secuencia de comandos de laboratorio para contrastar el catálogo PostgreSQL (</w:t>
      </w:r>
      <w:r>
        <w:rPr>
          <w:rFonts w:ascii="Courier New" w:hAnsi="Courier New"/>
          <w:sz w:val="18"/>
        </w:rPr>
        <w:t>information_schema</w:t>
      </w:r>
      <w:r>
        <w:t xml:space="preserve">) con las revisiones </w:t>
      </w:r>
      <w:r>
        <w:rPr>
          <w:rFonts w:ascii="Courier New" w:hAnsi="Courier New"/>
          <w:sz w:val="18"/>
        </w:rPr>
        <w:t>baseline</w:t>
      </w:r>
      <w:r>
        <w:t xml:space="preserve">, </w:t>
      </w:r>
      <w:r>
        <w:rPr>
          <w:rFonts w:ascii="Courier New" w:hAnsi="Courier New"/>
          <w:sz w:val="18"/>
        </w:rPr>
        <w:t>rule_traceability</w:t>
      </w:r>
      <w:r>
        <w:t xml:space="preserve"> y </w:t>
      </w:r>
      <w:r>
        <w:rPr>
          <w:rFonts w:ascii="Courier New" w:hAnsi="Courier New"/>
          <w:sz w:val="18"/>
        </w:rPr>
        <w:t>auth</w:t>
      </w:r>
      <w:r>
        <w:t>:</w:t>
      </w:r>
    </w:p>
    <w:p>
      <w:pPr>
        <w:ind w:left="567"/>
      </w:pPr>
      <w:r>
        <w:rPr>
          <w:rFonts w:ascii="Courier New" w:hAnsi="Courier New"/>
          <w:sz w:val="18"/>
        </w:rPr>
        <w:t>SELECT version_num FROM alembic_version;</w:t>
        <w:br/>
        <w:t>SELECT table_name FROM information_schema.tables WHERE table_schema = 'public';</w:t>
      </w:r>
    </w:p>
    <w:p>
      <w:pPr>
        <w:pStyle w:val="Heading4"/>
      </w:pPr>
      <w:r>
        <w:t>Tabla 39. Protocolo de verificación de migraciones Alembic en base de laboratorio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Comando a ejecutar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1. Cadena de historial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alembic history --verbose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Secuencia lineal </w:t>
            </w:r>
            <w:r>
              <w:rPr>
                <w:rFonts w:ascii="Courier New" w:hAnsi="Courier New"/>
                <w:sz w:val="20"/>
              </w:rPr>
              <w:t>7409c81f5bf7</w:t>
            </w:r>
            <w:r>
              <w:rPr>
                <w:sz w:val="20"/>
              </w:rPr>
              <w:t xml:space="preserve"> \rightarrow </w:t>
            </w:r>
            <w:r>
              <w:rPr>
                <w:rFonts w:ascii="Courier New" w:hAnsi="Courier New"/>
                <w:sz w:val="20"/>
              </w:rPr>
              <w:t>4d932f877ae7</w:t>
            </w:r>
            <w:r>
              <w:rPr>
                <w:sz w:val="20"/>
              </w:rPr>
              <w:t xml:space="preserve"> \rightarrow </w:t>
            </w:r>
            <w:r>
              <w:rPr>
                <w:rFonts w:ascii="Courier New" w:hAnsi="Courier New"/>
                <w:sz w:val="20"/>
              </w:rPr>
              <w:t>1bfdcaee6d14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2. Aplicación a head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alembic upgrade head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Migración exitosa sin excepciones DDL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3. Comprobación de versión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SELECT version_num FROM alembic_version;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Registra </w:t>
            </w:r>
            <w:r>
              <w:rPr>
                <w:rFonts w:ascii="Courier New" w:hAnsi="Courier New"/>
                <w:sz w:val="20"/>
              </w:rPr>
              <w:t>1bfdcaee6d14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P. Diccionario operativo de datos y verificaciones de integridad</w:t>
      </w:r>
    </w:p>
    <w:p>
      <w:r>
        <w:t xml:space="preserve">Detalle de integridad referencial obligatoria entre </w:t>
      </w:r>
      <w:r>
        <w:rPr>
          <w:rFonts w:ascii="Courier New" w:hAnsi="Courier New"/>
          <w:sz w:val="18"/>
        </w:rPr>
        <w:t>evaluation_records.evidence_id</w:t>
      </w:r>
      <w:r>
        <w:t xml:space="preserve"> y </w:t>
      </w:r>
      <w:r>
        <w:rPr>
          <w:rFonts w:ascii="Courier New" w:hAnsi="Courier New"/>
          <w:sz w:val="18"/>
        </w:rPr>
        <w:t>evidence_records.id</w:t>
      </w:r>
      <w:r>
        <w:t>.</w:t>
      </w:r>
    </w:p>
    <w:p>
      <w:pPr>
        <w:pStyle w:val="Heading4"/>
      </w:pPr>
      <w:r>
        <w:t>Tabla 40. Matriz de límites de acreditación y estado de evidencias técnicas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Brecha técnica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requerida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de control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PostgreSQL 15 en nube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Despliegue en Cloud SQL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Diseñado; verificado en CI local/contenedor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Validación visual BPMN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Capturas de Camunda Modeler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Modelos XML corregidos; capturas pendientes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Aceptación de SLA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Contrato firmado con cliente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Ficha de servicio propuesta; encuesta favorable (n=40)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41. Diccionario operativo de datos y consultas de integridad relacional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Campos y restricciones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Verificación de integridad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users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 PK, </w:t>
            </w:r>
            <w:r>
              <w:rPr>
                <w:rFonts w:ascii="Courier New" w:hAnsi="Courier New"/>
                <w:sz w:val="20"/>
              </w:rPr>
              <w:t>username</w:t>
            </w:r>
            <w:r>
              <w:rPr>
                <w:sz w:val="20"/>
              </w:rPr>
              <w:t xml:space="preserve"> UNIQUE NOT NULL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Unicidad de credenciales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evidence_records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 PK, </w:t>
            </w:r>
            <w:r>
              <w:rPr>
                <w:rFonts w:ascii="Courier New" w:hAnsi="Courier New"/>
                <w:sz w:val="20"/>
              </w:rPr>
              <w:t>evidence_hash</w:t>
            </w:r>
            <w:r>
              <w:rPr>
                <w:sz w:val="20"/>
              </w:rPr>
              <w:t xml:space="preserve"> VARCHAR(64), </w:t>
            </w:r>
            <w:r>
              <w:rPr>
                <w:rFonts w:ascii="Courier New" w:hAnsi="Courier New"/>
                <w:sz w:val="20"/>
              </w:rPr>
              <w:t>raw_evidence</w:t>
            </w:r>
            <w:r>
              <w:rPr>
                <w:sz w:val="20"/>
              </w:rPr>
              <w:t xml:space="preserve"> JSONB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Digest SHA-256 no nulo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evaluation_records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 PK, </w:t>
            </w:r>
            <w:r>
              <w:rPr>
                <w:rFonts w:ascii="Courier New" w:hAnsi="Courier New"/>
                <w:sz w:val="20"/>
              </w:rPr>
              <w:t>evidence_id</w:t>
            </w:r>
            <w:r>
              <w:rPr>
                <w:sz w:val="20"/>
              </w:rPr>
              <w:t xml:space="preserve"> FK NOT NULL, </w:t>
            </w:r>
            <w:r>
              <w:rPr>
                <w:rFonts w:ascii="Courier New" w:hAnsi="Courier New"/>
                <w:sz w:val="20"/>
              </w:rPr>
              <w:t>status</w:t>
            </w:r>
            <w:r>
              <w:rPr>
                <w:sz w:val="20"/>
              </w:rPr>
              <w:t xml:space="preserve"> VARCHAR(50)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Integridad referencial 100%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Q. Casos de prueba de aceptación y evidencia reproducible</w:t>
      </w:r>
    </w:p>
    <w:p>
      <w:r>
        <w:t>Matriz de 10 casos de aceptación técnica (QA-01 a QA-10) cubriendo migraciones, integridad de claves foráneas, validación BPMN y conciliación de métricas.</w:t>
      </w:r>
    </w:p>
    <w:p>
      <w:pPr>
        <w:pStyle w:val="Heading4"/>
      </w:pPr>
      <w:r>
        <w:t>Tabla 42. Batería de casos de prueba de aceptación técnica (QA-01 a QA-10)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Caso de prueba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Criterio de aceptación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QA-01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Migración en base vacía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upgrade head</w:t>
            </w:r>
            <w:r>
              <w:rPr>
                <w:sz w:val="20"/>
              </w:rPr>
              <w:t xml:space="preserve"> finaliza en </w:t>
            </w:r>
            <w:r>
              <w:rPr>
                <w:rFonts w:ascii="Courier New" w:hAnsi="Courier New"/>
                <w:sz w:val="20"/>
              </w:rPr>
              <w:t>1bfdcaee6d14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CI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QA-02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Idempotencia de migración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Segunda ejecución sin cambios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QA-03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Compatibilidad de tipos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JSONB y UUID compatibles en PostgreSQL 15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QA-04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Rechazo por clave foránea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Falla inserción con </w:t>
            </w:r>
            <w:r>
              <w:rPr>
                <w:rFonts w:ascii="Courier New" w:hAnsi="Courier New"/>
                <w:sz w:val="20"/>
              </w:rPr>
              <w:t>evidence_id</w:t>
            </w:r>
            <w:r>
              <w:rPr>
                <w:sz w:val="20"/>
              </w:rPr>
              <w:t xml:space="preserve"> inexistente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Verificado en tests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QA-05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Persistencia atómica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Evaluación y evidencia se guardan en misma tx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tests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QA-06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Apertura de BPMN en modelador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Tres archivos abren sin error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Pendiente visual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QA-07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Compuertas XOR configuradas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Salidas con condición y default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 en XML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QA-08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Justificación proceso P3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Proceso de aseguramiento de calidad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Documentado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QA-09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Conciliación de cronograma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Commits y PRs trazables a actividades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Verificado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QA-10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Expectativas de SLA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Estudio de satisfacción Likert (n=40)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Verificado (4,54/5)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R. Procedimiento de despliegue, reversión y recuperación de laboratorio</w:t>
      </w:r>
    </w:p>
    <w:p>
      <w:r>
        <w:t xml:space="preserve">Protocolos proactivos y reactivos de ITIL v4: respaldos lógicos con </w:t>
      </w:r>
      <w:r>
        <w:rPr>
          <w:rFonts w:ascii="Courier New" w:hAnsi="Courier New"/>
          <w:sz w:val="18"/>
        </w:rPr>
        <w:t>pg_dump</w:t>
      </w:r>
      <w:r>
        <w:t>, ventanas de mantenimiento controladas y reversión mediante imágenes versionadas.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S. Registro de riesgos, decisiones y dependencias de cierre</w:t>
      </w:r>
    </w:p>
    <w:p>
      <w:r>
        <w:t>Matriz de riesgos técnicos del proyecto y su estrategia de mitigación.</w:t>
      </w:r>
    </w:p>
    <w:p>
      <w:pPr>
        <w:pStyle w:val="Heading4"/>
      </w:pPr>
      <w:r>
        <w:t>Tabla 43. Matriz de riesgos, impacto y tratamiento de dependencias de cierre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Riesgo técnico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Estrategia de tratamiento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Pertinencia de BPMN P3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Medio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Justificar como proceso de aseguramiento de calidad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Controlado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Credenciales en código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Crítico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Saneado en PR #5 y variables de entorno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Falsos positivos de regla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Alto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Lógica triestado con resultado UNKNOWN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Mitigado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Sobrecarga de GitHub API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Medio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Mock local y desacoplamiento de I/O en pruebas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Mitigado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Style w:val="Heading4"/>
      </w:pPr>
      <w:r>
        <w:t>Tabla 44. Registro de verificación de evidencias externas pendientes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externa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Acción requerida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Capturas de Camunda Modeler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 xml:space="preserve">Abrir archivos </w:t>
            </w:r>
            <w:r>
              <w:rPr>
                <w:rFonts w:ascii="Courier New" w:hAnsi="Courier New"/>
                <w:sz w:val="20"/>
              </w:rPr>
              <w:t>.bpmn</w:t>
            </w:r>
            <w:r>
              <w:rPr>
                <w:sz w:val="20"/>
              </w:rPr>
              <w:t xml:space="preserve"> y capturar propiedades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Jonatthan Medalla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Acta de entrega ES2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Firma institucional de entrega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Equipo de proyecto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T. Trazabilidad integral de los 17 indicadores EA4</w:t>
      </w:r>
    </w:p>
    <w:p>
      <w:r>
        <w:t>Mapeo exhaustivo entre los 17 indicadores de la pauta de evaluación de INACAP y los capítulos del informe.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U. Acta de entrega y registro de evidencias faltantes</w:t>
      </w:r>
    </w:p>
    <w:p>
      <w:r>
        <w:t>Inventario de productos: informe de avance ES2, tres archivos BPMN corregidos en ZIP, anexo técnico de validación y suite de pruebas de rendimiento.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V. Aplicabilidad de recomendaciones ES1 al alcance ES2</w:t>
      </w:r>
    </w:p>
    <w:p>
      <w:r>
        <w:t>Traslado formal de mejoras recibidas en el hito ES1 hacia el entregable ES2: formalización de figuras, arquitectura hexagonal, modelos de persistencia y trazabilidad.</w:t>
      </w:r>
    </w:p>
    <w:p>
      <w:pPr>
        <w:pStyle w:val="Heading4"/>
      </w:pPr>
      <w:r>
        <w:t>Tabla 45. Matriz de aplicabilidad de recomendaciones de ES1 al alcance de ES2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Recomendación recibida en ES1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Implementación en ES2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Estado de cumplimiento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Homogeneidad de tablas y figuras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Títulos y fuentes estandarizados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Cumplido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Arquitectura de componentes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Desacoplamiento hexagonal con puertos y adaptadores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Cumplido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Definición SMART de KPIs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Indicadores con fórmulas, mediciones y responsables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Cumplido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Trazabilidad de evidencias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Clave foránea obligatoria y hash SHA-256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Cumplido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W. Arquitectura empresarial y separación proveedor–cliente</w:t>
      </w:r>
    </w:p>
    <w:p>
      <w:r>
        <w:t>Diferenciación entre la perspectiva del proveedor SaaS de SecureCode (gerencia, desarrollo, QA, operaciones) y la perspectiva del cliente corporativo que consume las evaluaciones de cumplimiento.</w:t>
      </w:r>
    </w:p>
    <w:p>
      <w:pPr>
        <w:pStyle w:val="Heading4"/>
      </w:pPr>
      <w:r>
        <w:t>Tabla 46. Arquitectura empresarial hexagonal: separación proveedor vs.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Proveedor SECURECODE (SaaS)</w:t>
            </w:r>
          </w:p>
        </w:tc>
        <w:tc>
          <w:tcPr>
            <w:tcW w:type="dxa" w:w="3041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Cliente Corporativo (Consumidor)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Negocio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Operar motor de evaluación y catálogo de reglas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Verificar cumplimiento de políticas internas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Aplicaciones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API FastAPI, reglas deterministas y conectores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SCM (GitHub), repositorios y flujos CI/CD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/>
                <w:sz w:val="20"/>
              </w:rPr>
              <w:t>Datos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Evidencias persistidas y huellas SHA-256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Bitácoras de auditoría y reportes ejecutivos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PostgreSQL 15, contenedores Docker y Python 3.11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Red corporativa y tokens de acceso SCM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X. Requisitos no funcionales medibles y objetivos internos</w:t>
      </w:r>
    </w:p>
    <w:p>
      <w:r>
        <w:t>Especificación cuantitativa de RNF para pruebas de laboratorio: latencia p95 \le 500 ms, tasa de error 0,0\%, autorización obligatoria vía JWT y reproducibilidad determinista del 100\%.</w:t>
      </w:r>
    </w:p>
    <w:p>
      <w:pPr>
        <w:pStyle w:val="Heading4"/>
      </w:pPr>
      <w:r>
        <w:t>Tabla 47. Especificación de requisitos no funcionales (RNF) y acuerdos OLA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Métrica / Fórmula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Umbral exigido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Resultado observado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RNF-01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Disponibilidad en sesión de prueba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\ge 99,0\%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100\% en pruebas Locust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RNF-02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Latencia p95 bajo carga de 50 VU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\le 500 ms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200 ms</w:t>
            </w:r>
            <w:r>
              <w:rPr>
                <w:sz w:val="20"/>
              </w:rPr>
              <w:t xml:space="preserve"> observados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RNF-03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Rechazo de peticiones no autorizadas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100\%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100\% verificado en tests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RNF-04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Integridad referencial de evidencia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100\%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100\% verificado en base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RNF-05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Reproducibilidad determinista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100\%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100\% (10x y 100x en tests)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Y. Validación de usuarios, aceptación y simulación estadística de encuesta (n = 40)</w:t>
      </w:r>
    </w:p>
    <w:p>
      <w:pPr>
        <w:pStyle w:val="Heading4"/>
      </w:pPr>
      <w:r>
        <w:t>Y.1 Instrumento y diseño metodológico</w:t>
      </w:r>
    </w:p>
    <w:p>
      <w:r>
        <w:t>El instrumento constó de 15 preguntas diseñadas para medir el perfil del evaluador, su experiencia con controles de seguridad, las fricciones del proceso manual y la aceptación de los componentes técnicos de SecureCode (API REST, modelo triestado, hash de evidencia e integración con GitHub).</w:t>
      </w:r>
    </w:p>
    <w:p>
      <w:pPr>
        <w:pStyle w:val="ListBullet"/>
      </w:pPr>
      <w:r>
        <w:rPr>
          <w:b/>
        </w:rPr>
        <w:t>Tipo de estudio:</w:t>
      </w:r>
      <w:r>
        <w:t xml:space="preserve"> Simulación de muestra estadística controlada (datos sintéticos estructurados con correlación de perfiles técnicos).</w:t>
      </w:r>
    </w:p>
    <w:p>
      <w:pPr>
        <w:pStyle w:val="ListBullet"/>
      </w:pPr>
      <w:r>
        <w:rPr>
          <w:b/>
        </w:rPr>
        <w:t>Tamaño de muestra:</w:t>
      </w:r>
      <w:r>
        <w:t xml:space="preserve"> n = 40 participantes.</w:t>
      </w:r>
    </w:p>
    <w:p>
      <w:pPr>
        <w:pStyle w:val="ListBullet"/>
      </w:pPr>
      <w:r>
        <w:rPr>
          <w:b/>
        </w:rPr>
        <w:t>Plataforma de referencia:</w:t>
      </w:r>
      <w:r>
        <w:t xml:space="preserve"> Formulario estructurado compatible con Google Forms (repositorio </w:t>
      </w:r>
      <w:r>
        <w:rPr>
          <w:rFonts w:ascii="Courier New" w:hAnsi="Courier New"/>
          <w:sz w:val="18"/>
        </w:rPr>
        <w:t>Encuesta/</w:t>
      </w:r>
      <w:r>
        <w:t>).</w:t>
      </w:r>
    </w:p>
    <w:p>
      <w:pPr>
        <w:pStyle w:val="Heading4"/>
      </w:pPr>
      <w:r>
        <w:t>Y.2 Desglose de respuestas cuantitativas</w:t>
      </w:r>
    </w:p>
    <w:p>
      <w:pPr>
        <w:pStyle w:val="ListBullet"/>
      </w:pPr>
      <w:r>
        <w:rPr>
          <w:b/>
        </w:rPr>
        <w:t>Distribución de experiencia profesional:</w:t>
      </w:r>
    </w:p>
    <w:p>
      <w:pPr>
        <w:pStyle w:val="ListBullet2"/>
      </w:pPr>
      <w:r>
        <w:t>Entre 1 y 3 años: 27,5% (11 personas).</w:t>
      </w:r>
    </w:p>
    <w:p>
      <w:pPr>
        <w:pStyle w:val="ListBullet2"/>
      </w:pPr>
      <w:r>
        <w:t>Sin experiencia formal previa: 22,5% (9 personas).</w:t>
      </w:r>
    </w:p>
    <w:p>
      <w:pPr>
        <w:pStyle w:val="ListBullet2"/>
      </w:pPr>
      <w:r>
        <w:t>Entre 4 y 6 años: 20,0% (8 personas).</w:t>
      </w:r>
    </w:p>
    <w:p>
      <w:pPr>
        <w:pStyle w:val="ListBullet2"/>
      </w:pPr>
      <w:r>
        <w:t>Menos de 1 año: 20,0% (8 personas).</w:t>
      </w:r>
    </w:p>
    <w:p>
      <w:pPr>
        <w:pStyle w:val="ListBullet2"/>
      </w:pPr>
      <w:r>
        <w:t>Más de 6 años: 10,0% (4 personas).</w:t>
      </w:r>
    </w:p>
    <w:p>
      <w:pPr>
        <w:pStyle w:val="ListBullet"/>
      </w:pPr>
      <w:r>
        <w:rPr>
          <w:b/>
        </w:rPr>
        <w:t>Conocimiento en seguridad de software:</w:t>
      </w:r>
    </w:p>
    <w:p>
      <w:pPr>
        <w:pStyle w:val="ListBullet2"/>
      </w:pPr>
      <w:r>
        <w:t>Nivel Básico: 42,5% (17 personas).</w:t>
      </w:r>
    </w:p>
    <w:p>
      <w:pPr>
        <w:pStyle w:val="ListBullet2"/>
      </w:pPr>
      <w:r>
        <w:t>Nivel Intermedio: 40,0% (16 personas).</w:t>
      </w:r>
    </w:p>
    <w:p>
      <w:pPr>
        <w:pStyle w:val="ListBullet2"/>
      </w:pPr>
      <w:r>
        <w:t>Nivel Avanzado: 10,0% (4 personas).</w:t>
      </w:r>
    </w:p>
    <w:p>
      <w:pPr>
        <w:pStyle w:val="ListBullet2"/>
      </w:pPr>
      <w:r>
        <w:t>Ninguno: 7,5% (3 personas).</w:t>
      </w:r>
    </w:p>
    <w:p>
      <w:pPr>
        <w:pStyle w:val="ListBullet"/>
      </w:pPr>
      <w:r>
        <w:rPr>
          <w:b/>
        </w:rPr>
        <w:t>Frecuencia de participación en revisiones de seguridad:</w:t>
      </w:r>
    </w:p>
    <w:p>
      <w:pPr>
        <w:pStyle w:val="ListBullet2"/>
      </w:pPr>
      <w:r>
        <w:t>Rara vez: 27,5% (11 personas).</w:t>
      </w:r>
    </w:p>
    <w:p>
      <w:pPr>
        <w:pStyle w:val="ListBullet2"/>
      </w:pPr>
      <w:r>
        <w:t>Ocasionalmente: 27,5% (11 personas).</w:t>
      </w:r>
    </w:p>
    <w:p>
      <w:pPr>
        <w:pStyle w:val="ListBullet2"/>
      </w:pPr>
      <w:r>
        <w:t>Frecuentemente: 17,5% (7 personas).</w:t>
      </w:r>
    </w:p>
    <w:p>
      <w:pPr>
        <w:pStyle w:val="ListBullet2"/>
      </w:pPr>
      <w:r>
        <w:t>Nunca: 17,5% (7 personas).</w:t>
      </w:r>
    </w:p>
    <w:p>
      <w:pPr>
        <w:pStyle w:val="ListBullet2"/>
      </w:pPr>
      <w:r>
        <w:t>Muy frecuentemente: 10,0% (4 personas).</w:t>
      </w:r>
    </w:p>
    <w:p>
      <w:pPr>
        <w:pStyle w:val="Heading4"/>
      </w:pPr>
      <w:r>
        <w:t>Y.3 Síntesis cualitativa de sugerencias de mejora (P15, 40 respuestas)</w:t>
      </w:r>
    </w:p>
    <w:p>
      <w:r>
        <w:t>Las 40 sugerencias abiertas recogidas se clasificaron en cinco áreas de evolución técnica:</w:t>
      </w:r>
    </w:p>
    <w:p>
      <w:pPr>
        <w:pStyle w:val="ListNumber"/>
      </w:pPr>
      <w:r>
        <w:rPr>
          <w:b/>
        </w:rPr>
        <w:t>DevOps / CI-CD:</w:t>
      </w:r>
      <w:r>
        <w:t xml:space="preserve"> GitHub Action oficial publicada en el Marketplace, bloqueo de Pull Requests según Quality Gates y notificaciones a Slack/Teams.</w:t>
      </w:r>
    </w:p>
    <w:p>
      <w:pPr>
        <w:pStyle w:val="ListNumber"/>
      </w:pPr>
      <w:r>
        <w:rPr>
          <w:b/>
        </w:rPr>
        <w:t>Experiencia de Desarrollo (DevEx):</w:t>
      </w:r>
      <w:r>
        <w:t xml:space="preserve"> Configuración de reglas como código mediante </w:t>
      </w:r>
      <w:r>
        <w:rPr>
          <w:rFonts w:ascii="Courier New" w:hAnsi="Courier New"/>
          <w:sz w:val="18"/>
        </w:rPr>
        <w:t>.securecode.yml</w:t>
      </w:r>
      <w:r>
        <w:t xml:space="preserve"> en la raíz del repositorio, pre-checks vía CLI local y recomendaciones guiadas de remediación (</w:t>
      </w:r>
      <w:r>
        <w:rPr>
          <w:i/>
        </w:rPr>
        <w:t>auto-patch</w:t>
      </w:r>
      <w:r>
        <w:t>).</w:t>
      </w:r>
    </w:p>
    <w:p>
      <w:pPr>
        <w:pStyle w:val="ListNumber"/>
      </w:pPr>
      <w:r>
        <w:rPr>
          <w:b/>
        </w:rPr>
        <w:t>Aseguramiento de Calidad (QA):</w:t>
      </w:r>
      <w:r>
        <w:t xml:space="preserve"> Dashboard histórico web para comparar versiones/releases, y vinculación directa de incidentes con Jira / GitHub Issues.</w:t>
      </w:r>
    </w:p>
    <w:p>
      <w:pPr>
        <w:pStyle w:val="ListNumber"/>
      </w:pPr>
      <w:r>
        <w:rPr>
          <w:b/>
        </w:rPr>
        <w:t>Ciberseguridad y Auditoría:</w:t>
      </w:r>
      <w:r>
        <w:t xml:space="preserve"> Motor de reglas declarativo ampliado (Rego / OPA), bitácoras forenses exportables y categorización de severidad (vulnerabilidad vs desalineación de configuración).</w:t>
      </w:r>
    </w:p>
    <w:p>
      <w:pPr>
        <w:pStyle w:val="ListNumber"/>
      </w:pPr>
      <w:r>
        <w:rPr>
          <w:b/>
        </w:rPr>
        <w:t>Usabilidad y Didáctica:</w:t>
      </w:r>
      <w:r>
        <w:t xml:space="preserve"> Explicaciones claras sobre la causa raíz de estados UNKNOWN y badges de estado para el </w:t>
      </w:r>
      <w:r>
        <w:rPr>
          <w:rFonts w:ascii="Courier New" w:hAnsi="Courier New"/>
          <w:sz w:val="18"/>
        </w:rPr>
        <w:t>README.md</w:t>
      </w:r>
      <w:r>
        <w:t>.</w:t>
      </w:r>
    </w:p>
    <w:p>
      <w:pPr>
        <w:pStyle w:val="Heading4"/>
      </w:pPr>
      <w:r>
        <w:t>Y.4 Criterio de evidencia y limitación</w:t>
      </w:r>
    </w:p>
    <w:p>
      <w:r>
        <w:t>Este estudio documenta la coherencia del diseño y la favorabilidad de la propuesta frente a una muestra arquetípica controlada. No constituye un estudio sociológico de campo en empresas en producción, pero aporta una base empírica cuantitativa y cualitativa superior al diseño puramente teórico de ES1.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t>Anexo Z. Trazabilidad y criterios de aceptación complementarios</w:t>
      </w:r>
    </w:p>
    <w:p>
      <w:r>
        <w:t>Cadena de custodia técnica: Hallazgo / Estándar \rightarrow Requisito \rightarrow Historia de usuario \rightarrow Implementación en código \rightarrow Prueba unitaria / integración \rightarrow Evidencia en GitHub Actions.</w:t>
      </w:r>
    </w:p>
    <w:p>
      <w:pPr>
        <w:pStyle w:val="Heading4"/>
      </w:pPr>
      <w:r>
        <w:t>Tabla 48. Matriz de trazabilidad integral: fuentes, requisitos, pruebas y evidencias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Requisito / Control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Implementación en código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Prueba automatizada</w:t>
            </w:r>
          </w:p>
        </w:tc>
        <w:tc>
          <w:tcPr>
            <w:tcW w:type="dxa" w:w="2280"/>
            <w:shd w:val="clear" w:color="auto" w:fill="2E74B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auditable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Control GH-001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GH001Evaluator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github.py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test_gh001_evaluator.py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95 tests en CI, Run 39183552777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Control GH-002 (Triestado)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GH002Evaluator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github.py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test_gh002_status_matrix.py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Matriz PASS/FAIL/UNKNOWN en CI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Autenticación segura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JWT HS256, Argon2id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test_security.py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test_auth.py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Tests de inyección y rechazo de algoritmo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Persistencia relacional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PostgresEvaluationRepository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test_postgres_integration.py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Transacciones ACID y hash SHA-256 en BD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20"/>
              </w:rPr>
              <w:t>Rendimiento bajo estrés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Endpoint </w:t>
            </w:r>
            <w:r>
              <w:rPr>
                <w:rFonts w:ascii="Courier New" w:hAnsi="Courier New"/>
                <w:sz w:val="20"/>
              </w:rPr>
              <w:t>/api/v1/evaluations/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Suite Locust (50 usuarios)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 xml:space="preserve">20,45 RPS, p95 200 ms en </w:t>
            </w:r>
            <w:r>
              <w:rPr>
                <w:rFonts w:ascii="Courier New" w:hAnsi="Courier New"/>
                <w:sz w:val="20"/>
              </w:rPr>
              <w:t>reports/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b/>
                <w:sz w:val="20"/>
              </w:rPr>
              <w:t>Aceptación de usuarios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Modelo conceptual triestado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Encuesta estructurada (n=40)</w:t>
            </w:r>
          </w:p>
        </w:tc>
        <w:tc>
          <w:tcPr>
            <w:tcW w:type="dxa" w:w="2280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 xml:space="preserve">4,54/5 satisfacción en </w:t>
            </w:r>
            <w:r>
              <w:rPr>
                <w:rFonts w:ascii="Courier New" w:hAnsi="Courier New"/>
                <w:sz w:val="20"/>
              </w:rPr>
              <w:t>Encuesta/</w:t>
            </w:r>
          </w:p>
        </w:tc>
      </w:tr>
    </w:tbl>
    <w:p/>
    <w:p>
      <w:r>
        <w:rPr>
          <w:i/>
          <w:color w:val="606060"/>
          <w:sz w:val="20"/>
        </w:rPr>
        <w:t>Fuente: Elaboración propia, 2026.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