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FSM Executive Analytics Module</w:t>
      </w:r>
    </w:p>
    <w:p>
      <w:r>
        <w:t>Architecture Feasibility &amp; Implementation Endorsement | Design Review | 16 October 2026</w:t>
      </w:r>
    </w:p>
    <w:p>
      <w:r>
        <w:t>Overall verdict: FEASIBLE TO IMPLEMENT. The architecture shown in the supplied infographic is technically coherent and compatible with the FSM target architecture. This endorsement applies to the architecture approach; it does not certify existing implementation, data-source availability, performance, or tested behavior.</w:t>
      </w:r>
    </w:p>
    <w:p>
      <w:pPr>
        <w:pStyle w:val="Heading1"/>
      </w:pPr>
      <w:r>
        <w:t>1. Executive architectural decision</w:t>
      </w:r>
    </w:p>
    <w:p>
      <w:r>
        <w:t>The proposed arrangement—React PWA presentation, authenticated FastAPI analytics API, analytics aggregation service, PostgreSQL operational records and daily summary, and scheduled background rollup—is a practical implementation pattern for the application. It fits the agreed React -&gt; FastAPI modular monolith -&gt; Supabase-hosted PostgreSQL deployment without introducing a new standalone analytics service or a second database.</w:t>
      </w:r>
    </w:p>
    <w:p>
      <w:r>
        <w:t>Decision: Approve the HLD architecture concept for detailed technical design and subsequent implementation planning. Execution of code changes, migrations, tests, or deployment requires separate explicit authorization.</w:t>
      </w:r>
    </w:p>
    <w:p>
      <w:pPr>
        <w:pStyle w:val="Heading1"/>
      </w:pPr>
      <w:r>
        <w:t>2. Architecture diagram — implementable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80" cy="4939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4939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Diagram interpretation: the analytics service is part of the existing FastAPI backend. Daily summaries reduce repeat query costs for historical reporting; live source reads or explicitly refreshed summaries support fresher dashboard values.</w:t>
      </w:r>
    </w:p>
    <w:p>
      <w:pPr>
        <w:pStyle w:val="Heading1"/>
      </w:pPr>
      <w:r>
        <w:t>3. Feasibility of the depicted layers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sz w:val="17"/>
              </w:rPr>
              <w:t>Layer in proposed infographic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Feasibility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Implementation condition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Executive React PWA dashboard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Feasible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Use the existing frontend for KPI cards, comparison charts, funnel and leaderboard.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FastAPI JWT, roles and analytics router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Feasible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Validate token and reporting scope server-side before supplying analytics results.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Analytics service + KPI aggregation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Feasible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Centralize metric computation and stable response contracts in a backend module.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PostgreSQL daily summary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Feasible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Choose a reporting grain and deterministic recomputation strategy.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APScheduler overnight rollup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Feasible with controls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Ensure jobs run once per deployment schedule; handle retries and historical corrections.</w:t>
            </w:r>
          </w:p>
        </w:tc>
      </w:tr>
      <w:tr>
        <w:tc>
          <w:tcPr>
            <w:tcW w:type="dxa" w:w="3264"/>
          </w:tcPr>
          <w:p>
            <w:r>
              <w:rPr>
                <w:sz w:val="17"/>
              </w:rPr>
              <w:t>Operational table input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Feasible as a pattern</w:t>
            </w:r>
          </w:p>
        </w:tc>
        <w:tc>
          <w:tcPr>
            <w:tcW w:type="dxa" w:w="3264"/>
          </w:tcPr>
          <w:p>
            <w:r>
              <w:rPr>
                <w:sz w:val="17"/>
              </w:rPr>
              <w:t>Source tables and metric definitions must exist and match production records.</w:t>
            </w:r>
          </w:p>
        </w:tc>
      </w:tr>
    </w:tbl>
    <w:p/>
    <w:p>
      <w:pPr>
        <w:pStyle w:val="Heading1"/>
      </w:pPr>
      <w:r>
        <w:t>4. How the implementation would work</w:t>
      </w:r>
    </w:p>
    <w:p>
      <w:r>
        <w:t>1. The executive opens the analytics dashboard; React issues an authorized read request to the FastAPI analytics endpoint.</w:t>
      </w:r>
    </w:p>
    <w:p>
      <w:r>
        <w:t>2. FastAPI validates identity, approved role and permitted geographic / organizational reporting scope.</w:t>
      </w:r>
    </w:p>
    <w:p>
      <w:r>
        <w:t>3. The analytics service obtains available pre-aggregated historical metrics and recent operational values according to the freshness contract.</w:t>
      </w:r>
    </w:p>
    <w:p>
      <w:r>
        <w:t>4. It calculates or assembles KPI cards, comparison series, funnel counts and zonal rankings, and returns one structured response.</w:t>
      </w:r>
    </w:p>
    <w:p>
      <w:r>
        <w:t>5. A scheduled process recomputes daily summaries from qualifying operational records; repeated execution cannot double-count results.</w:t>
      </w:r>
    </w:p>
    <w:p>
      <w:r>
        <w:t>6. Late changes and corrected records trigger explicit recomputation/backfill to keep summaries reconciled with source data.</w:t>
      </w:r>
    </w:p>
    <w:p>
      <w:pPr>
        <w:pStyle w:val="Heading1"/>
      </w:pPr>
      <w:r>
        <w:t>5. Conditions to meet during detailed design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sz w:val="17"/>
              </w:rPr>
              <w:t>Design safeguard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Why it matters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Metrics contract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Definitions for strike rate, completed calls, funnel stages, expense burn, and zonal targets must be unambiguous.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Role and hierarchy scopes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Prevent unauthorized reporting access between employees, territories and zones.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Data freshness disclosure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A nightly-only summary is not real-time; specify which measures are current versus historical.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Idempotent rollup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Repeated schedules or retries must not inflate daily totals.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Corrections and backfills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Late visits, expense edits and status changes must be reflected in aggregates.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Query and index planning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Filtering by date and reporting scope must remain efficient for the expected volume.</w:t>
            </w:r>
          </w:p>
        </w:tc>
      </w:tr>
      <w:tr>
        <w:tc>
          <w:tcPr>
            <w:tcW w:type="dxa" w:w="4896"/>
          </w:tcPr>
          <w:p>
            <w:r>
              <w:rPr>
                <w:sz w:val="17"/>
              </w:rPr>
              <w:t>Scheduler resilience</w:t>
            </w:r>
          </w:p>
        </w:tc>
        <w:tc>
          <w:tcPr>
            <w:tcW w:type="dxa" w:w="4896"/>
          </w:tcPr>
          <w:p>
            <w:r>
              <w:rPr>
                <w:sz w:val="17"/>
              </w:rPr>
              <w:t>Define overlapping-job protection, failed-job retry and operational visibility.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864" w:right="1224" w:bottom="835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ORCA LABS  |  EXECUTIVE ANALYTICS  |  ARCHITECTURE FEASIBILITY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5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55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55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