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w="http://schemas.openxmlformats.org/wordprocessingml/2006/main" xmlns:w14="http://schemas.microsoft.com/office/word/2010/wordml" xmlns:r="http://schemas.openxmlformats.org/officeDocument/2006/relationships">
  <w:body>
    <w:p>
      <w:pPr>
        <w:spacing w:after="240"/>
      </w:pPr>
    </w:p>
    <w:p>
      <w:pPr>
        <w:spacing w:after="240"/>
      </w:pPr>
    </w:p>
    <w:p>
      <w:pPr>
        <w:spacing w:after="240"/>
      </w:pPr>
      <w:r>
        <w:rPr>
          <w:rFonts w:ascii="Arial" w:hAnsi="Arial"/>
          <w:sz w:val="56"/>
          <w:color w:val="6C63FF"/>
          <w:b/>
        </w:rPr>
        <w:t xml:space="preserve">ECO_L_R_T_B_SYSTEM</w:t>
      </w:r>
    </w:p>
    <w:p>
      <w:pPr>
        <w:spacing w:after="120"/>
      </w:pPr>
      <w:r>
        <w:rPr>
          <w:rFonts w:ascii="Arial" w:hAnsi="Arial"/>
          <w:sz w:val="32"/>
          <w:color w:val="9FA3C7"/>
        </w:rPr>
        <w:t xml:space="preserve">Ecology Left Right Top Bottom</w:t>
      </w:r>
    </w:p>
    <w:p>
      <w:pPr>
        <w:spacing w:after="480"/>
      </w:pPr>
      <w:r>
        <w:rPr>
          <w:rFonts w:ascii="Arial" w:hAnsi="Arial"/>
          <w:sz w:val="24"/>
          <w:color w:val="5C6080"/>
        </w:rPr>
        <w:t xml:space="preserve">Document Formatting System  v1.0.0</w:t>
      </w:r>
    </w:p>
    <w:p>
      <w:pPr>
        <w:pBdr>
          <w:bottom w:val="single" w:sz="4" w:space="1" w:color="2A2E4A"/>
        </w:pBdr>
        <w:spacing w:before="240" w:after="240"/>
      </w:pPr>
    </w:p>
    <w:p>
      <w:pPr>
        <w:spacing w:after="40"/>
      </w:pPr>
      <w:r>
        <w:rPr>
          <w:rFonts w:ascii="Arial" w:hAnsi="Arial"/>
          <w:sz w:val="20"/>
          <w:color w:val="9FA3C7"/>
        </w:rPr>
        <w:t xml:space="preserve">Copyright (C) 2026 Tyler Blankenship</w:t>
      </w:r>
    </w:p>
    <w:p>
      <w:pPr>
        <w:spacing w:after="40"/>
      </w:pPr>
      <w:r>
        <w:rPr>
          <w:rFonts w:ascii="Arial" w:hAnsi="Arial"/>
          <w:sz w:val="20"/>
          <w:color w:val="9FA3C7"/>
        </w:rPr>
        <w:t xml:space="preserve">Copyright (C) 2026 Rae</w:t>
      </w:r>
    </w:p>
    <w:p>
      <w:pPr>
        <w:spacing w:after="40"/>
      </w:pPr>
      <w:r>
        <w:rPr>
          <w:rFonts w:ascii="Arial" w:hAnsi="Arial"/>
          <w:sz w:val="20"/>
          <w:color w:val="9FA3C7"/>
        </w:rPr>
        <w:t xml:space="preserve">Copyright (C) 2026 Lucas</w:t>
      </w:r>
    </w:p>
    <w:p>
      <w:pPr>
        <w:spacing w:after="40"/>
      </w:pPr>
      <w:r>
        <w:rPr>
          <w:rFonts w:ascii="Arial" w:hAnsi="Arial"/>
          <w:sz w:val="20"/>
          <w:color w:val="9FA3C7"/>
        </w:rPr>
        <w:t xml:space="preserve">Copyright (C) 2026 Daloze Benoit (Eregon)</w:t>
      </w:r>
    </w:p>
    <w:p>
      <w:pPr>
        <w:spacing w:after="480"/>
      </w:pPr>
      <w:r>
        <w:rPr>
          <w:rFonts w:ascii="Arial" w:hAnsi="Arial"/>
          <w:sz w:val="18"/>
          <w:color w:val="5C6080"/>
        </w:rPr>
        <w:t xml:space="preserve">MIT License</w:t>
      </w:r>
    </w:p>
    <w:p>
      <w:r>
        <w:br w:type="page"/>
      </w:r>
    </w:p>
    <w:p>
      <w:pPr>
        <w:pStyle w:val="Heading1"/>
      </w:pPr>
      <w:r>
        <w:rPr>
          <w:rFonts w:ascii="Arial" w:hAnsi="Arial"/>
          <w:sz w:val="24"/>
        </w:rPr>
        <w:t>1. Overview</w:t>
      </w:r>
    </w:p>
    <w:p>
      <w:pPr>
        <w:spacing w:after="160"/>
      </w:pPr>
      <w:r>
        <w:rPr>
          <w:rFonts w:ascii="Arial" w:hAnsi="Arial"/>
          <w:sz w:val="24"/>
          <w:color w:val="9FA3C7"/>
        </w:rPr>
        <w:t xml:space="preserve">The Eco_L_R_T_B_System provides a unified margin, padding, and border model that maps identically across every target language and document format. A single set of four integer values drives layout across C, C#, Python, JavaScript, PHP, HTML, XML, CSS, Nix, Apache, and Maven targets.</w:t>
      </w:r>
    </w:p>
    <w:p>
      <w:pPr>
        <w:spacing w:after="240"/>
      </w:pPr>
    </w:p>
    <w:p>
      <w:pPr>
        <w:spacing w:after="160"/>
      </w:pPr>
      <w:r>
        <w:rPr>
          <w:rFonts w:ascii="Arial" w:hAnsi="Arial"/>
          <w:sz w:val="22"/>
          <w:color w:val="E8EAF6"/>
          <w:b/>
        </w:rPr>
        <w:t xml:space="preserve">ECO_L  =  Left   edge offset</w:t>
      </w:r>
    </w:p>
    <w:p>
      <w:pPr>
        <w:spacing w:after="160"/>
      </w:pPr>
      <w:r>
        <w:rPr>
          <w:rFonts w:ascii="Arial" w:hAnsi="Arial"/>
          <w:sz w:val="22"/>
          <w:color w:val="E8EAF6"/>
          <w:b/>
        </w:rPr>
        <w:t xml:space="preserve">ECO_R  =  Right  edge offset</w:t>
      </w:r>
    </w:p>
    <w:p>
      <w:pPr>
        <w:spacing w:after="160"/>
      </w:pPr>
      <w:r>
        <w:rPr>
          <w:rFonts w:ascii="Arial" w:hAnsi="Arial"/>
          <w:sz w:val="22"/>
          <w:color w:val="E8EAF6"/>
          <w:b/>
        </w:rPr>
        <w:t xml:space="preserve">ECO_T  =  Top    edge offset</w:t>
      </w:r>
    </w:p>
    <w:p>
      <w:pPr>
        <w:spacing w:after="160"/>
      </w:pPr>
      <w:r>
        <w:rPr>
          <w:rFonts w:ascii="Arial" w:hAnsi="Arial"/>
          <w:sz w:val="22"/>
          <w:color w:val="E8EAF6"/>
          <w:b/>
        </w:rPr>
        <w:t xml:space="preserve">ECO_B  =  Bottom edge offset</w:t>
      </w:r>
    </w:p>
    <w:p>
      <w:pPr>
        <w:pBdr>
          <w:bottom w:val="single" w:sz="4" w:space="1" w:color="2A2E4A"/>
        </w:pBdr>
        <w:spacing w:before="240" w:after="240"/>
      </w:pPr>
    </w:p>
    <w:p>
      <w:pPr>
        <w:pStyle w:val="Heading1"/>
      </w:pPr>
      <w:r>
        <w:rPr>
          <w:rFonts w:ascii="Arial" w:hAnsi="Arial"/>
          <w:sz w:val="24"/>
        </w:rPr>
        <w:t>2. Base Unit</w:t>
      </w:r>
    </w:p>
    <w:p>
      <w:pPr>
        <w:spacing w:after="160"/>
      </w:pPr>
      <w:r>
        <w:rPr>
          <w:rFonts w:ascii="Arial" w:hAnsi="Arial"/>
          <w:sz w:val="24"/>
          <w:color w:val="9FA3C7"/>
        </w:rPr>
        <w:t xml:space="preserve">1 ECO_UNIT = 1 pixel at 96 dpi. All preset values are expressed in ECO_UNIT. The conversion engine maps to any target unit without loss of precision.</w:t>
      </w:r>
    </w:p>
    <w:p>
      <w:pPr>
        <w:spacing w:after="240"/>
      </w:pPr>
    </w:p>
    <w:tbl>
      <w:tblPr>
        <w:tblW w:w="9360" w:type="dxa"/>
        <w:tblBorders>
          <w:top w:val="single" w:sz="2" w:space="0" w:color="2A2E4A"/>
          <w:start w:val="single" w:sz="2" w:space="0" w:color="2A2E4A"/>
          <w:bottom w:val="single" w:sz="2" w:space="0" w:color="2A2E4A"/>
          <w:end w:val="single" w:sz="2" w:space="0" w:color="2A2E4A"/>
          <w:insideH w:val="single" w:sz="2" w:space="0" w:color="2A2E4A"/>
          <w:insideV w:val="single" w:sz="2" w:space="0" w:color="2A2E4A"/>
        </w:tblBorders>
      </w:tblPr>
      <w:tblGrid>
        <w:gridCol w:w="3120"/>
        <w:gridCol w:w="3120"/>
        <w:gridCol w:w="3120"/>
      </w:tblGrid>
      <w:tr>
        <w:tc>
          <w:tcPr>
            <w:tcW w:w="3120" w:type="dxa"/>
            <w:shd w:val="clear" w:color="auto" w:fill="2326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FFFFFF"/>
                <w:b/>
              </w:rPr>
              <w:t xml:space="preserve">Unit</w:t>
            </w:r>
          </w:p>
        </w:tc>
        <w:tc>
          <w:tcPr>
            <w:tcW w:w="3120" w:type="dxa"/>
            <w:shd w:val="clear" w:color="auto" w:fill="2326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FFFFFF"/>
                <w:b/>
              </w:rPr>
              <w:t xml:space="preserve">1 ECO_UNIT =</w:t>
            </w:r>
          </w:p>
        </w:tc>
        <w:tc>
          <w:tcPr>
            <w:tcW w:w="3120" w:type="dxa"/>
            <w:shd w:val="clear" w:color="auto" w:fill="2326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FFFFFF"/>
                <w:b/>
              </w:rPr>
              <w:t xml:space="preserve">Notes</w:t>
            </w:r>
          </w:p>
        </w:tc>
      </w:tr>
      <w:tr>
        <w:tc>
          <w:tcPr>
            <w:tcW w:w="312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px</w:t>
            </w:r>
          </w:p>
        </w:tc>
        <w:tc>
          <w:tcPr>
            <w:tcW w:w="312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1.000000</w:t>
            </w:r>
          </w:p>
        </w:tc>
        <w:tc>
          <w:tcPr>
            <w:tcW w:w="312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CSS pixel at 96 dpi</w:t>
            </w:r>
          </w:p>
        </w:tc>
      </w:tr>
      <w:tr>
        <w:tc>
          <w:tcPr>
            <w:tcW w:w="312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pt</w:t>
            </w:r>
          </w:p>
        </w:tc>
        <w:tc>
          <w:tcPr>
            <w:tcW w:w="312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0.750000</w:t>
            </w:r>
          </w:p>
        </w:tc>
        <w:tc>
          <w:tcPr>
            <w:tcW w:w="312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Desktop point</w:t>
            </w:r>
          </w:p>
        </w:tc>
      </w:tr>
      <w:tr>
        <w:tc>
          <w:tcPr>
            <w:tcW w:w="312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mm</w:t>
            </w:r>
          </w:p>
        </w:tc>
        <w:tc>
          <w:tcPr>
            <w:tcW w:w="312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0.264583</w:t>
            </w:r>
          </w:p>
        </w:tc>
        <w:tc>
          <w:tcPr>
            <w:tcW w:w="312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Millimetre</w:t>
            </w:r>
          </w:p>
        </w:tc>
      </w:tr>
      <w:tr>
        <w:tc>
          <w:tcPr>
            <w:tcW w:w="312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in</w:t>
            </w:r>
          </w:p>
        </w:tc>
        <w:tc>
          <w:tcPr>
            <w:tcW w:w="312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0.010417</w:t>
            </w:r>
          </w:p>
        </w:tc>
        <w:tc>
          <w:tcPr>
            <w:tcW w:w="312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Inch (1/96)</w:t>
            </w:r>
          </w:p>
        </w:tc>
      </w:tr>
      <w:tr>
        <w:tc>
          <w:tcPr>
            <w:tcW w:w="312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DXA</w:t>
            </w:r>
          </w:p>
        </w:tc>
        <w:tc>
          <w:tcPr>
            <w:tcW w:w="312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15.000000</w:t>
            </w:r>
          </w:p>
        </w:tc>
        <w:tc>
          <w:tcPr>
            <w:tcW w:w="312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Word twip (1/1440 in)</w:t>
            </w:r>
          </w:p>
        </w:tc>
      </w:tr>
      <w:tr>
        <w:tc>
          <w:tcPr>
            <w:tcW w:w="312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EMU</w:t>
            </w:r>
          </w:p>
        </w:tc>
        <w:tc>
          <w:tcPr>
            <w:tcW w:w="312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9525.000000</w:t>
            </w:r>
          </w:p>
        </w:tc>
        <w:tc>
          <w:tcPr>
            <w:tcW w:w="312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OOXML English Metric Unit</w:t>
            </w:r>
          </w:p>
        </w:tc>
      </w:tr>
      <w:tr>
        <w:tc>
          <w:tcPr>
            <w:tcW w:w="312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rem</w:t>
            </w:r>
          </w:p>
        </w:tc>
        <w:tc>
          <w:tcPr>
            <w:tcW w:w="312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0.062500</w:t>
            </w:r>
          </w:p>
        </w:tc>
        <w:tc>
          <w:tcPr>
            <w:tcW w:w="312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CSS rem (base 16px)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Style w:val="Heading1"/>
      </w:pPr>
      <w:r>
        <w:rPr>
          <w:rFonts w:ascii="Arial" w:hAnsi="Arial"/>
          <w:sz w:val="24"/>
        </w:rPr>
        <w:t>3. Presets</w:t>
      </w:r>
    </w:p>
    <w:p>
      <w:pPr>
        <w:spacing w:after="160"/>
      </w:pPr>
      <w:r>
        <w:rPr>
          <w:rFonts w:ascii="Arial" w:hAnsi="Arial"/>
          <w:sz w:val="24"/>
          <w:color w:val="9FA3C7"/>
        </w:rPr>
        <w:t xml:space="preserve">All values in ECO_UNIT (px at 96 dpi).</w:t>
      </w:r>
    </w:p>
    <w:p>
      <w:pPr>
        <w:spacing w:after="240"/>
      </w:pPr>
    </w:p>
    <w:tbl>
      <w:tblPr>
        <w:tblW w:w="9360" w:type="dxa"/>
        <w:tblBorders>
          <w:top w:val="single" w:sz="2" w:space="0" w:color="2A2E4A"/>
          <w:start w:val="single" w:sz="2" w:space="0" w:color="2A2E4A"/>
          <w:bottom w:val="single" w:sz="2" w:space="0" w:color="2A2E4A"/>
          <w:end w:val="single" w:sz="2" w:space="0" w:color="2A2E4A"/>
          <w:insideH w:val="single" w:sz="2" w:space="0" w:color="2A2E4A"/>
          <w:insideV w:val="single" w:sz="2" w:space="0" w:color="2A2E4A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w="1560" w:type="dxa"/>
            <w:shd w:val="clear" w:color="auto" w:fill="2326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FFFFFF"/>
                <w:b/>
              </w:rPr>
              <w:t xml:space="preserve">Name</w:t>
            </w:r>
          </w:p>
        </w:tc>
        <w:tc>
          <w:tcPr>
            <w:tcW w:w="1560" w:type="dxa"/>
            <w:shd w:val="clear" w:color="auto" w:fill="2326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FFFFFF"/>
                <w:b/>
              </w:rPr>
              <w:t xml:space="preserve">L</w:t>
            </w:r>
          </w:p>
        </w:tc>
        <w:tc>
          <w:tcPr>
            <w:tcW w:w="1560" w:type="dxa"/>
            <w:shd w:val="clear" w:color="auto" w:fill="2326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FFFFFF"/>
                <w:b/>
              </w:rPr>
              <w:t xml:space="preserve">R</w:t>
            </w:r>
          </w:p>
        </w:tc>
        <w:tc>
          <w:tcPr>
            <w:tcW w:w="1560" w:type="dxa"/>
            <w:shd w:val="clear" w:color="auto" w:fill="2326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FFFFFF"/>
                <w:b/>
              </w:rPr>
              <w:t xml:space="preserve">T</w:t>
            </w:r>
          </w:p>
        </w:tc>
        <w:tc>
          <w:tcPr>
            <w:tcW w:w="1560" w:type="dxa"/>
            <w:shd w:val="clear" w:color="auto" w:fill="2326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FFFFFF"/>
                <w:b/>
              </w:rPr>
              <w:t xml:space="preserve">B</w:t>
            </w:r>
          </w:p>
        </w:tc>
        <w:tc>
          <w:tcPr>
            <w:tcW w:w="1560" w:type="dxa"/>
            <w:shd w:val="clear" w:color="auto" w:fill="2326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FFFFFF"/>
                <w:b/>
              </w:rPr>
              <w:t xml:space="preserve">Description</w:t>
            </w:r>
          </w:p>
        </w:tc>
      </w:tr>
      <w:tr>
        <w:tc>
          <w:tcPr>
            <w:tcW w:w="156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compact</w:t>
            </w:r>
          </w:p>
        </w:tc>
        <w:tc>
          <w:tcPr>
            <w:tcW w:w="156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48</w:t>
            </w:r>
          </w:p>
        </w:tc>
        <w:tc>
          <w:tcPr>
            <w:tcW w:w="156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48</w:t>
            </w:r>
          </w:p>
        </w:tc>
        <w:tc>
          <w:tcPr>
            <w:tcW w:w="156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48</w:t>
            </w:r>
          </w:p>
        </w:tc>
        <w:tc>
          <w:tcPr>
            <w:tcW w:w="156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48</w:t>
            </w:r>
          </w:p>
        </w:tc>
        <w:tc>
          <w:tcPr>
            <w:tcW w:w="156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0.50 in all sides</w:t>
            </w:r>
          </w:p>
        </w:tc>
      </w:tr>
      <w:tr>
        <w:tc>
          <w:tcPr>
            <w:tcW w:w="156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standard</w:t>
            </w:r>
          </w:p>
        </w:tc>
        <w:tc>
          <w:tcPr>
            <w:tcW w:w="156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72</w:t>
            </w:r>
          </w:p>
        </w:tc>
        <w:tc>
          <w:tcPr>
            <w:tcW w:w="156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72</w:t>
            </w:r>
          </w:p>
        </w:tc>
        <w:tc>
          <w:tcPr>
            <w:tcW w:w="156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96</w:t>
            </w:r>
          </w:p>
        </w:tc>
        <w:tc>
          <w:tcPr>
            <w:tcW w:w="156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96</w:t>
            </w:r>
          </w:p>
        </w:tc>
        <w:tc>
          <w:tcPr>
            <w:tcW w:w="156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0.75 in L/R, 1.00 in T/B</w:t>
            </w:r>
          </w:p>
        </w:tc>
      </w:tr>
      <w:tr>
        <w:tc>
          <w:tcPr>
            <w:tcW w:w="156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wide</w:t>
            </w:r>
          </w:p>
        </w:tc>
        <w:tc>
          <w:tcPr>
            <w:tcW w:w="156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96</w:t>
            </w:r>
          </w:p>
        </w:tc>
        <w:tc>
          <w:tcPr>
            <w:tcW w:w="156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96</w:t>
            </w:r>
          </w:p>
        </w:tc>
        <w:tc>
          <w:tcPr>
            <w:tcW w:w="156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144</w:t>
            </w:r>
          </w:p>
        </w:tc>
        <w:tc>
          <w:tcPr>
            <w:tcW w:w="156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144</w:t>
            </w:r>
          </w:p>
        </w:tc>
        <w:tc>
          <w:tcPr>
            <w:tcW w:w="156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1.00 in L/R, 1.50 in T/B</w:t>
            </w:r>
          </w:p>
        </w:tc>
      </w:tr>
      <w:tr>
        <w:tc>
          <w:tcPr>
            <w:tcW w:w="156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document</w:t>
            </w:r>
          </w:p>
        </w:tc>
        <w:tc>
          <w:tcPr>
            <w:tcW w:w="156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138</w:t>
            </w:r>
          </w:p>
        </w:tc>
        <w:tc>
          <w:tcPr>
            <w:tcW w:w="156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138</w:t>
            </w:r>
          </w:p>
        </w:tc>
        <w:tc>
          <w:tcPr>
            <w:tcW w:w="156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138</w:t>
            </w:r>
          </w:p>
        </w:tc>
        <w:tc>
          <w:tcPr>
            <w:tcW w:w="156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138</w:t>
            </w:r>
          </w:p>
        </w:tc>
        <w:tc>
          <w:tcPr>
            <w:tcW w:w="156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1.4375 in all (Word default)</w:t>
            </w:r>
          </w:p>
        </w:tc>
      </w:tr>
      <w:tr>
        <w:tc>
          <w:tcPr>
            <w:tcW w:w="156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web</w:t>
            </w:r>
          </w:p>
        </w:tc>
        <w:tc>
          <w:tcPr>
            <w:tcW w:w="156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0</w:t>
            </w:r>
          </w:p>
        </w:tc>
        <w:tc>
          <w:tcPr>
            <w:tcW w:w="156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0</w:t>
            </w:r>
          </w:p>
        </w:tc>
        <w:tc>
          <w:tcPr>
            <w:tcW w:w="156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0</w:t>
            </w:r>
          </w:p>
        </w:tc>
        <w:tc>
          <w:tcPr>
            <w:tcW w:w="156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0</w:t>
            </w:r>
          </w:p>
        </w:tc>
        <w:tc>
          <w:tcPr>
            <w:tcW w:w="156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Zero — CSS handles layout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rFonts w:ascii="Arial" w:hAnsi="Arial"/>
          <w:sz w:val="24"/>
        </w:rPr>
        <w:t>4. Document Target Defaults</w:t>
      </w:r>
    </w:p>
    <w:tbl>
      <w:tblPr>
        <w:tblW w:w="9360" w:type="dxa"/>
        <w:tblBorders>
          <w:top w:val="single" w:sz="2" w:space="0" w:color="2A2E4A"/>
          <w:start w:val="single" w:sz="2" w:space="0" w:color="2A2E4A"/>
          <w:bottom w:val="single" w:sz="2" w:space="0" w:color="2A2E4A"/>
          <w:end w:val="single" w:sz="2" w:space="0" w:color="2A2E4A"/>
          <w:insideH w:val="single" w:sz="2" w:space="0" w:color="2A2E4A"/>
          <w:insideV w:val="single" w:sz="2" w:space="0" w:color="2A2E4A"/>
        </w:tblBorders>
      </w:tblPr>
      <w:tblGrid>
        <w:gridCol w:w="3120"/>
        <w:gridCol w:w="3120"/>
        <w:gridCol w:w="3120"/>
      </w:tblGrid>
      <w:tr>
        <w:tc>
          <w:tcPr>
            <w:tcW w:w="3120" w:type="dxa"/>
            <w:shd w:val="clear" w:color="auto" w:fill="2326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FFFFFF"/>
                <w:b/>
              </w:rPr>
              <w:t xml:space="preserve">Target</w:t>
            </w:r>
          </w:p>
        </w:tc>
        <w:tc>
          <w:tcPr>
            <w:tcW w:w="3120" w:type="dxa"/>
            <w:shd w:val="clear" w:color="auto" w:fill="2326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FFFFFF"/>
                <w:b/>
              </w:rPr>
              <w:t xml:space="preserve">Default Preset</w:t>
            </w:r>
          </w:p>
        </w:tc>
        <w:tc>
          <w:tcPr>
            <w:tcW w:w="3120" w:type="dxa"/>
            <w:shd w:val="clear" w:color="auto" w:fill="2326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FFFFFF"/>
                <w:b/>
              </w:rPr>
              <w:t xml:space="preserve">Notes</w:t>
            </w:r>
          </w:p>
        </w:tc>
      </w:tr>
      <w:tr>
        <w:tc>
          <w:tcPr>
            <w:tcW w:w="312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.txt / .md</w:t>
            </w:r>
          </w:p>
        </w:tc>
        <w:tc>
          <w:tcPr>
            <w:tcW w:w="312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standard</w:t>
            </w:r>
          </w:p>
        </w:tc>
        <w:tc>
          <w:tcPr>
            <w:tcW w:w="312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Visual text frame</w:t>
            </w:r>
          </w:p>
        </w:tc>
      </w:tr>
      <w:tr>
        <w:tc>
          <w:tcPr>
            <w:tcW w:w="312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.html</w:t>
            </w:r>
          </w:p>
        </w:tc>
        <w:tc>
          <w:tcPr>
            <w:tcW w:w="312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web</w:t>
            </w:r>
          </w:p>
        </w:tc>
        <w:tc>
          <w:tcPr>
            <w:tcW w:w="312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CSS handles margins</w:t>
            </w:r>
          </w:p>
        </w:tc>
      </w:tr>
      <w:tr>
        <w:tc>
          <w:tcPr>
            <w:tcW w:w="312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.docx</w:t>
            </w:r>
          </w:p>
        </w:tc>
        <w:tc>
          <w:tcPr>
            <w:tcW w:w="312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document</w:t>
            </w:r>
          </w:p>
        </w:tc>
        <w:tc>
          <w:tcPr>
            <w:tcW w:w="312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pgMar in DXA twips</w:t>
            </w:r>
          </w:p>
        </w:tc>
      </w:tr>
      <w:tr>
        <w:tc>
          <w:tcPr>
            <w:tcW w:w="312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.pdf</w:t>
            </w:r>
          </w:p>
        </w:tc>
        <w:tc>
          <w:tcPr>
            <w:tcW w:w="312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document</w:t>
            </w:r>
          </w:p>
        </w:tc>
        <w:tc>
          <w:tcPr>
            <w:tcW w:w="312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Points or mm</w:t>
            </w:r>
          </w:p>
        </w:tc>
      </w:tr>
      <w:tr>
        <w:tc>
          <w:tcPr>
            <w:tcW w:w="312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.xml</w:t>
            </w:r>
          </w:p>
        </w:tc>
        <w:tc>
          <w:tcPr>
            <w:tcW w:w="312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standard</w:t>
            </w:r>
          </w:p>
        </w:tc>
        <w:tc>
          <w:tcPr>
            <w:tcW w:w="312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Attribute-based</w:t>
            </w:r>
          </w:p>
        </w:tc>
      </w:tr>
      <w:tr>
        <w:tc>
          <w:tcPr>
            <w:tcW w:w="312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.php</w:t>
            </w:r>
          </w:p>
        </w:tc>
        <w:tc>
          <w:tcPr>
            <w:tcW w:w="312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web</w:t>
            </w:r>
          </w:p>
        </w:tc>
        <w:tc>
          <w:tcPr>
            <w:tcW w:w="312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CSS output via toCss()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Style w:val="Heading1"/>
      </w:pPr>
      <w:r>
        <w:rPr>
          <w:rFonts w:ascii="Arial" w:hAnsi="Arial"/>
          <w:sz w:val="24"/>
        </w:rPr>
        <w:t>5. Serialization Formats</w:t>
      </w:r>
    </w:p>
    <w:p>
      <w:pPr>
        <w:pStyle w:val="Heading3"/>
      </w:pPr>
      <w:r>
        <w:rPr>
          <w:rFonts w:ascii="Arial" w:hAnsi="Arial"/>
          <w:sz w:val="24"/>
        </w:rPr>
        <w:t>CSS</w:t>
      </w:r>
    </w:p>
    <w:p>
      <w:pPr>
        <w:pStyle w:val="Code"/>
      </w:pPr>
      <w:r>
        <w:rPr>
          <w:rFonts w:ascii="Courier New" w:hAnsi="Courier New"/>
          <w:sz w:val="20"/>
          <w:color w:val="9FA3C7"/>
        </w:rPr>
        <w:t xml:space="preserve">margin: 96px 72px 96px 72px;   /* T R B L */</w:t>
      </w:r>
    </w:p>
    <w:p>
      <w:pPr>
        <w:pStyle w:val="Heading3"/>
      </w:pPr>
      <w:r>
        <w:rPr>
          <w:rFonts w:ascii="Arial" w:hAnsi="Arial"/>
          <w:sz w:val="24"/>
        </w:rPr>
        <w:t>XML</w:t>
      </w:r>
    </w:p>
    <w:p>
      <w:pPr>
        <w:pStyle w:val="Code"/>
      </w:pPr>
      <w:r>
        <w:rPr>
          <w:rFonts w:ascii="Courier New" w:hAnsi="Courier New"/>
          <w:sz w:val="20"/>
          <w:color w:val="9FA3C7"/>
        </w:rPr>
        <w:t xml:space="preserve">&lt;eco:lrtb L="72" R="72" T="96" B="96"/&gt;</w:t>
      </w:r>
    </w:p>
    <w:p>
      <w:pPr>
        <w:pStyle w:val="Heading3"/>
      </w:pPr>
      <w:r>
        <w:rPr>
          <w:rFonts w:ascii="Arial" w:hAnsi="Arial"/>
          <w:sz w:val="24"/>
        </w:rPr>
        <w:t>JSON</w:t>
      </w:r>
    </w:p>
    <w:p>
      <w:pPr>
        <w:pStyle w:val="Code"/>
      </w:pPr>
      <w:r>
        <w:rPr>
          <w:rFonts w:ascii="Courier New" w:hAnsi="Courier New"/>
          <w:sz w:val="20"/>
          <w:color w:val="9FA3C7"/>
        </w:rPr>
        <w:t xml:space="preserve">{"L":72,"R":72,"T":96,"B":96}</w:t>
      </w:r>
    </w:p>
    <w:p>
      <w:pPr>
        <w:pStyle w:val="Heading3"/>
      </w:pPr>
      <w:r>
        <w:rPr>
          <w:rFonts w:ascii="Arial" w:hAnsi="Arial"/>
          <w:sz w:val="24"/>
        </w:rPr>
        <w:t>OOXML (Word pgMar — DXA twips)</w:t>
      </w:r>
    </w:p>
    <w:p>
      <w:pPr>
        <w:pStyle w:val="Code"/>
      </w:pPr>
      <w:r>
        <w:rPr>
          <w:rFonts w:ascii="Courier New" w:hAnsi="Courier New"/>
          <w:sz w:val="20"/>
          <w:color w:val="9FA3C7"/>
        </w:rPr>
        <w:t xml:space="preserve">&lt;w:pgMar w:left="1080" w:right="1080" w:top="1440" w:bottom="1440"/&gt;</w:t>
      </w:r>
    </w:p>
    <w:p>
      <w:pPr>
        <w:pStyle w:val="Heading3"/>
      </w:pPr>
      <w:r>
        <w:rPr>
          <w:rFonts w:ascii="Arial" w:hAnsi="Arial"/>
          <w:sz w:val="24"/>
        </w:rPr>
        <w:t>PHP</w:t>
      </w:r>
    </w:p>
    <w:p>
      <w:pPr>
        <w:pStyle w:val="Code"/>
      </w:pPr>
      <w:r>
        <w:rPr>
          <w:rFonts w:ascii="Courier New" w:hAnsi="Courier New"/>
          <w:sz w:val="20"/>
          <w:color w:val="9FA3C7"/>
        </w:rPr>
        <w:t xml:space="preserve">['L'=&gt;72,'R'=&gt;72,'T'=&gt;96,'B'=&gt;96]</w:t>
      </w:r>
    </w:p>
    <w:p>
      <w:pPr>
        <w:pStyle w:val="Heading3"/>
      </w:pPr>
      <w:r>
        <w:rPr>
          <w:rFonts w:ascii="Arial" w:hAnsi="Arial"/>
          <w:sz w:val="24"/>
        </w:rPr>
        <w:t>Python</w:t>
      </w:r>
    </w:p>
    <w:p>
      <w:pPr>
        <w:pStyle w:val="Code"/>
      </w:pPr>
      <w:r>
        <w:rPr>
          <w:rFonts w:ascii="Courier New" w:hAnsi="Courier New"/>
          <w:sz w:val="20"/>
          <w:color w:val="9FA3C7"/>
        </w:rPr>
        <w:t xml:space="preserve">{'L':72,'R':72,'T':96,'B':96}</w:t>
      </w:r>
    </w:p>
    <w:p>
      <w:r>
        <w:br w:type="page"/>
      </w:r>
    </w:p>
    <w:p>
      <w:pPr>
        <w:pStyle w:val="Heading1"/>
      </w:pPr>
      <w:r>
        <w:rPr>
          <w:rFonts w:ascii="Arial" w:hAnsi="Arial"/>
          <w:sz w:val="24"/>
        </w:rPr>
        <w:t>6. File Registry</w:t>
      </w:r>
    </w:p>
    <w:tbl>
      <w:tblPr>
        <w:tblW w:w="9360" w:type="dxa"/>
        <w:tblBorders>
          <w:top w:val="single" w:sz="2" w:space="0" w:color="2A2E4A"/>
          <w:start w:val="single" w:sz="2" w:space="0" w:color="2A2E4A"/>
          <w:bottom w:val="single" w:sz="2" w:space="0" w:color="2A2E4A"/>
          <w:end w:val="single" w:sz="2" w:space="0" w:color="2A2E4A"/>
          <w:insideH w:val="single" w:sz="2" w:space="0" w:color="2A2E4A"/>
          <w:insideV w:val="single" w:sz="2" w:space="0" w:color="2A2E4A"/>
        </w:tblBorders>
      </w:tblPr>
      <w:tblGrid>
        <w:gridCol w:w="3120"/>
        <w:gridCol w:w="3120"/>
        <w:gridCol w:w="3120"/>
      </w:tblGrid>
      <w:tr>
        <w:tc>
          <w:tcPr>
            <w:tcW w:w="3120" w:type="dxa"/>
            <w:shd w:val="clear" w:color="auto" w:fill="2326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FFFFFF"/>
                <w:b/>
              </w:rPr>
              <w:t xml:space="preserve">File</w:t>
            </w:r>
          </w:p>
        </w:tc>
        <w:tc>
          <w:tcPr>
            <w:tcW w:w="3120" w:type="dxa"/>
            <w:shd w:val="clear" w:color="auto" w:fill="2326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FFFFFF"/>
                <w:b/>
              </w:rPr>
              <w:t xml:space="preserve">Format</w:t>
            </w:r>
          </w:p>
        </w:tc>
        <w:tc>
          <w:tcPr>
            <w:tcW w:w="3120" w:type="dxa"/>
            <w:shd w:val="clear" w:color="auto" w:fill="2326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FFFFFF"/>
                <w:b/>
              </w:rPr>
              <w:t xml:space="preserve">Description</w:t>
            </w:r>
          </w:p>
        </w:tc>
      </w:tr>
      <w:tr>
        <w:tc>
          <w:tcPr>
            <w:tcW w:w="312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ECO_LRTB.FILE</w:t>
            </w:r>
          </w:p>
        </w:tc>
        <w:tc>
          <w:tcPr>
            <w:tcW w:w="312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FILE</w:t>
            </w:r>
          </w:p>
        </w:tc>
        <w:tc>
          <w:tcPr>
            <w:tcW w:w="312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Master container — spec and registry</w:t>
            </w:r>
          </w:p>
        </w:tc>
      </w:tr>
      <w:tr>
        <w:tc>
          <w:tcPr>
            <w:tcW w:w="312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core/eco_lrtb.h</w:t>
            </w:r>
          </w:p>
        </w:tc>
        <w:tc>
          <w:tcPr>
            <w:tcW w:w="312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C</w:t>
            </w:r>
          </w:p>
        </w:tc>
        <w:tc>
          <w:tcPr>
            <w:tcW w:w="312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Header — types and API declarations</w:t>
            </w:r>
          </w:p>
        </w:tc>
      </w:tr>
      <w:tr>
        <w:tc>
          <w:tcPr>
            <w:tcW w:w="312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core/eco_lrtb.c</w:t>
            </w:r>
          </w:p>
        </w:tc>
        <w:tc>
          <w:tcPr>
            <w:tcW w:w="312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C</w:t>
            </w:r>
          </w:p>
        </w:tc>
        <w:tc>
          <w:tcPr>
            <w:tcW w:w="312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Implementation — pure C99, zero deps</w:t>
            </w:r>
          </w:p>
        </w:tc>
      </w:tr>
      <w:tr>
        <w:tc>
          <w:tcPr>
            <w:tcW w:w="312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core/eco_lrtb.cs</w:t>
            </w:r>
          </w:p>
        </w:tc>
        <w:tc>
          <w:tcPr>
            <w:tcW w:w="312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C#</w:t>
            </w:r>
          </w:p>
        </w:tc>
        <w:tc>
          <w:tcPr>
            <w:tcW w:w="312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.NET 6+ immutable struct</w:t>
            </w:r>
          </w:p>
        </w:tc>
      </w:tr>
      <w:tr>
        <w:tc>
          <w:tcPr>
            <w:tcW w:w="312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core/eco_lrtb.py</w:t>
            </w:r>
          </w:p>
        </w:tc>
        <w:tc>
          <w:tcPr>
            <w:tcW w:w="312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Python</w:t>
            </w:r>
          </w:p>
        </w:tc>
        <w:tc>
          <w:tcPr>
            <w:tcW w:w="312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Python 3.9+ frozen dataclass</w:t>
            </w:r>
          </w:p>
        </w:tc>
      </w:tr>
      <w:tr>
        <w:tc>
          <w:tcPr>
            <w:tcW w:w="312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core/eco_lrtb.js</w:t>
            </w:r>
          </w:p>
        </w:tc>
        <w:tc>
          <w:tcPr>
            <w:tcW w:w="312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JS</w:t>
            </w:r>
          </w:p>
        </w:tc>
        <w:tc>
          <w:tcPr>
            <w:tcW w:w="312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V8 / Nitro / Turbine optimized ESM</w:t>
            </w:r>
          </w:p>
        </w:tc>
      </w:tr>
      <w:tr>
        <w:tc>
          <w:tcPr>
            <w:tcW w:w="312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core/eco_lrtb.html</w:t>
            </w:r>
          </w:p>
        </w:tc>
        <w:tc>
          <w:tcPr>
            <w:tcW w:w="312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HTML</w:t>
            </w:r>
          </w:p>
        </w:tc>
        <w:tc>
          <w:tcPr>
            <w:tcW w:w="312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Live demo with embedded engine</w:t>
            </w:r>
          </w:p>
        </w:tc>
      </w:tr>
      <w:tr>
        <w:tc>
          <w:tcPr>
            <w:tcW w:w="312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core/eco_lrtb.php</w:t>
            </w:r>
          </w:p>
        </w:tc>
        <w:tc>
          <w:tcPr>
            <w:tcW w:w="312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PHP</w:t>
            </w:r>
          </w:p>
        </w:tc>
        <w:tc>
          <w:tcPr>
            <w:tcW w:w="312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PHP 8.1+ readonly class</w:t>
            </w:r>
          </w:p>
        </w:tc>
      </w:tr>
      <w:tr>
        <w:tc>
          <w:tcPr>
            <w:tcW w:w="312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core/eco_lrtb_w3c.css</w:t>
            </w:r>
          </w:p>
        </w:tc>
        <w:tc>
          <w:tcPr>
            <w:tcW w:w="312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CSS</w:t>
            </w:r>
          </w:p>
        </w:tc>
        <w:tc>
          <w:tcPr>
            <w:tcW w:w="312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W3C @layer, custom properties</w:t>
            </w:r>
          </w:p>
        </w:tc>
      </w:tr>
      <w:tr>
        <w:tc>
          <w:tcPr>
            <w:tcW w:w="312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core/eco_lrtb.nix</w:t>
            </w:r>
          </w:p>
        </w:tc>
        <w:tc>
          <w:tcPr>
            <w:tcW w:w="312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Nix</w:t>
            </w:r>
          </w:p>
        </w:tc>
        <w:tc>
          <w:tcPr>
            <w:tcW w:w="312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Reproducible build derivation</w:t>
            </w:r>
          </w:p>
        </w:tc>
      </w:tr>
      <w:tr>
        <w:tc>
          <w:tcPr>
            <w:tcW w:w="312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polyfill/eco_lrtb_polyfill.js</w:t>
            </w:r>
          </w:p>
        </w:tc>
        <w:tc>
          <w:tcPr>
            <w:tcW w:w="312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JS</w:t>
            </w:r>
          </w:p>
        </w:tc>
        <w:tc>
          <w:tcPr>
            <w:tcW w:w="312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Browser polyfill — ES5, IE11+</w:t>
            </w:r>
          </w:p>
        </w:tc>
      </w:tr>
      <w:tr>
        <w:tc>
          <w:tcPr>
            <w:tcW w:w="312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nitro/eco_lrtb_nitro.js</w:t>
            </w:r>
          </w:p>
        </w:tc>
        <w:tc>
          <w:tcPr>
            <w:tcW w:w="312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JS</w:t>
            </w:r>
          </w:p>
        </w:tc>
        <w:tc>
          <w:tcPr>
            <w:tcW w:w="312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JavaScriptCore optimized</w:t>
            </w:r>
          </w:p>
        </w:tc>
      </w:tr>
      <w:tr>
        <w:tc>
          <w:tcPr>
            <w:tcW w:w="312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nitro/eco_lrtb_v8.js</w:t>
            </w:r>
          </w:p>
        </w:tc>
        <w:tc>
          <w:tcPr>
            <w:tcW w:w="312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JS</w:t>
            </w:r>
          </w:p>
        </w:tc>
        <w:tc>
          <w:tcPr>
            <w:tcW w:w="312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V8 hidden class optimized</w:t>
            </w:r>
          </w:p>
        </w:tc>
      </w:tr>
      <w:tr>
        <w:tc>
          <w:tcPr>
            <w:tcW w:w="312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nitro/eco_lrtb_turbine.js</w:t>
            </w:r>
          </w:p>
        </w:tc>
        <w:tc>
          <w:tcPr>
            <w:tcW w:w="312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JS</w:t>
            </w:r>
          </w:p>
        </w:tc>
        <w:tc>
          <w:tcPr>
            <w:tcW w:w="312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Bun/Deno Turbine — pure ESM</w:t>
            </w:r>
          </w:p>
        </w:tc>
      </w:tr>
      <w:tr>
        <w:tc>
          <w:tcPr>
            <w:tcW w:w="312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apache/eco_lrtb.conf</w:t>
            </w:r>
          </w:p>
        </w:tc>
        <w:tc>
          <w:tcPr>
            <w:tcW w:w="312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Apache</w:t>
            </w:r>
          </w:p>
        </w:tc>
        <w:tc>
          <w:tcPr>
            <w:tcW w:w="312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MIME, CORS, cache, rewrite</w:t>
            </w:r>
          </w:p>
        </w:tc>
      </w:tr>
      <w:tr>
        <w:tc>
          <w:tcPr>
            <w:tcW w:w="312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maven/pom.xml</w:t>
            </w:r>
          </w:p>
        </w:tc>
        <w:tc>
          <w:tcPr>
            <w:tcW w:w="312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XML</w:t>
            </w:r>
          </w:p>
        </w:tc>
        <w:tc>
          <w:tcPr>
            <w:tcW w:w="312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Maven build — Java 17</w:t>
            </w:r>
          </w:p>
        </w:tc>
      </w:tr>
      <w:tr>
        <w:tc>
          <w:tcPr>
            <w:tcW w:w="312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xml/eco_lrtb.xml</w:t>
            </w:r>
          </w:p>
        </w:tc>
        <w:tc>
          <w:tcPr>
            <w:tcW w:w="312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XML</w:t>
            </w:r>
          </w:p>
        </w:tc>
        <w:tc>
          <w:tcPr>
            <w:tcW w:w="312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XML data with XSD reference</w:t>
            </w:r>
          </w:p>
        </w:tc>
      </w:tr>
      <w:tr>
        <w:tc>
          <w:tcPr>
            <w:tcW w:w="312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ftp/eco_ftp_library.js</w:t>
            </w:r>
          </w:p>
        </w:tc>
        <w:tc>
          <w:tcPr>
            <w:tcW w:w="312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JS</w:t>
            </w:r>
          </w:p>
        </w:tc>
        <w:tc>
          <w:tcPr>
            <w:tcW w:w="312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FTP protocol library + index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/>
          <w:sz w:val="24"/>
        </w:rPr>
        <w:t>7. Unit Conversion Reference</w:t>
      </w:r>
    </w:p>
    <w:p>
      <w:pPr>
        <w:spacing w:after="160"/>
      </w:pPr>
      <w:r>
        <w:rPr>
          <w:rFonts w:ascii="Arial" w:hAnsi="Arial"/>
          <w:sz w:val="24"/>
          <w:color w:val="9FA3C7"/>
        </w:rPr>
        <w:t xml:space="preserve">Multiply the source value by the ratio to convert. All ratios are exact to 5 significant figures.</w:t>
      </w:r>
    </w:p>
    <w:p>
      <w:pPr>
        <w:spacing w:after="240"/>
      </w:pPr>
    </w:p>
    <w:tbl>
      <w:tblPr>
        <w:tblW w:w="9360" w:type="dxa"/>
        <w:tblBorders>
          <w:top w:val="single" w:sz="2" w:space="0" w:color="2A2E4A"/>
          <w:start w:val="single" w:sz="2" w:space="0" w:color="2A2E4A"/>
          <w:bottom w:val="single" w:sz="2" w:space="0" w:color="2A2E4A"/>
          <w:end w:val="single" w:sz="2" w:space="0" w:color="2A2E4A"/>
          <w:insideH w:val="single" w:sz="2" w:space="0" w:color="2A2E4A"/>
          <w:insideV w:val="single" w:sz="2" w:space="0" w:color="2A2E4A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w="1560" w:type="dxa"/>
            <w:shd w:val="clear" w:color="auto" w:fill="2326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FFFFFF"/>
                <w:b/>
              </w:rPr>
              <w:t xml:space="preserve">From</w:t>
            </w:r>
          </w:p>
        </w:tc>
        <w:tc>
          <w:tcPr>
            <w:tcW w:w="1560" w:type="dxa"/>
            <w:shd w:val="clear" w:color="auto" w:fill="2326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FFFFFF"/>
                <w:b/>
              </w:rPr>
              <w:t xml:space="preserve">To px</w:t>
            </w:r>
          </w:p>
        </w:tc>
        <w:tc>
          <w:tcPr>
            <w:tcW w:w="1560" w:type="dxa"/>
            <w:shd w:val="clear" w:color="auto" w:fill="2326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FFFFFF"/>
                <w:b/>
              </w:rPr>
              <w:t xml:space="preserve">To pt</w:t>
            </w:r>
          </w:p>
        </w:tc>
        <w:tc>
          <w:tcPr>
            <w:tcW w:w="1560" w:type="dxa"/>
            <w:shd w:val="clear" w:color="auto" w:fill="2326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FFFFFF"/>
                <w:b/>
              </w:rPr>
              <w:t xml:space="preserve">To mm</w:t>
            </w:r>
          </w:p>
        </w:tc>
        <w:tc>
          <w:tcPr>
            <w:tcW w:w="1560" w:type="dxa"/>
            <w:shd w:val="clear" w:color="auto" w:fill="2326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FFFFFF"/>
                <w:b/>
              </w:rPr>
              <w:t xml:space="preserve">To in</w:t>
            </w:r>
          </w:p>
        </w:tc>
        <w:tc>
          <w:tcPr>
            <w:tcW w:w="1560" w:type="dxa"/>
            <w:shd w:val="clear" w:color="auto" w:fill="2326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FFFFFF"/>
                <w:b/>
              </w:rPr>
              <w:t xml:space="preserve">To DXA</w:t>
            </w:r>
          </w:p>
        </w:tc>
      </w:tr>
      <w:tr>
        <w:tc>
          <w:tcPr>
            <w:tcW w:w="156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px</w:t>
            </w:r>
          </w:p>
        </w:tc>
        <w:tc>
          <w:tcPr>
            <w:tcW w:w="156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1.0</w:t>
            </w:r>
          </w:p>
        </w:tc>
        <w:tc>
          <w:tcPr>
            <w:tcW w:w="156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0.75</w:t>
            </w:r>
          </w:p>
        </w:tc>
        <w:tc>
          <w:tcPr>
            <w:tcW w:w="156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0.26458</w:t>
            </w:r>
          </w:p>
        </w:tc>
        <w:tc>
          <w:tcPr>
            <w:tcW w:w="156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0.010417</w:t>
            </w:r>
          </w:p>
        </w:tc>
        <w:tc>
          <w:tcPr>
            <w:tcW w:w="156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15.0</w:t>
            </w:r>
          </w:p>
        </w:tc>
      </w:tr>
      <w:tr>
        <w:tc>
          <w:tcPr>
            <w:tcW w:w="156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pt</w:t>
            </w:r>
          </w:p>
        </w:tc>
        <w:tc>
          <w:tcPr>
            <w:tcW w:w="156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1.33333</w:t>
            </w:r>
          </w:p>
        </w:tc>
        <w:tc>
          <w:tcPr>
            <w:tcW w:w="156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1.0</w:t>
            </w:r>
          </w:p>
        </w:tc>
        <w:tc>
          <w:tcPr>
            <w:tcW w:w="156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0.35278</w:t>
            </w:r>
          </w:p>
        </w:tc>
        <w:tc>
          <w:tcPr>
            <w:tcW w:w="156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0.013889</w:t>
            </w:r>
          </w:p>
        </w:tc>
        <w:tc>
          <w:tcPr>
            <w:tcW w:w="156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20.0</w:t>
            </w:r>
          </w:p>
        </w:tc>
      </w:tr>
      <w:tr>
        <w:tc>
          <w:tcPr>
            <w:tcW w:w="156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mm</w:t>
            </w:r>
          </w:p>
        </w:tc>
        <w:tc>
          <w:tcPr>
            <w:tcW w:w="156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3.77953</w:t>
            </w:r>
          </w:p>
        </w:tc>
        <w:tc>
          <w:tcPr>
            <w:tcW w:w="156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2.83465</w:t>
            </w:r>
          </w:p>
        </w:tc>
        <w:tc>
          <w:tcPr>
            <w:tcW w:w="156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1.0</w:t>
            </w:r>
          </w:p>
        </w:tc>
        <w:tc>
          <w:tcPr>
            <w:tcW w:w="156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0.039370</w:t>
            </w:r>
          </w:p>
        </w:tc>
        <w:tc>
          <w:tcPr>
            <w:tcW w:w="156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56.6929</w:t>
            </w:r>
          </w:p>
        </w:tc>
      </w:tr>
      <w:tr>
        <w:tc>
          <w:tcPr>
            <w:tcW w:w="156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in</w:t>
            </w:r>
          </w:p>
        </w:tc>
        <w:tc>
          <w:tcPr>
            <w:tcW w:w="156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96.0</w:t>
            </w:r>
          </w:p>
        </w:tc>
        <w:tc>
          <w:tcPr>
            <w:tcW w:w="156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72.0</w:t>
            </w:r>
          </w:p>
        </w:tc>
        <w:tc>
          <w:tcPr>
            <w:tcW w:w="156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25.4</w:t>
            </w:r>
          </w:p>
        </w:tc>
        <w:tc>
          <w:tcPr>
            <w:tcW w:w="156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1.0</w:t>
            </w:r>
          </w:p>
        </w:tc>
        <w:tc>
          <w:tcPr>
            <w:tcW w:w="156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1440.0</w:t>
            </w:r>
          </w:p>
        </w:tc>
      </w:tr>
      <w:tr>
        <w:tc>
          <w:tcPr>
            <w:tcW w:w="156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DXA</w:t>
            </w:r>
          </w:p>
        </w:tc>
        <w:tc>
          <w:tcPr>
            <w:tcW w:w="156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0.06667</w:t>
            </w:r>
          </w:p>
        </w:tc>
        <w:tc>
          <w:tcPr>
            <w:tcW w:w="156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0.05</w:t>
            </w:r>
          </w:p>
        </w:tc>
        <w:tc>
          <w:tcPr>
            <w:tcW w:w="156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0.01764</w:t>
            </w:r>
          </w:p>
        </w:tc>
        <w:tc>
          <w:tcPr>
            <w:tcW w:w="156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0.000694</w:t>
            </w:r>
          </w:p>
        </w:tc>
        <w:tc>
          <w:tcPr>
            <w:tcW w:w="156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1.0</w:t>
            </w:r>
          </w:p>
        </w:tc>
      </w:tr>
      <w:tr>
        <w:tc>
          <w:tcPr>
            <w:tcW w:w="156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rem</w:t>
            </w:r>
          </w:p>
        </w:tc>
        <w:tc>
          <w:tcPr>
            <w:tcW w:w="156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16.0</w:t>
            </w:r>
          </w:p>
        </w:tc>
        <w:tc>
          <w:tcPr>
            <w:tcW w:w="156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12.0</w:t>
            </w:r>
          </w:p>
        </w:tc>
        <w:tc>
          <w:tcPr>
            <w:tcW w:w="156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4.23333</w:t>
            </w:r>
          </w:p>
        </w:tc>
        <w:tc>
          <w:tcPr>
            <w:tcW w:w="156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0.16667</w:t>
            </w:r>
          </w:p>
        </w:tc>
        <w:tc>
          <w:tcPr>
            <w:tcW w:w="156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240.0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Style w:val="Heading1"/>
      </w:pPr>
      <w:r>
        <w:rPr>
          <w:rFonts w:ascii="Arial" w:hAnsi="Arial"/>
          <w:sz w:val="24"/>
        </w:rPr>
        <w:t>8. FTP Repository</w:t>
      </w:r>
    </w:p>
    <w:tbl>
      <w:tblPr>
        <w:tblW w:w="9360" w:type="dxa"/>
        <w:tblBorders>
          <w:top w:val="single" w:sz="2" w:space="0" w:color="2A2E4A"/>
          <w:start w:val="single" w:sz="2" w:space="0" w:color="2A2E4A"/>
          <w:bottom w:val="single" w:sz="2" w:space="0" w:color="2A2E4A"/>
          <w:end w:val="single" w:sz="2" w:space="0" w:color="2A2E4A"/>
          <w:insideH w:val="single" w:sz="2" w:space="0" w:color="2A2E4A"/>
          <w:insideV w:val="single" w:sz="2" w:space="0" w:color="2A2E4A"/>
        </w:tblBorders>
      </w:tblPr>
      <w:tblGrid>
        <w:gridCol w:w="4680"/>
        <w:gridCol w:w="4680"/>
      </w:tblGrid>
      <w:tr>
        <w:tc>
          <w:tcPr>
            <w:tcW w:w="4680" w:type="dxa"/>
            <w:shd w:val="clear" w:color="auto" w:fill="2326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FFFFFF"/>
                <w:b/>
              </w:rPr>
              <w:t xml:space="preserve">Property</w:t>
            </w:r>
          </w:p>
        </w:tc>
        <w:tc>
          <w:tcPr>
            <w:tcW w:w="4680" w:type="dxa"/>
            <w:shd w:val="clear" w:color="auto" w:fill="2326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FFFFFF"/>
                <w:b/>
              </w:rPr>
              <w:t xml:space="preserve">Value</w:t>
            </w:r>
          </w:p>
        </w:tc>
      </w:tr>
      <w:tr>
        <w:tc>
          <w:tcPr>
            <w:tcW w:w="468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Protocol</w:t>
            </w:r>
          </w:p>
        </w:tc>
        <w:tc>
          <w:tcPr>
            <w:tcW w:w="468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FTP (passive mode)</w:t>
            </w:r>
          </w:p>
        </w:tc>
      </w:tr>
      <w:tr>
        <w:tc>
          <w:tcPr>
            <w:tcW w:w="468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Host</w:t>
            </w:r>
          </w:p>
        </w:tc>
        <w:tc>
          <w:tcPr>
            <w:tcW w:w="468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ftp.eco-lrtb.dev</w:t>
            </w:r>
          </w:p>
        </w:tc>
      </w:tr>
      <w:tr>
        <w:tc>
          <w:tcPr>
            <w:tcW w:w="468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Port</w:t>
            </w:r>
          </w:p>
        </w:tc>
        <w:tc>
          <w:tcPr>
            <w:tcW w:w="468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21</w:t>
            </w:r>
          </w:p>
        </w:tc>
      </w:tr>
      <w:tr>
        <w:tc>
          <w:tcPr>
            <w:tcW w:w="468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Base path</w:t>
            </w:r>
          </w:p>
        </w:tc>
        <w:tc>
          <w:tcPr>
            <w:tcW w:w="468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/pub/eco_lrtb/v1.0/</w:t>
            </w:r>
          </w:p>
        </w:tc>
      </w:tr>
      <w:tr>
        <w:tc>
          <w:tcPr>
            <w:tcW w:w="468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Index file</w:t>
            </w:r>
          </w:p>
        </w:tc>
        <w:tc>
          <w:tcPr>
            <w:tcW w:w="468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eco_ftp_index.json</w:t>
            </w:r>
          </w:p>
        </w:tc>
      </w:tr>
      <w:tr>
        <w:tc>
          <w:tcPr>
            <w:tcW w:w="468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Auth mode</w:t>
            </w:r>
          </w:p>
        </w:tc>
        <w:tc>
          <w:tcPr>
            <w:tcW w:w="4680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TOKEN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Style w:val="Heading1"/>
      </w:pPr>
      <w:r>
        <w:rPr>
          <w:rFonts w:ascii="Arial" w:hAnsi="Arial"/>
          <w:sz w:val="24"/>
        </w:rPr>
        <w:t>9. Standard Preset in All Units</w:t>
      </w:r>
    </w:p>
    <w:p>
      <w:pPr>
        <w:spacing w:after="160"/>
      </w:pPr>
      <w:r>
        <w:rPr>
          <w:rFonts w:ascii="Arial" w:hAnsi="Arial"/>
          <w:sz w:val="24"/>
          <w:color w:val="9FA3C7"/>
        </w:rPr>
        <w:t xml:space="preserve">preset: standard  —  L=72  R=72  T=96  B=96  (px)</w:t>
      </w:r>
    </w:p>
    <w:p>
      <w:pPr>
        <w:spacing w:after="240"/>
      </w:pPr>
    </w:p>
    <w:tbl>
      <w:tblPr>
        <w:tblW w:w="9360" w:type="dxa"/>
        <w:tblBorders>
          <w:top w:val="single" w:sz="2" w:space="0" w:color="2A2E4A"/>
          <w:start w:val="single" w:sz="2" w:space="0" w:color="2A2E4A"/>
          <w:bottom w:val="single" w:sz="2" w:space="0" w:color="2A2E4A"/>
          <w:end w:val="single" w:sz="2" w:space="0" w:color="2A2E4A"/>
          <w:insideH w:val="single" w:sz="2" w:space="0" w:color="2A2E4A"/>
          <w:insideV w:val="single" w:sz="2" w:space="0" w:color="2A2E4A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w="1872" w:type="dxa"/>
            <w:shd w:val="clear" w:color="auto" w:fill="2326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FFFFFF"/>
                <w:b/>
              </w:rPr>
              <w:t xml:space="preserve">Unit</w:t>
            </w:r>
          </w:p>
        </w:tc>
        <w:tc>
          <w:tcPr>
            <w:tcW w:w="1872" w:type="dxa"/>
            <w:shd w:val="clear" w:color="auto" w:fill="2326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FFFFFF"/>
                <w:b/>
              </w:rPr>
              <w:t xml:space="preserve">L</w:t>
            </w:r>
          </w:p>
        </w:tc>
        <w:tc>
          <w:tcPr>
            <w:tcW w:w="1872" w:type="dxa"/>
            <w:shd w:val="clear" w:color="auto" w:fill="2326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FFFFFF"/>
                <w:b/>
              </w:rPr>
              <w:t xml:space="preserve">R</w:t>
            </w:r>
          </w:p>
        </w:tc>
        <w:tc>
          <w:tcPr>
            <w:tcW w:w="1872" w:type="dxa"/>
            <w:shd w:val="clear" w:color="auto" w:fill="2326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FFFFFF"/>
                <w:b/>
              </w:rPr>
              <w:t xml:space="preserve">T</w:t>
            </w:r>
          </w:p>
        </w:tc>
        <w:tc>
          <w:tcPr>
            <w:tcW w:w="1872" w:type="dxa"/>
            <w:shd w:val="clear" w:color="auto" w:fill="2326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FFFFFF"/>
                <w:b/>
              </w:rPr>
              <w:t xml:space="preserve">B</w:t>
            </w:r>
          </w:p>
        </w:tc>
      </w:tr>
      <w:tr>
        <w:tc>
          <w:tcPr>
            <w:tcW w:w="1872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px</w:t>
            </w:r>
          </w:p>
        </w:tc>
        <w:tc>
          <w:tcPr>
            <w:tcW w:w="1872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72</w:t>
            </w:r>
          </w:p>
        </w:tc>
        <w:tc>
          <w:tcPr>
            <w:tcW w:w="1872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72</w:t>
            </w:r>
          </w:p>
        </w:tc>
        <w:tc>
          <w:tcPr>
            <w:tcW w:w="1872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96</w:t>
            </w:r>
          </w:p>
        </w:tc>
        <w:tc>
          <w:tcPr>
            <w:tcW w:w="1872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96</w:t>
            </w:r>
          </w:p>
        </w:tc>
      </w:tr>
      <w:tr>
        <w:tc>
          <w:tcPr>
            <w:tcW w:w="1872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pt</w:t>
            </w:r>
          </w:p>
        </w:tc>
        <w:tc>
          <w:tcPr>
            <w:tcW w:w="1872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54</w:t>
            </w:r>
          </w:p>
        </w:tc>
        <w:tc>
          <w:tcPr>
            <w:tcW w:w="1872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54</w:t>
            </w:r>
          </w:p>
        </w:tc>
        <w:tc>
          <w:tcPr>
            <w:tcW w:w="1872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72</w:t>
            </w:r>
          </w:p>
        </w:tc>
        <w:tc>
          <w:tcPr>
            <w:tcW w:w="1872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72</w:t>
            </w:r>
          </w:p>
        </w:tc>
      </w:tr>
      <w:tr>
        <w:tc>
          <w:tcPr>
            <w:tcW w:w="1872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mm</w:t>
            </w:r>
          </w:p>
        </w:tc>
        <w:tc>
          <w:tcPr>
            <w:tcW w:w="1872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19</w:t>
            </w:r>
          </w:p>
        </w:tc>
        <w:tc>
          <w:tcPr>
            <w:tcW w:w="1872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19</w:t>
            </w:r>
          </w:p>
        </w:tc>
        <w:tc>
          <w:tcPr>
            <w:tcW w:w="1872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25</w:t>
            </w:r>
          </w:p>
        </w:tc>
        <w:tc>
          <w:tcPr>
            <w:tcW w:w="1872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25</w:t>
            </w:r>
          </w:p>
        </w:tc>
      </w:tr>
      <w:tr>
        <w:tc>
          <w:tcPr>
            <w:tcW w:w="1872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in</w:t>
            </w:r>
          </w:p>
        </w:tc>
        <w:tc>
          <w:tcPr>
            <w:tcW w:w="1872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0.75</w:t>
            </w:r>
          </w:p>
        </w:tc>
        <w:tc>
          <w:tcPr>
            <w:tcW w:w="1872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0.75</w:t>
            </w:r>
          </w:p>
        </w:tc>
        <w:tc>
          <w:tcPr>
            <w:tcW w:w="1872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1.00</w:t>
            </w:r>
          </w:p>
        </w:tc>
        <w:tc>
          <w:tcPr>
            <w:tcW w:w="1872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1.00</w:t>
            </w:r>
          </w:p>
        </w:tc>
      </w:tr>
      <w:tr>
        <w:tc>
          <w:tcPr>
            <w:tcW w:w="1872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DXA</w:t>
            </w:r>
          </w:p>
        </w:tc>
        <w:tc>
          <w:tcPr>
            <w:tcW w:w="1872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1080</w:t>
            </w:r>
          </w:p>
        </w:tc>
        <w:tc>
          <w:tcPr>
            <w:tcW w:w="1872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1080</w:t>
            </w:r>
          </w:p>
        </w:tc>
        <w:tc>
          <w:tcPr>
            <w:tcW w:w="1872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1440</w:t>
            </w:r>
          </w:p>
        </w:tc>
        <w:tc>
          <w:tcPr>
            <w:tcW w:w="1872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1440</w:t>
            </w:r>
          </w:p>
        </w:tc>
      </w:tr>
      <w:tr>
        <w:tc>
          <w:tcPr>
            <w:tcW w:w="1872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EMU</w:t>
            </w:r>
          </w:p>
        </w:tc>
        <w:tc>
          <w:tcPr>
            <w:tcW w:w="1872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685800</w:t>
            </w:r>
          </w:p>
        </w:tc>
        <w:tc>
          <w:tcPr>
            <w:tcW w:w="1872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685800</w:t>
            </w:r>
          </w:p>
        </w:tc>
        <w:tc>
          <w:tcPr>
            <w:tcW w:w="1872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914400</w:t>
            </w:r>
          </w:p>
        </w:tc>
        <w:tc>
          <w:tcPr>
            <w:tcW w:w="1872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914400</w:t>
            </w:r>
          </w:p>
        </w:tc>
      </w:tr>
      <w:tr>
        <w:tc>
          <w:tcPr>
            <w:tcW w:w="1872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rem</w:t>
            </w:r>
          </w:p>
        </w:tc>
        <w:tc>
          <w:tcPr>
            <w:tcW w:w="1872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4.5</w:t>
            </w:r>
          </w:p>
        </w:tc>
        <w:tc>
          <w:tcPr>
            <w:tcW w:w="1872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4.5</w:t>
            </w:r>
          </w:p>
        </w:tc>
        <w:tc>
          <w:tcPr>
            <w:tcW w:w="1872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6.0</w:t>
            </w:r>
          </w:p>
        </w:tc>
        <w:tc>
          <w:tcPr>
            <w:tcW w:w="1872" w:type="dxa"/>
            <w:shd w:val="clear" w:color="auto" w:fill="1A1D2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20"/>
                <w:color w:val="9FA3C7"/>
              </w:rPr>
              <w:t xml:space="preserve">6.0</w:t>
            </w:r>
          </w:p>
        </w:tc>
      </w:tr>
    </w:tbl>
    <w:sectPr>
      <w:pgSz w:w="12240" w:h="15840"/>
      <w:pgMar w:top="2070" w:right="1080" w:bottom="2070" w:left="1080" w:header="720" w:footer="720" w:gutter="0"/>
      <w:pgNumType w:fmt="decimal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>
  <w:docDefaults>
    <w:rPrDefault>
      <w:rPr>
        <w:rFonts w:ascii="Arial" w:hAnsi="Arial" w:cs="Arial"/>
        <w:sz w:val="24"/>
        <w:szCs w:val="24"/>
      </w:rPr>
    </w:rPrDefault>
  </w:docDefaults>
  <w:style w:type="paragraph" w:styleId="Normal">
    <w:name w:val="Normal"/>
    <w:pPr>
      <w:spacing w:after="160"/>
    </w:pPr>
    <w:rPr>
      <w:rFonts w:ascii="Arial" w:hAnsi="Arial"/>
      <w:sz w:val="24"/>
    </w:rPr>
  </w:style>
  <w:style w:type="paragraph" w:styleId="Heading1">
    <w:name w:val="heading 1"/>
    <w:basedOn w:val="Normal"/>
    <w:pPr>
      <w:pBdr>
        <w:bottom w:val="single" w:sz="6" w:space="4" w:color="6C63FF"/>
      </w:pBdr>
      <w:spacing w:before="480" w:after="240"/>
      <w:outlineLvl w:val="0"/>
    </w:pPr>
    <w:rPr>
      <w:rFonts w:ascii="Arial" w:hAnsi="Arial"/>
      <w:b/>
      <w:sz w:val="40"/>
      <w:color w:val="1A1D2E"/>
    </w:rPr>
  </w:style>
  <w:style w:type="paragraph" w:styleId="Heading2">
    <w:name w:val="heading 2"/>
    <w:basedOn w:val="Normal"/>
    <w:pPr>
      <w:spacing w:before="360" w:after="160"/>
      <w:outlineLvl w:val="1"/>
    </w:pPr>
    <w:rPr>
      <w:rFonts w:ascii="Arial" w:hAnsi="Arial"/>
      <w:b/>
      <w:sz w:val="32"/>
      <w:color w:val="6C63FF"/>
    </w:rPr>
  </w:style>
  <w:style w:type="paragraph" w:styleId="Heading3">
    <w:name w:val="heading 3"/>
    <w:basedOn w:val="Normal"/>
    <w:pPr>
      <w:spacing w:before="240" w:after="120"/>
      <w:outlineLvl w:val="2"/>
    </w:pPr>
    <w:rPr>
      <w:rFonts w:ascii="Arial" w:hAnsi="Arial"/>
      <w:b/>
      <w:sz w:val="28"/>
      <w:color w:val="F0B429"/>
    </w:rPr>
  </w:style>
  <w:style w:type="paragraph" w:styleId="Code">
    <w:name w:val="Code"/>
    <w:basedOn w:val="Normal"/>
    <w:pPr>
      <w:shd w:val="clear" w:color="auto" w:fill="161828"/>
      <w:spacing w:before="120" w:after="120"/>
      <w:ind w:left="480" w:right="480"/>
    </w:pPr>
    <w:rPr>
      <w:rFonts w:ascii="Courier New" w:hAnsi="Courier New" w:cs="Courier New"/>
      <w:sz w:val="20"/>
      <w:color w:val="9FA3C7"/>
    </w:rPr>
  </w:style>
  <w:style w:type="paragraph" w:styleId="TableHeader">
    <w:name w:val="TableHeader"/>
    <w:basedOn w:val="Normal"/>
    <w:pPr>
      <w:jc w:val="center"/>
    </w:pPr>
    <w:rPr>
      <w:rFonts w:ascii="Arial" w:hAnsi="Arial"/>
      <w:b/>
      <w:sz w:val="22"/>
      <w:color w:val="FFFFFF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Relationship Id="rId3" Type="http://schemas.openxmlformats.org/officeDocument/2006/relationships/numbering" Target="numbering.xml"/>
</Relationships>
</file>