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36CEA" w:rsidR="00103B54" w:rsidP="00E36CEA" w:rsidRDefault="00E36CEA" w14:paraId="617A3B1F" w14:textId="7E96E0CB">
      <w:pPr>
        <w:jc w:val="center"/>
        <w:rPr>
          <w:rFonts w:ascii="Times New Roman" w:hAnsi="Times New Roman" w:cs="Times New Roman"/>
          <w:sz w:val="22"/>
          <w:szCs w:val="22"/>
        </w:rPr>
      </w:pPr>
      <w:r w:rsidRPr="00E36CEA">
        <w:rPr>
          <w:rFonts w:ascii="Times New Roman" w:hAnsi="Times New Roman" w:cs="Times New Roman"/>
          <w:sz w:val="22"/>
          <w:szCs w:val="22"/>
        </w:rPr>
        <w:t>UNIVERSITY OF TEXAS AT EL PASO</w:t>
      </w:r>
    </w:p>
    <w:p w:rsidR="00E36CEA" w:rsidP="00E36CEA" w:rsidRDefault="00E36CEA" w14:paraId="55BD036E" w14:textId="1BF68407">
      <w:pPr>
        <w:jc w:val="center"/>
        <w:rPr>
          <w:rFonts w:ascii="Times New Roman" w:hAnsi="Times New Roman" w:cs="Times New Roman"/>
          <w:sz w:val="22"/>
          <w:szCs w:val="22"/>
        </w:rPr>
      </w:pPr>
      <w:r w:rsidRPr="00E36CEA">
        <w:rPr>
          <w:rFonts w:ascii="Times New Roman" w:hAnsi="Times New Roman" w:cs="Times New Roman"/>
          <w:sz w:val="22"/>
          <w:szCs w:val="22"/>
        </w:rPr>
        <w:t>College Of Health Science</w:t>
      </w:r>
    </w:p>
    <w:p w:rsidRPr="00E36CEA" w:rsidR="00E94395" w:rsidP="00E94395" w:rsidRDefault="00E94395" w14:paraId="165F917E" w14:textId="3A99BD74">
      <w:pPr>
        <w:jc w:val="center"/>
        <w:rPr>
          <w:rFonts w:ascii="Times New Roman" w:hAnsi="Times New Roman" w:cs="Times New Roman"/>
          <w:sz w:val="22"/>
          <w:szCs w:val="22"/>
        </w:rPr>
      </w:pPr>
      <w:r w:rsidRPr="00E94395">
        <w:rPr>
          <w:rFonts w:ascii="Times New Roman" w:hAnsi="Times New Roman" w:cs="Times New Roman"/>
          <w:sz w:val="22"/>
          <w:szCs w:val="22"/>
        </w:rPr>
        <w:t>Selected Topics-Public Health (PUBH-5357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Pr="00E94395" w:rsidR="00E36CEA" w:rsidP="00E36CEA" w:rsidRDefault="00E36CEA" w14:paraId="09363807" w14:textId="7700D7E1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  <w:r w:rsidRPr="00E94395">
        <w:rPr>
          <w:rFonts w:ascii="Times New Roman" w:hAnsi="Times New Roman" w:cs="Times New Roman"/>
          <w:sz w:val="22"/>
          <w:szCs w:val="22"/>
          <w:lang w:val="pt-BR"/>
        </w:rPr>
        <w:t>Dr. Amy Wagler</w:t>
      </w:r>
    </w:p>
    <w:p w:rsidR="00E94395" w:rsidP="00E36CEA" w:rsidRDefault="00E94395" w14:paraId="7908B906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6BA6D6E6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600BC7E2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0E120AD5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6FEF65DF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5813B5E8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7E442BCE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0A264E55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299ED9E2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F65392" w:rsidP="00E36CEA" w:rsidRDefault="00F65392" w14:paraId="40C2FEF4" w14:textId="77777777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EE2056" w:rsidP="00F65392" w:rsidRDefault="00F65392" w14:paraId="0DF1999B" w14:textId="39B83B8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PROJECT</w:t>
      </w:r>
    </w:p>
    <w:p w:rsidR="00F65392" w:rsidRDefault="00F65392" w14:paraId="26D67C4B" w14:textId="77777777">
      <w:pPr>
        <w:rPr>
          <w:rFonts w:ascii="Times New Roman" w:hAnsi="Times New Roman" w:cs="Times New Roman"/>
          <w:sz w:val="22"/>
          <w:szCs w:val="22"/>
        </w:rPr>
      </w:pPr>
    </w:p>
    <w:p w:rsidR="00F65392" w:rsidRDefault="00F65392" w14:paraId="33206169" w14:textId="77777777">
      <w:pPr>
        <w:rPr>
          <w:rFonts w:ascii="Times New Roman" w:hAnsi="Times New Roman" w:cs="Times New Roman"/>
          <w:sz w:val="22"/>
          <w:szCs w:val="22"/>
        </w:rPr>
      </w:pPr>
    </w:p>
    <w:p w:rsidR="00F65392" w:rsidRDefault="00F65392" w14:paraId="222EF334" w14:textId="77777777">
      <w:pPr>
        <w:rPr>
          <w:rFonts w:ascii="Times New Roman" w:hAnsi="Times New Roman" w:cs="Times New Roman"/>
          <w:sz w:val="22"/>
          <w:szCs w:val="22"/>
        </w:rPr>
      </w:pPr>
    </w:p>
    <w:p w:rsidR="00F65392" w:rsidRDefault="00F65392" w14:paraId="4B89E18B" w14:textId="77777777">
      <w:pPr>
        <w:rPr>
          <w:rFonts w:ascii="Times New Roman" w:hAnsi="Times New Roman" w:cs="Times New Roman"/>
          <w:sz w:val="22"/>
          <w:szCs w:val="22"/>
        </w:rPr>
      </w:pPr>
    </w:p>
    <w:p w:rsidR="00F65392" w:rsidRDefault="00F65392" w14:paraId="6D8EAAAC" w14:textId="77777777">
      <w:pPr>
        <w:rPr>
          <w:rFonts w:ascii="Times New Roman" w:hAnsi="Times New Roman" w:cs="Times New Roman"/>
          <w:sz w:val="22"/>
          <w:szCs w:val="22"/>
        </w:rPr>
      </w:pPr>
    </w:p>
    <w:p w:rsidR="00F65392" w:rsidRDefault="00F65392" w14:paraId="678B60AA" w14:textId="77777777">
      <w:pPr>
        <w:rPr>
          <w:rFonts w:ascii="Times New Roman" w:hAnsi="Times New Roman" w:cs="Times New Roman"/>
          <w:sz w:val="22"/>
          <w:szCs w:val="22"/>
        </w:rPr>
      </w:pPr>
    </w:p>
    <w:p w:rsidR="00F65392" w:rsidRDefault="00F65392" w14:paraId="0044E5FC" w14:textId="77777777">
      <w:pPr>
        <w:rPr>
          <w:rFonts w:ascii="Times New Roman" w:hAnsi="Times New Roman" w:cs="Times New Roman"/>
          <w:sz w:val="22"/>
          <w:szCs w:val="22"/>
        </w:rPr>
      </w:pPr>
    </w:p>
    <w:p w:rsidR="00F65392" w:rsidP="00F65392" w:rsidRDefault="00F65392" w14:paraId="65E87A5D" w14:textId="77777777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F65392" w:rsidP="00F65392" w:rsidRDefault="00F65392" w14:paraId="7BFEB0B1" w14:textId="77777777">
      <w:pPr>
        <w:jc w:val="right"/>
        <w:rPr>
          <w:rFonts w:ascii="Times New Roman" w:hAnsi="Times New Roman" w:cs="Times New Roman"/>
          <w:sz w:val="22"/>
          <w:szCs w:val="22"/>
          <w:lang w:val="pt-BR"/>
        </w:rPr>
      </w:pPr>
      <w:r w:rsidRPr="00E94395">
        <w:rPr>
          <w:rFonts w:ascii="Times New Roman" w:hAnsi="Times New Roman" w:cs="Times New Roman"/>
          <w:sz w:val="22"/>
          <w:szCs w:val="22"/>
          <w:lang w:val="pt-BR"/>
        </w:rPr>
        <w:t>Naguia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Leticia de</w:t>
      </w:r>
      <w:r w:rsidRPr="00E94395">
        <w:rPr>
          <w:rFonts w:ascii="Times New Roman" w:hAnsi="Times New Roman" w:cs="Times New Roman"/>
          <w:sz w:val="22"/>
          <w:szCs w:val="22"/>
          <w:lang w:val="pt-BR"/>
        </w:rPr>
        <w:t xml:space="preserve"> Medeiros</w:t>
      </w:r>
    </w:p>
    <w:p w:rsidR="00F65392" w:rsidP="00F65392" w:rsidRDefault="00F65392" w14:paraId="07651A57" w14:textId="14E01123">
      <w:pPr>
        <w:jc w:val="right"/>
        <w:rPr>
          <w:rFonts w:ascii="Times New Roman" w:hAnsi="Times New Roman" w:cs="Times New Roman"/>
          <w:sz w:val="22"/>
          <w:szCs w:val="22"/>
        </w:rPr>
      </w:pPr>
      <w:r w:rsidRPr="00F65392">
        <w:rPr>
          <w:rFonts w:ascii="Times New Roman" w:hAnsi="Times New Roman" w:cs="Times New Roman"/>
          <w:sz w:val="22"/>
          <w:szCs w:val="22"/>
        </w:rPr>
        <w:t xml:space="preserve">PhD student </w:t>
      </w:r>
      <w:r>
        <w:rPr>
          <w:rFonts w:ascii="Times New Roman" w:hAnsi="Times New Roman" w:cs="Times New Roman"/>
          <w:sz w:val="22"/>
          <w:szCs w:val="22"/>
        </w:rPr>
        <w:t xml:space="preserve">- Interdisciplinary Health Science </w:t>
      </w:r>
    </w:p>
    <w:p w:rsidR="00F65392" w:rsidP="00F65392" w:rsidRDefault="00F65392" w14:paraId="1ABA4412" w14:textId="77777777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F65392" w:rsidP="00F65392" w:rsidRDefault="00F65392" w14:paraId="75485C9B" w14:textId="77777777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F65392" w:rsidP="04D5D77D" w:rsidRDefault="00F65392" w14:paraId="7DC80AEC" w14:textId="2973D8AA">
      <w:pPr>
        <w:jc w:val="center"/>
        <w:rPr>
          <w:rFonts w:ascii="Times New Roman" w:hAnsi="Times New Roman" w:cs="Times New Roman"/>
          <w:sz w:val="22"/>
          <w:szCs w:val="22"/>
        </w:rPr>
      </w:pPr>
      <w:r w:rsidRPr="04D5D77D" w:rsidR="00F65392">
        <w:rPr>
          <w:rFonts w:ascii="Times New Roman" w:hAnsi="Times New Roman" w:cs="Times New Roman"/>
          <w:sz w:val="22"/>
          <w:szCs w:val="22"/>
        </w:rPr>
        <w:t>May 2025</w:t>
      </w:r>
    </w:p>
    <w:p w:rsidR="00EE2056" w:rsidP="002911DB" w:rsidRDefault="00EE2056" w14:paraId="6F0AD287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E2056">
        <w:rPr>
          <w:rFonts w:ascii="Times New Roman" w:hAnsi="Times New Roman" w:cs="Times New Roman"/>
          <w:b/>
          <w:bCs/>
          <w:sz w:val="22"/>
          <w:szCs w:val="22"/>
        </w:rPr>
        <w:t>Research Question</w:t>
      </w:r>
    </w:p>
    <w:p w:rsidRPr="00F8573B" w:rsidR="00EE2056" w:rsidP="15D01EE7" w:rsidRDefault="00EE2056" w14:paraId="017BE172" w14:textId="21DA3E4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15D01EE7" w:rsidR="00574F76">
        <w:rPr>
          <w:rFonts w:ascii="Times New Roman" w:hAnsi="Times New Roman" w:cs="Times New Roman"/>
          <w:sz w:val="22"/>
          <w:szCs w:val="22"/>
        </w:rPr>
        <w:t xml:space="preserve">Can Smartphone-recorded </w:t>
      </w:r>
      <w:r w:rsidRPr="15D01EE7" w:rsidR="00574F76">
        <w:rPr>
          <w:rFonts w:ascii="Times New Roman" w:hAnsi="Times New Roman" w:cs="Times New Roman"/>
          <w:sz w:val="22"/>
          <w:szCs w:val="22"/>
        </w:rPr>
        <w:t>maximum</w:t>
      </w:r>
      <w:r w:rsidRPr="15D01EE7" w:rsidR="00574F76">
        <w:rPr>
          <w:rFonts w:ascii="Times New Roman" w:hAnsi="Times New Roman" w:cs="Times New Roman"/>
          <w:sz w:val="22"/>
          <w:szCs w:val="22"/>
        </w:rPr>
        <w:t xml:space="preserve"> lean trunk angle</w:t>
      </w:r>
      <w:r w:rsidRPr="15D01EE7" w:rsidR="00D11BC7">
        <w:rPr>
          <w:rFonts w:ascii="Times New Roman" w:hAnsi="Times New Roman" w:cs="Times New Roman"/>
          <w:sz w:val="22"/>
          <w:szCs w:val="22"/>
        </w:rPr>
        <w:t xml:space="preserve"> analyzed by artificial intelligence (AI)</w:t>
      </w:r>
      <w:r w:rsidRPr="15D01EE7" w:rsidR="00574F76">
        <w:rPr>
          <w:rFonts w:ascii="Times New Roman" w:hAnsi="Times New Roman" w:cs="Times New Roman"/>
          <w:sz w:val="22"/>
          <w:szCs w:val="22"/>
        </w:rPr>
        <w:t xml:space="preserve"> predict osteoarthritis diagnosis?</w:t>
      </w:r>
    </w:p>
    <w:p w:rsidRPr="00F8573B" w:rsidR="00EE2056" w:rsidP="002911DB" w:rsidRDefault="00EE2056" w14:paraId="442329A8" w14:textId="039ECBE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br/>
      </w:r>
      <w:r w:rsidRPr="15D01EE7" w:rsidR="00EE2056">
        <w:rPr>
          <w:rFonts w:ascii="Times New Roman" w:hAnsi="Times New Roman" w:cs="Times New Roman"/>
          <w:b w:val="1"/>
          <w:bCs w:val="1"/>
          <w:sz w:val="22"/>
          <w:szCs w:val="22"/>
        </w:rPr>
        <w:t>Brief Summary of Results</w:t>
      </w:r>
    </w:p>
    <w:p w:rsidR="00EE2056" w:rsidP="15D01EE7" w:rsidRDefault="00EE2056" w14:paraId="0A9D5317" w14:textId="453423C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A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higher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maximum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trunk-lean angle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during the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Five Times Sit-to-Stand (FTSTS) test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is associated with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greater odds of an osteoarthritis diagnosis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with each additional degree conferring a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6 % increase in odds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This relationship remains significant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after adjusting for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key demographic and functional covariates; however,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the effect size is modest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Consequently,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maximum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trunk-lean angle is clinically informative only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 settings where osteoarthritis is prevalent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In the United States, osteoarthritis prevalence is highest among adults 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65 years and older</w:t>
      </w:r>
      <w:r w:rsidRPr="15D01EE7" w:rsidR="79A491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(Callahan et al., 2021; Ogunsola et al., 2024). </w:t>
      </w:r>
    </w:p>
    <w:p w:rsidR="00EE2056" w:rsidP="002911DB" w:rsidRDefault="00EE2056" w14:paraId="44A41F1C" w14:textId="30D4C130">
      <w:p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15D01EE7" w:rsidR="00EE2056">
        <w:rPr>
          <w:rFonts w:ascii="Times New Roman" w:hAnsi="Times New Roman" w:cs="Times New Roman"/>
          <w:b w:val="1"/>
          <w:bCs w:val="1"/>
          <w:sz w:val="22"/>
          <w:szCs w:val="22"/>
        </w:rPr>
        <w:t>Approach</w:t>
      </w:r>
    </w:p>
    <w:p w:rsidR="00DB11EC" w:rsidP="15D01EE7" w:rsidRDefault="00EE2056" w14:paraId="0279A0CD" w14:textId="42DDC7C2">
      <w:pPr>
        <w:spacing w:before="240" w:beforeAutospacing="off" w:after="240" w:afterAutospacing="off" w:line="360" w:lineRule="auto"/>
        <w:jc w:val="both"/>
      </w:pP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dataset derives from a project that developed an 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OpenSim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–based, smartphone motion-analysis platform with an open-source website for uploading and analyzing Five-Times Sit-to-Stand (FTSTST) videos alongside online demographic and health surveys (Boswell et al., 2023). This study integrates two-dimensional 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OpenPose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analyses with home-based FTSTST assessment, 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leveraging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rapid and widespread adoption of smartphones (Silver &amp; Taylor, 2019) and recent advances in video-based pose-estimation algorithms that have 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greatly improved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precision and accessibility of motion analysis (Cao et al., 2021; Mathis et al., 2018). Accurate 2-D movement quantification from smartphone recordings has been 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demonstrated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laboratory (Stenum, Rossi, &amp; Roemmich, 2021), clinical (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Kidziński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2020), and home-based exoskeleton- and Kinect-enabled settings (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Ejupi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et al., 2015). </w:t>
      </w:r>
    </w:p>
    <w:p w:rsidR="00DB11EC" w:rsidP="15D01EE7" w:rsidRDefault="00EE2056" w14:paraId="42A60FFF" w14:textId="397BDD44">
      <w:pPr>
        <w:spacing w:before="240" w:beforeAutospacing="off" w:after="240" w:afterAutospacing="off" w:line="360" w:lineRule="auto"/>
        <w:jc w:val="both"/>
      </w:pP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evaluate the influence of kinematic features on health outcomes—specifically the prediction of osteoarthritis—the FTSTST was selected as a validated measure of lower-limb function, with established reliability, validity, and responsiveness in community-dwelling adults and in clinical populations including idiopathic pulmonary fibrosis (Trivedi et al., 2023), chronic obstructive pulmonary disease (Jones et al., 2013), heart failure (Ramos, 2022), and post-intensive-care survivors (Melo et al., 2022).</w:t>
      </w:r>
    </w:p>
    <w:p w:rsidR="00DB11EC" w:rsidP="15D01EE7" w:rsidRDefault="00EE2056" w14:paraId="3D315457" w14:textId="71C805DD">
      <w:pPr>
        <w:spacing w:before="240" w:beforeAutospacing="off" w:after="240" w:afterAutospacing="off" w:line="360" w:lineRule="auto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dataset was chosen for its close alignment with the doctoral research 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objectives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It was obtained via a </w:t>
      </w:r>
      <w:r w:rsidRPr="15D01EE7" w:rsidR="7E41DC35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Nature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journal link to a public GitHub repository—where a provided Python script was executed to download the CSV file—and, upon discovering the absence of a codebook, the team contacted the original authors, who supplied a revised CSV 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containing</w:t>
      </w:r>
      <w:r w:rsidRPr="15D01EE7" w:rsidR="7E41DC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clear, textual variable labels.</w:t>
      </w:r>
    </w:p>
    <w:p w:rsidR="00DB11EC" w:rsidP="15D01EE7" w:rsidRDefault="00EE2056" w14:paraId="092A73F8" w14:textId="0184F04C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The reproducibility assessment focused on whether 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maximum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 trunk lean—derived by AI from home-based smartphone video—predicts osteoarthritis diagnosis. Of four candidate variables 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indicating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 trunk lean (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trunk_lean_range_mean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trunk_lean_max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trunk_lean_max_mean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trunk_max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), 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trunk_lean_max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 was selected. Covariates comprised age, dichotomized as 19–50 years (reference) versus ≥ 50 years; BMI, calculated from height (inches → meters) and weight (pounds → kilograms); sex, coded female (reference) versus male; ethnicity, collapsed from ten categories into White, Black, Hispanic, and Asian and then dichotomized as White (reference) versus non-White; and total FTSTST duration. Logistic regression was then used to estimate the association between 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>trunk_lean_max</w:t>
      </w:r>
      <w:r w:rsidRPr="15D01EE7" w:rsidR="1505F7C4">
        <w:rPr>
          <w:rFonts w:ascii="Times New Roman" w:hAnsi="Times New Roman" w:eastAsia="Times New Roman" w:cs="Times New Roman"/>
          <w:sz w:val="22"/>
          <w:szCs w:val="22"/>
        </w:rPr>
        <w:t xml:space="preserve"> and osteoarthritis, adjusting for these covariates.</w:t>
      </w:r>
    </w:p>
    <w:p w:rsidR="00DB11EC" w:rsidP="15D01EE7" w:rsidRDefault="00EE2056" w14:paraId="45AF0D9C" w14:textId="4C346EC4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 xml:space="preserve">When the FAIR principles (Findable, Accessible, Interoperable, and Reusable) (Wilkinson et al., 2016) are applied to this dataset, several shortcomings become 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apparent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 xml:space="preserve">. Findable: although the data are linked from a Nature article and hosted on GitHub, they lack a persistent identifier (e.g., DOI) and a standardized metadata registry, making discovery and citation difficult. Accessible: raw data can only be obtained by executing Python scripts against the repository—there is no direct download link or API, and licensing terms are not clearly documented. Interoperable: the data are provided as CSV and processed via 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OpenSim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/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OpenPose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 xml:space="preserve"> pipelines, yet four distinct “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trunk_lean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 xml:space="preserve">” columns share ambiguous names, and no machine-readable schema (e.g., JSON-LD) is supplied, hindering integration with other tools or languages. Reusable: the absence of an embedded codebook, 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unversioned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 xml:space="preserve"> analysis scripts, and limited provenance tracking prevent users from confidently interpreting or adapting the dataset for 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new studies</w:t>
      </w:r>
      <w:r w:rsidRPr="15D01EE7" w:rsidR="071C8DA8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0DB11EC" w:rsidP="15D01EE7" w:rsidRDefault="00EE2056" w14:paraId="08FF5BF5" w14:textId="6B8C62E4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>
        <w:br/>
      </w:r>
      <w:r w:rsidRPr="15D01EE7" w:rsidR="00EE205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Analysis and Results</w:t>
      </w:r>
    </w:p>
    <w:p w:rsidR="00EE2056" w:rsidP="15D01EE7" w:rsidRDefault="00EE2056" w14:paraId="29DFAB17" w14:textId="5BBF8F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5D01EE7" w:rsidR="5A6975C7">
        <w:rPr>
          <w:rFonts w:ascii="Times New Roman" w:hAnsi="Times New Roman" w:eastAsia="Times New Roman" w:cs="Times New Roman"/>
          <w:sz w:val="22"/>
          <w:szCs w:val="22"/>
        </w:rPr>
        <w:t xml:space="preserve">Characteristics and demographics: </w:t>
      </w:r>
    </w:p>
    <w:p w:rsidRPr="00EE2056" w:rsidR="00EE2056" w:rsidP="15D01EE7" w:rsidRDefault="00EE2056" w14:paraId="2B8EF6D3" w14:textId="583DDB8F">
      <w:pPr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 xml:space="preserve">Of the 375 participants, only 7.4 % had osteoarthritis. The cohort was 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>predominantly young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 xml:space="preserve">, with 51.4 % aged 18–29 and merely 15 % aged 60 or older, and 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>exhibited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 xml:space="preserve"> a near-even sex distribution (52.8 % female, 47.2 % male). Mean BMI was 24.2 kg/m² (normal-weight range), and 57 % of participants fell in the normal-weight category, 25 % were overweight, 6.7 % obese I, 2.5 % obese II+, and 2.7 % underweight. Ethnically, 64.4 % identified as White and 26.7 % as Asian; Hispanic, African American, and 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>other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 xml:space="preserve"> groups each 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>comprised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 xml:space="preserve"> less than 5 %. Employment status was dominated by full-time workers (46.9 %) and students (31.9 %), with retirees (8.1 %), part-time employees (6.2 %), and self-employed individuals (3.2 %) making up the 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>remainder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 xml:space="preserve"> (&lt; 2 % in unemployment, homemaking, or uncategorized roles). Annual incomes exceeded $100 000 for 37.8 % of respondents, $50 000–$99 999 for 24.2 %, and fell below $25 000 for about 7 %, while 17.8 % did not 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>disclose</w:t>
      </w: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 xml:space="preserve"> income. Finally, 83.5 % of participants held at least a college degree, compared to 4 % whose highest education was high school.</w:t>
      </w:r>
    </w:p>
    <w:p w:rsidRPr="00EE2056" w:rsidR="00EE2056" w:rsidP="15D01EE7" w:rsidRDefault="00EE2056" w14:paraId="2E38D9D9" w14:textId="1E06DB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5D01EE7" w:rsidR="24984B48">
        <w:rPr>
          <w:rFonts w:ascii="Times New Roman" w:hAnsi="Times New Roman" w:eastAsia="Times New Roman" w:cs="Times New Roman"/>
          <w:sz w:val="22"/>
          <w:szCs w:val="22"/>
        </w:rPr>
        <w:t>Bivariate analysis</w:t>
      </w:r>
    </w:p>
    <w:p w:rsidRPr="00EE2056" w:rsidR="00EE2056" w:rsidP="15D01EE7" w:rsidRDefault="00EE2056" w14:paraId="43E08DB2" w14:textId="4B0A4E0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 xml:space="preserve">In this cohort of 375 adults, osteoarthritis (OA) prevalence was uniformly low across sexes (≈7 % in females vs. 7.9 % in males) and ethnic groups (10 % in Whites vs. 2.8 % in non-Whites), but exhibited a clear sections for BMI (0 % in underweight, 6–8 % in normal/overweight, and 20 % in Class II obesity). Age 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>emerged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 xml:space="preserve"> as the strongest correlate: roughly 27 % of those ≥50 years had OA compared with &lt;1 % of participants aged 18–50 (r ≈ 0.47 with OA status). Functionally, OA cases were slower on the Five-Times Sit-to-Stand test (median 5.0 s vs. 4.5 s), and ethnic differences in 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>maximum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 xml:space="preserve"> trunk-lean angle were modest (African Americans ≈210°, Asians/Hispanics ≈200–202°), with all interquartile ranges overlapping. </w:t>
      </w:r>
    </w:p>
    <w:p w:rsidRPr="00EE2056" w:rsidR="00EE2056" w:rsidP="15D01EE7" w:rsidRDefault="00EE2056" w14:paraId="10B2B1DE" w14:textId="0D8F6DC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>Secondary correlations—such as Age–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>time_to_stand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 xml:space="preserve"> (r ≈ 0.26), Age–BMI (r ≈ 0.21), BMI–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>time_to_stand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 xml:space="preserve"> (r ≈ 0.21) and OA–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>trunk_lean_max</w:t>
      </w:r>
      <w:r w:rsidRPr="15D01EE7" w:rsidR="261E338C">
        <w:rPr>
          <w:rFonts w:ascii="Times New Roman" w:hAnsi="Times New Roman" w:eastAsia="Times New Roman" w:cs="Times New Roman"/>
          <w:sz w:val="22"/>
          <w:szCs w:val="22"/>
        </w:rPr>
        <w:t xml:space="preserve"> (r ≈ 0.16)—were weak (|r| ≤ 0.26), indicating minimal multicollinearity and underscoring the independent, albeit small, predictive value of trunk-lean in multivariable models.</w:t>
      </w:r>
    </w:p>
    <w:p w:rsidRPr="00EE2056" w:rsidR="00EE2056" w:rsidP="15D01EE7" w:rsidRDefault="00EE2056" w14:paraId="7C42DCCB" w14:textId="2F4F764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5D01EE7" w:rsidR="4B08ECDF">
        <w:rPr>
          <w:rFonts w:ascii="Times New Roman" w:hAnsi="Times New Roman" w:eastAsia="Times New Roman" w:cs="Times New Roman"/>
          <w:sz w:val="22"/>
          <w:szCs w:val="22"/>
        </w:rPr>
        <w:t>3. Multivariable regression analysis</w:t>
      </w:r>
    </w:p>
    <w:p w:rsidRPr="00EE2056" w:rsidR="00EE2056" w:rsidP="15D01EE7" w:rsidRDefault="00EE2056" w14:paraId="1A4725D6" w14:textId="09EEA207">
      <w:pPr>
        <w:spacing w:before="240" w:beforeAutospacing="off" w:after="240" w:afterAutospacing="off" w:line="360" w:lineRule="auto"/>
        <w:jc w:val="both"/>
      </w:pPr>
      <w:r w:rsidRPr="15D01EE7" w:rsidR="163670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multivariable logistic regression, each additional degree of maximum trunk-lean was independently associated with a 6 % increase in the odds of an osteoarthritis diagnosis (adjusted OR 1.06, 95 % CI 1.01–1.11; p = 0.016), with virtually identical estimates in the crude model (OR 1.06, 95 % CI 1.02–1.10; p &lt; 0.001). Age 18–50 years was strongly protective (adjusted OR 0.01, 95 % CI 0.00–0.05; p &lt; 0.001), </w:t>
      </w:r>
      <w:r w:rsidRPr="15D01EE7" w:rsidR="163670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whereas</w:t>
      </w:r>
      <w:r w:rsidRPr="15D01EE7" w:rsidR="163670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sit-to-stand time, BMI, male sex, and White ethnicity showed no independent associations (all 95 % CIs including 1 and p &gt; 0.05).</w:t>
      </w:r>
    </w:p>
    <w:p w:rsidRPr="00EE2056" w:rsidR="00EE2056" w:rsidP="15D01EE7" w:rsidRDefault="00EE2056" w14:paraId="4F0E8074" w14:textId="1429347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Pr="00EE2056" w:rsidR="00EE2056" w:rsidP="15D01EE7" w:rsidRDefault="00EE2056" w14:paraId="7EBEB274" w14:textId="53A49AA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Pr="00EE2056" w:rsidR="00EE2056" w:rsidP="15D01EE7" w:rsidRDefault="00EE2056" w14:paraId="6916064D" w14:textId="432A5C84">
      <w:pPr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br/>
      </w:r>
      <w:r w:rsidRPr="15D01EE7" w:rsidR="00EE205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Discussion</w:t>
      </w:r>
    </w:p>
    <w:p w:rsidR="443FC293" w:rsidP="15D01EE7" w:rsidRDefault="443FC293" w14:paraId="3E6B4B28" w14:textId="393E69DE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D01EE7" w:rsidR="443FC2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this cohort, AI‐derived maximum trunk‐lean—captured from a simple smartphone FTSTST video—</w:t>
      </w:r>
      <w:r w:rsidRPr="15D01EE7" w:rsidR="443FC2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emerged</w:t>
      </w:r>
      <w:r w:rsidRPr="15D01EE7" w:rsidR="443FC2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a modest but independent predictor of osteoarthritis: each extra degree increased the odds by about 6% even after adjusting for age, BMI, sex, ethnicity, and sit‐to‐stand time.  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Although statistically robust, the </w:t>
      </w:r>
      <w:r w:rsidRPr="15D01EE7" w:rsidR="1D0706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maximum 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trunk-lean effect is modest and its translational value is limited by 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data-transparency issues: the raw file 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contains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5D01EE7" w:rsidR="5388FF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four </w:t>
      </w:r>
      <w:r w:rsidRPr="15D01EE7" w:rsidR="5388FF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almost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identically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named trunk variables, and extracting the correct field requires</w:t>
      </w:r>
      <w:r w:rsidRPr="15D01EE7" w:rsidR="50B05B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5D01EE7" w:rsidR="50B05B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previous</w:t>
      </w:r>
      <w:r w:rsidRPr="15D01EE7" w:rsidR="50B05B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knowledge of Python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code. Consequently, the dataset fails the Interoperable and Reusable components of the FAIR principles</w:t>
      </w:r>
      <w:r w:rsidRPr="15D01EE7" w:rsidR="379E3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5D01EE7" w:rsidR="379E3808">
        <w:rPr>
          <w:rFonts w:ascii="Times New Roman" w:hAnsi="Times New Roman" w:eastAsia="Times New Roman" w:cs="Times New Roman"/>
          <w:sz w:val="22"/>
          <w:szCs w:val="22"/>
        </w:rPr>
        <w:t>(Wilkinson et al., 2016)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Unique variable names, a machine-readable data dictionary, and deposition in a repository that supports standard formats (e.g., CSV) would remedy these shortcomings.</w:t>
      </w:r>
    </w:p>
    <w:p w:rsidR="125EB39B" w:rsidP="15D01EE7" w:rsidRDefault="125EB39B" w14:paraId="28B5F939" w14:textId="5FC5D32A">
      <w:pPr>
        <w:spacing w:before="240" w:beforeAutospacing="off" w:after="240" w:afterAutospacing="off" w:line="360" w:lineRule="auto"/>
        <w:jc w:val="both"/>
      </w:pPr>
      <w:r w:rsidRPr="15D01EE7" w:rsidR="125EB3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ge finding is consistent with established epidemiology showing </w:t>
      </w:r>
      <w:r w:rsidRPr="15D01EE7" w:rsidR="57C4FE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rise in OA prevalence after mid-life </w:t>
      </w:r>
      <w:r w:rsidRPr="15D01EE7" w:rsidR="72C383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(Hawker et </w:t>
      </w:r>
      <w:r w:rsidRPr="15D01EE7" w:rsidR="27169D3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al., 2015</w:t>
      </w:r>
      <w:r w:rsidRPr="15D01EE7" w:rsidR="72C383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15D01EE7" w:rsidR="5F0E5E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While sex and ethnicity were not significant here, the positive direction for females and </w:t>
      </w:r>
      <w:r w:rsidRPr="15D01EE7" w:rsidR="2E5AA9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hite participants </w:t>
      </w:r>
      <w:r w:rsidRPr="15D01EE7" w:rsidR="483673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contradicts the higher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OA incidence and greater surgical </w:t>
      </w:r>
      <w:r w:rsidRPr="15D01EE7" w:rsidR="3584E6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utilization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15D01EE7" w:rsidR="58A37B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</w:t>
      </w:r>
      <w:r w:rsidRPr="15D01EE7" w:rsidR="376FA8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hite women </w:t>
      </w:r>
      <w:r w:rsidRPr="15D01EE7" w:rsidR="2EB882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(Jordan &amp; Helmick, 2015). 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Importantly, emerging evidence points to socio-economic status (SES)</w:t>
      </w:r>
      <w:r w:rsidRPr="15D01EE7" w:rsidR="6A84CA4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especially low education and incom</w:t>
      </w:r>
      <w:r w:rsidRPr="15D01EE7" w:rsidR="2142BF5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e, 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 a stronger, independent risk modifier than sex or race</w:t>
      </w:r>
      <w:r w:rsidRPr="15D01EE7" w:rsidR="158E2C9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15D01EE7" w:rsidR="158E2C9F">
        <w:rPr>
          <w:rFonts w:ascii="Times New Roman" w:hAnsi="Times New Roman" w:cs="Times New Roman"/>
          <w:b w:val="0"/>
          <w:bCs w:val="0"/>
          <w:sz w:val="22"/>
          <w:szCs w:val="22"/>
        </w:rPr>
        <w:t>Lee et al., 2021).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Because </w:t>
      </w:r>
      <w:r w:rsidRPr="15D01EE7" w:rsidR="6C28FBF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this dataset 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is 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predominantly college-educated</w:t>
      </w:r>
      <w:r w:rsidRPr="15D01EE7" w:rsidR="376FA8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and higher-income, SES effects may have been attenuated, contributing to the overall low OA prevalence (7 %). </w:t>
      </w:r>
    </w:p>
    <w:p w:rsidR="0B44F3B3" w:rsidP="15D01EE7" w:rsidRDefault="0B44F3B3" w14:paraId="606784DF" w14:textId="1594D949">
      <w:pPr>
        <w:spacing w:before="240" w:beforeAutospacing="off" w:after="240" w:afterAutospacing="off" w:line="360" w:lineRule="auto"/>
        <w:jc w:val="both"/>
      </w:pPr>
      <w:r w:rsidRPr="15D01EE7" w:rsidR="0B44F3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the same time, the modest effect size cautions against just taken in consideration trunk‐lean alone</w:t>
      </w:r>
      <w:r w:rsidRPr="15D01EE7" w:rsidR="1F31D2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suggests that the </w:t>
      </w:r>
      <w:r w:rsidRPr="15D01EE7" w:rsidR="0B44F3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screening protocols should combine it with other digital measures or patient‐reported outcomes to reduce false positives and communicate results clearly. Future work should </w:t>
      </w:r>
      <w:r w:rsidRPr="15D01EE7" w:rsidR="0B44F3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validate</w:t>
      </w:r>
      <w:r w:rsidRPr="15D01EE7" w:rsidR="0B44F3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this approach in more diverse, lower‐SES populations and explore how best to integrate trunk‐lean feedback into telehealth platforms for personalized monitoring and early intervention.</w:t>
      </w:r>
    </w:p>
    <w:p w:rsidR="15D01EE7" w:rsidP="15D01EE7" w:rsidRDefault="15D01EE7" w14:paraId="3748BD8C" w14:textId="0BCBFD5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5D01EE7" w:rsidP="15D01EE7" w:rsidRDefault="15D01EE7" w14:paraId="0C2BB7CC" w14:textId="5B7D8FF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15D01EE7" w:rsidP="15D01EE7" w:rsidRDefault="15D01EE7" w14:paraId="36BD89E0" w14:textId="1FEC0E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15D01EE7" w:rsidP="15D01EE7" w:rsidRDefault="15D01EE7" w14:paraId="7F846FE3" w14:textId="58FA8C0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15D01EE7" w:rsidP="15D01EE7" w:rsidRDefault="15D01EE7" w14:paraId="0A94FBFE" w14:textId="0A8DC32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60B8680D" w:rsidP="15D01EE7" w:rsidRDefault="60B8680D" w14:paraId="087FF347" w14:textId="4683655B">
      <w:pPr>
        <w:spacing w:line="360" w:lineRule="auto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15D01EE7" w:rsidR="60B8680D">
        <w:rPr>
          <w:rFonts w:ascii="Times New Roman" w:hAnsi="Times New Roman" w:cs="Times New Roman"/>
          <w:b w:val="1"/>
          <w:bCs w:val="1"/>
          <w:sz w:val="22"/>
          <w:szCs w:val="22"/>
        </w:rPr>
        <w:t>References</w:t>
      </w:r>
    </w:p>
    <w:p w:rsidR="78E8C616" w:rsidP="15D01EE7" w:rsidRDefault="78E8C616" w14:paraId="11DD3DDD" w14:textId="2A013EB7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Boswell, M. A.,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Kidziński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Ł., Hicks, J. L., Uhlrich, S. D.,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Falisse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A., &amp; Delp, S. L. (2023). Smartphone videos of the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sit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-to-stand test predict osteoarthritis and health outcomes in a nationwide study.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NPJ digital medicine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6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(1), 32. </w:t>
      </w:r>
      <w:hyperlink r:id="R6977c91258ad4aa9">
        <w:r w:rsidRPr="15D01EE7" w:rsidR="78E8C6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https://doi.org/10.1038/s41746-023-00775-1</w:t>
        </w:r>
      </w:hyperlink>
    </w:p>
    <w:p w:rsidR="78E8C616" w:rsidP="15D01EE7" w:rsidRDefault="78E8C616" w14:paraId="0F45C105" w14:textId="3063E10A">
      <w:pPr>
        <w:spacing w:before="0" w:beforeAutospacing="off" w:after="0" w:afterAutospacing="off"/>
        <w:jc w:val="both"/>
        <w:rPr>
          <w:sz w:val="22"/>
          <w:szCs w:val="22"/>
        </w:rPr>
      </w:pP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Callahan, L. F., Cleveland, R. J., Allen, K. D., &amp; Golightly, Y. M. (2021). Racial/Ethnic, Socioeconomic, and Geographic Disparities in the Epidemiology of Knee and Hip Osteoarthritis. </w:t>
      </w:r>
      <w:r w:rsidRPr="15D01EE7" w:rsidR="78E8C61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Rheumatic Diseases Clinics of North America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15D01EE7" w:rsidR="78E8C61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47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(1), 1–20. </w:t>
      </w:r>
      <w:hyperlink r:id="Rc9cc64dfbcd54c44">
        <w:r w:rsidRPr="15D01EE7" w:rsidR="78E8C616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https://doi.org/10.1016/J.RDC.2020.09.001</w:t>
        </w:r>
      </w:hyperlink>
    </w:p>
    <w:p w:rsidR="78E8C616" w:rsidP="15D01EE7" w:rsidRDefault="78E8C616" w14:paraId="365C95B1" w14:textId="4CF97A11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</w:pP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Cao Z, Hidalgo G, Simon T, Wei S, Sheikh Y.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OpenPose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: Realtime Multi-Person 2D Pose Estimation Using Part Affinity Fields. In IEEE Transactions on Pattern Analysis &amp; Machine Intelligence.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2021;43:172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–186. </w:t>
      </w:r>
      <w:hyperlink r:id="Rabb72f7f5ba2469f">
        <w:r w:rsidRPr="15D01EE7" w:rsidR="78E8C6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doi: 10.1109/TPAMI.2019.2929257.</w:t>
        </w:r>
      </w:hyperlink>
    </w:p>
    <w:p w:rsidR="78E8C616" w:rsidP="15D01EE7" w:rsidRDefault="78E8C616" w14:paraId="35815D85" w14:textId="712DCCEC">
      <w:pPr>
        <w:spacing w:before="0" w:beforeAutospacing="off" w:after="0" w:afterAutospacing="off"/>
        <w:jc w:val="left"/>
        <w:rPr>
          <w:sz w:val="22"/>
          <w:szCs w:val="22"/>
        </w:rPr>
      </w:pP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 Melo, A. T. A., Silva Guimarães, B. F., &amp; Lapa e Silva, C. J. R. (2022). The five times sit-to-stand test: safety, 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validity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reliability with critical care 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survivors’s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at ICU discharge. </w:t>
      </w:r>
      <w:r w:rsidRPr="15D01EE7" w:rsidR="78E8C61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Archives of Physiotherapy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15D01EE7" w:rsidR="78E8C61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13</w:t>
      </w:r>
      <w:r w:rsidRPr="15D01EE7" w:rsidR="78E8C6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(1). </w:t>
      </w:r>
      <w:hyperlink r:id="Re15a003095a54ce7">
        <w:r w:rsidRPr="15D01EE7" w:rsidR="78E8C616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https://doi.org/10.1186/s40945-022-00156-z</w:t>
        </w:r>
      </w:hyperlink>
    </w:p>
    <w:p w:rsidR="15D01EE7" w:rsidP="15D01EE7" w:rsidRDefault="15D01EE7" w14:paraId="6E3E0240" w14:textId="0E1FCD6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8E8C616" w:rsidP="15D01EE7" w:rsidRDefault="78E8C616" w14:paraId="6DDDE84F" w14:textId="64153711">
      <w:pPr>
        <w:spacing w:before="0" w:beforeAutospacing="off" w:after="0" w:afterAutospacing="off"/>
        <w:jc w:val="left"/>
        <w:rPr>
          <w:sz w:val="22"/>
          <w:szCs w:val="22"/>
        </w:rPr>
      </w:pP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Ejupi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, A., Brodie, M., Gschwind, Y. J., Lord, S. R.,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Zagler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, W. L., &amp;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Delbaere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, K. (2015). Kinect-Based Five-Times-Sit-to-Stand Test for Clinical and In-Home Assessment of Fall Risk in Older People.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Gerontology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, 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62</w:t>
      </w:r>
      <w:r w:rsidRPr="15D01EE7" w:rsidR="78E8C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(1), 118–124. </w:t>
      </w:r>
      <w:hyperlink r:id="R26d464b46bae447b">
        <w:r w:rsidRPr="15D01EE7" w:rsidR="78E8C6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https://doi.org/10.1159/000381804</w:t>
        </w:r>
      </w:hyperlink>
    </w:p>
    <w:p w:rsidR="15D01EE7" w:rsidP="15D01EE7" w:rsidRDefault="15D01EE7" w14:paraId="521FD633" w14:textId="385AE5A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36C0E89" w:rsidP="15D01EE7" w:rsidRDefault="436C0E89" w14:paraId="6170D9A8" w14:textId="23BDAC0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Hawker GA, Croxford R, Bierman AS et al. </w:t>
      </w:r>
      <w:r w:rsidRPr="15D01EE7" w:rsidR="436C0E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Socio-economic status and the risk of developing hand, </w:t>
      </w:r>
      <w:r w:rsidRPr="15D01EE7" w:rsidR="436C0E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hip</w:t>
      </w:r>
      <w:r w:rsidRPr="15D01EE7" w:rsidR="436C0E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or knee osteoarthritis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15D01EE7" w:rsidR="436C0E8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Osteoarthritis Cartilage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2015;23:1323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-1329.</w:t>
      </w:r>
    </w:p>
    <w:p w:rsidR="15D01EE7" w:rsidP="15D01EE7" w:rsidRDefault="15D01EE7" w14:paraId="0D95F113" w14:textId="416C60D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36C0E89" w:rsidP="15D01EE7" w:rsidRDefault="436C0E89" w14:paraId="03AAA8D9" w14:textId="3FA4FBDC">
      <w:pPr>
        <w:spacing w:before="0" w:beforeAutospacing="off" w:after="0" w:afterAutospacing="off"/>
        <w:jc w:val="left"/>
        <w:rPr>
          <w:sz w:val="22"/>
          <w:szCs w:val="22"/>
        </w:rPr>
      </w:pP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Jones, S. E., Kon, S. S. C., Canavan, J. L., Patel, M. S., Clark, A. L., Nolan, C. M., Polkey, M. I., &amp; Man, W. D.-C. (2013). The five-repetition sit-to-stand test as a functional outcome measure in COPD. </w:t>
      </w:r>
      <w:r w:rsidRPr="15D01EE7" w:rsidR="436C0E8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Thorax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15D01EE7" w:rsidR="436C0E8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68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(11), 1015–1020. </w:t>
      </w:r>
      <w:hyperlink r:id="R54688055f82d4dcc">
        <w:r w:rsidRPr="15D01EE7" w:rsidR="436C0E89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https://doi.org/10.1136/THORAXJNL-2013-203576</w:t>
        </w:r>
      </w:hyperlink>
    </w:p>
    <w:p w:rsidR="15D01EE7" w:rsidP="15D01EE7" w:rsidRDefault="15D01EE7" w14:paraId="0B3C1C08" w14:textId="0500140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36C0E89" w:rsidP="15D01EE7" w:rsidRDefault="436C0E89" w14:paraId="53BFDB5B" w14:textId="1429651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Jordan JM, Helmick CG. </w:t>
      </w:r>
      <w:r w:rsidRPr="15D01EE7" w:rsidR="436C0E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Racial and ethnic disparities in osteoarthritis phenotypes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15D01EE7" w:rsidR="436C0E8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Curr </w:t>
      </w:r>
      <w:r w:rsidRPr="15D01EE7" w:rsidR="436C0E8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Opin</w:t>
      </w:r>
      <w:r w:rsidRPr="15D01EE7" w:rsidR="436C0E8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5D01EE7" w:rsidR="436C0E8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Rheumatol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2010;22:528</w:t>
      </w:r>
      <w:r w:rsidRPr="15D01EE7" w:rsidR="436C0E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-532</w:t>
      </w:r>
    </w:p>
    <w:p w:rsidR="61CEC2F1" w:rsidP="15D01EE7" w:rsidRDefault="61CEC2F1" w14:paraId="3237993F" w14:textId="79B71934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D01EE7" w:rsidR="61CEC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Katz JN, Arant KR, Loeser RF. </w:t>
      </w:r>
      <w:r w:rsidRPr="15D01EE7" w:rsidR="61CEC2F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Epidemiology and burden of osteoarthritis</w:t>
      </w:r>
      <w:r w:rsidRPr="15D01EE7" w:rsidR="61CEC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15D01EE7" w:rsidR="61CEC2F1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Nat Rev </w:t>
      </w:r>
      <w:r w:rsidRPr="15D01EE7" w:rsidR="61CEC2F1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Rheumatol</w:t>
      </w:r>
      <w:r w:rsidRPr="15D01EE7" w:rsidR="61CEC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15D01EE7" w:rsidR="61CEC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2013;9:552</w:t>
      </w:r>
      <w:r w:rsidRPr="15D01EE7" w:rsidR="61CEC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-559.</w:t>
      </w:r>
    </w:p>
    <w:p w:rsidR="775D7CD9" w:rsidP="15D01EE7" w:rsidRDefault="775D7CD9" w14:paraId="5991F28C" w14:textId="0141ACC9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Kidziński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, Ł., Yang, B., Hicks, J. L., Rajagopal, A., Delp, S. L., &amp; Schwartz, M. H. (2020). Deep neural networks enable quantitative movement analysis using single-camera videos.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Nature communications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,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11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(1), 4054. </w:t>
      </w:r>
      <w:hyperlink r:id="R0327f927f3f54ffd">
        <w:r w:rsidRPr="15D01EE7" w:rsidR="775D7CD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https://doi.org/10.1038/s41467-020-17807-z</w:t>
        </w:r>
      </w:hyperlink>
    </w:p>
    <w:p w:rsidR="775D7CD9" w:rsidP="15D01EE7" w:rsidRDefault="775D7CD9" w14:paraId="22DE4B6F" w14:textId="26B4B73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15D01EE7" w:rsidR="775D7CD9">
        <w:rPr>
          <w:rFonts w:ascii="Times New Roman" w:hAnsi="Times New Roman" w:cs="Times New Roman"/>
          <w:sz w:val="22"/>
          <w:szCs w:val="22"/>
        </w:rPr>
        <w:t>Lee, J.Y., Han, K., Park, Y.G. et al. Effects of education, income, and occupation on prevalence and symptoms of knee osteoarthritis. Sci Rep 11, 13983 (2021). https://doi.org/10.1038/s41598-021-93394-3</w:t>
      </w:r>
    </w:p>
    <w:p w:rsidR="775D7CD9" w:rsidP="15D01EE7" w:rsidRDefault="775D7CD9" w14:paraId="2ED20DD8" w14:textId="204444F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</w:pP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Mathis A, et al.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DeepLabCut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: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markerless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 pose estimation of user-defined body parts with deep learning. Nat.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Neurosci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.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2018;21:1281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 xml:space="preserve">–1289.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doi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: 10.1038/s41593-018-0209-y</w:t>
      </w:r>
    </w:p>
    <w:p w:rsidR="15D01EE7" w:rsidP="15D01EE7" w:rsidRDefault="15D01EE7" w14:paraId="1D8C7F80" w14:textId="2F5B1D36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</w:pPr>
    </w:p>
    <w:p w:rsidR="0104E903" w:rsidP="15D01EE7" w:rsidRDefault="0104E903" w14:paraId="77D70BA8" w14:textId="45B4F66C">
      <w:pPr>
        <w:spacing w:before="0" w:beforeAutospacing="off" w:after="0" w:afterAutospacing="off"/>
        <w:jc w:val="both"/>
        <w:rPr>
          <w:sz w:val="22"/>
          <w:szCs w:val="22"/>
        </w:rPr>
      </w:pPr>
      <w:r w:rsidRPr="15D01EE7" w:rsidR="0104E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Ogunsola, A. S., Hlas, A. C., Marinier, M. C., &amp; Elkins, J. M. (2024). The Predictors of Osteoarthritis Among U.S. Adults: National Health and Nutrition Examination Survey, 2005 to 2018. </w:t>
      </w:r>
      <w:r w:rsidRPr="15D01EE7" w:rsidR="0104E90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Cureus</w:t>
      </w:r>
      <w:r w:rsidRPr="15D01EE7" w:rsidR="0104E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hyperlink r:id="R062a082d43534c9a">
        <w:r w:rsidRPr="15D01EE7" w:rsidR="0104E90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https://doi.org/10.7759/cureus.63469</w:t>
        </w:r>
      </w:hyperlink>
    </w:p>
    <w:p w:rsidR="15D01EE7" w:rsidP="15D01EE7" w:rsidRDefault="15D01EE7" w14:paraId="7F7667B9" w14:textId="46D91C0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75D7CD9" w:rsidP="15D01EE7" w:rsidRDefault="775D7CD9" w14:paraId="00EA8C8A" w14:textId="22DF462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D01EE7" w:rsidR="775D7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Silver, L. &amp; Taylor, K. Smartphone Ownership is Growing Rapidly Around the World, but not Always Equally (Pew Research Center, 2019)</w:t>
      </w:r>
    </w:p>
    <w:p w:rsidR="15D01EE7" w:rsidP="15D01EE7" w:rsidRDefault="15D01EE7" w14:paraId="2DFCDB5C" w14:textId="491B378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75D7CD9" w:rsidP="15D01EE7" w:rsidRDefault="775D7CD9" w14:paraId="662873A8" w14:textId="26D6510B">
      <w:pPr>
        <w:spacing w:line="36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Stenum, J., Rossi, C., &amp; Roemmich, R. T. (2021). Two-dimensional video-based analysis of human gait using pose estimation.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PLoS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computational biology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, 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17</w:t>
      </w:r>
      <w:r w:rsidRPr="15D01EE7" w:rsidR="775D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(4), e1008935. </w:t>
      </w:r>
      <w:hyperlink r:id="R6be0b30786274ce5">
        <w:r w:rsidRPr="15D01EE7" w:rsidR="775D7CD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https://doi.org/10.1371/journal.pcbi.1008935</w:t>
        </w:r>
      </w:hyperlink>
    </w:p>
    <w:p w:rsidR="775D7CD9" w:rsidP="15D01EE7" w:rsidRDefault="775D7CD9" w14:paraId="23071988" w14:textId="3C3DFC4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5D01EE7" w:rsidR="775D7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Ramos, C. H. I. (2022). A Study of the Reliability, Validity, and Physiological Changes of Sit-to-Stand Tests in People </w:t>
      </w:r>
      <w:r w:rsidRPr="15D01EE7" w:rsidR="775D7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With</w:t>
      </w:r>
      <w:r w:rsidRPr="15D01EE7" w:rsidR="775D7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Heart Failure. </w:t>
      </w:r>
      <w:r w:rsidRPr="15D01EE7" w:rsidR="775D7CD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Journal of Cardiopulmonary Rehabilitation and Prevention</w:t>
      </w:r>
      <w:r w:rsidRPr="15D01EE7" w:rsidR="775D7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15D01EE7" w:rsidR="775D7CD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43</w:t>
      </w:r>
      <w:r w:rsidRPr="15D01EE7" w:rsidR="775D7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(3), 214–219. </w:t>
      </w:r>
      <w:hyperlink r:id="R88f43623124042ce">
        <w:r w:rsidRPr="15D01EE7" w:rsidR="775D7CD9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https://doi.org/10.1097/hcr.0000000000000739</w:t>
        </w:r>
      </w:hyperlink>
    </w:p>
    <w:p w:rsidR="15D01EE7" w:rsidP="15D01EE7" w:rsidRDefault="15D01EE7" w14:paraId="733E506F" w14:textId="5A6D04F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w:rsidR="67E70953" w:rsidP="15D01EE7" w:rsidRDefault="67E70953" w14:paraId="29FA6BF7" w14:textId="1301CF9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5D01EE7" w:rsidR="67E709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Trivedi, P., Patel, S., Edwards, G. D., Jenkins, T. O., Man, W., &amp; Nolan, C. M. (2023). </w:t>
      </w:r>
      <w:r w:rsidRPr="15D01EE7" w:rsidR="67E7095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Five-Repetition Sit-to-Stand Test: Responsiveness and Minimal Important Difference in Idiopathic Pulmonary Fibrosis.</w:t>
      </w:r>
      <w:r w:rsidRPr="15D01EE7" w:rsidR="67E709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hyperlink r:id="R42626c881d3c454f">
        <w:r w:rsidRPr="15D01EE7" w:rsidR="67E7095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https://doi.org/10.1513/annalsats.202306-561oc</w:t>
        </w:r>
      </w:hyperlink>
    </w:p>
    <w:p w:rsidR="15D01EE7" w:rsidP="15D01EE7" w:rsidRDefault="15D01EE7" w14:paraId="5B8B54A8" w14:textId="4C6B421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C3BE43A" w:rsidP="15D01EE7" w:rsidRDefault="4C3BE43A" w14:paraId="7490F1D5" w14:textId="7A8C9DF1">
      <w:pPr>
        <w:jc w:val="both"/>
        <w:rPr>
          <w:sz w:val="22"/>
          <w:szCs w:val="22"/>
        </w:rPr>
      </w:pPr>
      <w:r w:rsidRPr="15D01EE7" w:rsidR="4C3BE4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Wilkinson, M. D., Dumontier, M., </w:t>
      </w:r>
      <w:r w:rsidRPr="15D01EE7" w:rsidR="4C3BE4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Aalbersberg</w:t>
      </w:r>
      <w:r w:rsidRPr="15D01EE7" w:rsidR="4C3BE4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I. J., Appleton, G., Axton, M., Baak, A., et al. (2016). The FAIR Guiding Principles for scientific data management and stewardship. </w:t>
      </w:r>
      <w:r w:rsidRPr="15D01EE7" w:rsidR="4C3BE43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Scientific Data</w:t>
      </w:r>
      <w:r w:rsidRPr="15D01EE7" w:rsidR="4C3BE4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3, 160018. </w:t>
      </w:r>
      <w:hyperlink r:id="Rcb8cae0b57264e91">
        <w:r w:rsidRPr="15D01EE7" w:rsidR="4C3BE43A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https://doi.org/10.1038/sdata.2016.18</w:t>
        </w:r>
      </w:hyperlink>
    </w:p>
    <w:p w:rsidR="15D01EE7" w:rsidP="15D01EE7" w:rsidRDefault="15D01EE7" w14:paraId="2C9E3CEB" w14:textId="03F73DC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Pr="00EE2056" w:rsidR="00EE2056" w:rsidP="002911DB" w:rsidRDefault="00EE2056" w14:paraId="00E99ED9" w14:textId="77777777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Pr="00EE2056" w:rsidR="00E36CEA" w:rsidRDefault="00E36CEA" w14:paraId="1345FA10" w14:textId="77777777"/>
    <w:p w:rsidRPr="00EE2056" w:rsidR="00E36CEA" w:rsidRDefault="00E36CEA" w14:paraId="10D2B4EB" w14:textId="77777777"/>
    <w:sectPr w:rsidRPr="00EE2056" w:rsidR="00E36C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a65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cf58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EA"/>
    <w:rsid w:val="00078F07"/>
    <w:rsid w:val="00103B54"/>
    <w:rsid w:val="00167ACB"/>
    <w:rsid w:val="002911DB"/>
    <w:rsid w:val="004D2EDD"/>
    <w:rsid w:val="00574F76"/>
    <w:rsid w:val="005F0195"/>
    <w:rsid w:val="00660920"/>
    <w:rsid w:val="007E1F63"/>
    <w:rsid w:val="00901390"/>
    <w:rsid w:val="00B86374"/>
    <w:rsid w:val="00C45C3E"/>
    <w:rsid w:val="00D11BC7"/>
    <w:rsid w:val="00DB11EC"/>
    <w:rsid w:val="00E36CEA"/>
    <w:rsid w:val="00E9090F"/>
    <w:rsid w:val="00E94395"/>
    <w:rsid w:val="00EA7519"/>
    <w:rsid w:val="00EE2056"/>
    <w:rsid w:val="00F65392"/>
    <w:rsid w:val="00F8573B"/>
    <w:rsid w:val="0104E903"/>
    <w:rsid w:val="01485AE8"/>
    <w:rsid w:val="01BBD10C"/>
    <w:rsid w:val="0226574B"/>
    <w:rsid w:val="02944937"/>
    <w:rsid w:val="02B17EF9"/>
    <w:rsid w:val="0368F8A0"/>
    <w:rsid w:val="03CFE7F4"/>
    <w:rsid w:val="04211E89"/>
    <w:rsid w:val="044FAE47"/>
    <w:rsid w:val="04D5D77D"/>
    <w:rsid w:val="0575B2A8"/>
    <w:rsid w:val="05900902"/>
    <w:rsid w:val="05C660C9"/>
    <w:rsid w:val="071C8DA8"/>
    <w:rsid w:val="071DAA0B"/>
    <w:rsid w:val="07D93DC1"/>
    <w:rsid w:val="08CD27D7"/>
    <w:rsid w:val="09CCB8AE"/>
    <w:rsid w:val="09F13589"/>
    <w:rsid w:val="0AD4ECFF"/>
    <w:rsid w:val="0B07E550"/>
    <w:rsid w:val="0B401BA1"/>
    <w:rsid w:val="0B44F3B3"/>
    <w:rsid w:val="0C4C9C01"/>
    <w:rsid w:val="0C884E18"/>
    <w:rsid w:val="0CCF2B6C"/>
    <w:rsid w:val="0E25ADD8"/>
    <w:rsid w:val="0EAF0541"/>
    <w:rsid w:val="0F994D56"/>
    <w:rsid w:val="0FEF34F5"/>
    <w:rsid w:val="10A3F8C1"/>
    <w:rsid w:val="10A730C8"/>
    <w:rsid w:val="11051403"/>
    <w:rsid w:val="125EB39B"/>
    <w:rsid w:val="130F033B"/>
    <w:rsid w:val="1410B4AD"/>
    <w:rsid w:val="14433316"/>
    <w:rsid w:val="1505F7C4"/>
    <w:rsid w:val="158E2C9F"/>
    <w:rsid w:val="15D01EE7"/>
    <w:rsid w:val="16367038"/>
    <w:rsid w:val="16DE225D"/>
    <w:rsid w:val="18234A76"/>
    <w:rsid w:val="18F893B5"/>
    <w:rsid w:val="19308DF6"/>
    <w:rsid w:val="1A3D3335"/>
    <w:rsid w:val="1AE1B8DF"/>
    <w:rsid w:val="1AFD62FF"/>
    <w:rsid w:val="1BBC8E95"/>
    <w:rsid w:val="1CAC7382"/>
    <w:rsid w:val="1CB08F0F"/>
    <w:rsid w:val="1D07064C"/>
    <w:rsid w:val="1D1FA8A4"/>
    <w:rsid w:val="1F31D291"/>
    <w:rsid w:val="1F37C897"/>
    <w:rsid w:val="1FBB5006"/>
    <w:rsid w:val="20834A93"/>
    <w:rsid w:val="2142BF53"/>
    <w:rsid w:val="21DF9375"/>
    <w:rsid w:val="225B4936"/>
    <w:rsid w:val="22EBB925"/>
    <w:rsid w:val="23A01AF7"/>
    <w:rsid w:val="23C0B7EA"/>
    <w:rsid w:val="24984B48"/>
    <w:rsid w:val="24F28FC7"/>
    <w:rsid w:val="25164C07"/>
    <w:rsid w:val="253687A8"/>
    <w:rsid w:val="26192FBC"/>
    <w:rsid w:val="261E338C"/>
    <w:rsid w:val="2663E04C"/>
    <w:rsid w:val="26B385F4"/>
    <w:rsid w:val="27169D3F"/>
    <w:rsid w:val="27A8D541"/>
    <w:rsid w:val="2897B0A4"/>
    <w:rsid w:val="290FF095"/>
    <w:rsid w:val="294FE274"/>
    <w:rsid w:val="2A8001F2"/>
    <w:rsid w:val="2B6CFC27"/>
    <w:rsid w:val="2B8E3855"/>
    <w:rsid w:val="2CA10F27"/>
    <w:rsid w:val="2DC03E2B"/>
    <w:rsid w:val="2E5AA944"/>
    <w:rsid w:val="2E6AD6DC"/>
    <w:rsid w:val="2E893F03"/>
    <w:rsid w:val="2EB03CC1"/>
    <w:rsid w:val="2EB882DA"/>
    <w:rsid w:val="2FD3B3E1"/>
    <w:rsid w:val="307CC4C0"/>
    <w:rsid w:val="30DD469D"/>
    <w:rsid w:val="3245DD95"/>
    <w:rsid w:val="33298A1B"/>
    <w:rsid w:val="332E8B76"/>
    <w:rsid w:val="33BF428D"/>
    <w:rsid w:val="33EEDB59"/>
    <w:rsid w:val="3426EC2E"/>
    <w:rsid w:val="346829DA"/>
    <w:rsid w:val="347A8406"/>
    <w:rsid w:val="3538C5E4"/>
    <w:rsid w:val="3584E606"/>
    <w:rsid w:val="35B4ED93"/>
    <w:rsid w:val="37516984"/>
    <w:rsid w:val="376FA808"/>
    <w:rsid w:val="379E3808"/>
    <w:rsid w:val="37B6D994"/>
    <w:rsid w:val="3896C3F8"/>
    <w:rsid w:val="38E57971"/>
    <w:rsid w:val="39308DF4"/>
    <w:rsid w:val="3974F361"/>
    <w:rsid w:val="39A25A95"/>
    <w:rsid w:val="39D37843"/>
    <w:rsid w:val="39F908BE"/>
    <w:rsid w:val="3AA79667"/>
    <w:rsid w:val="3AD2E9E7"/>
    <w:rsid w:val="3CD46D9D"/>
    <w:rsid w:val="3DCE64AF"/>
    <w:rsid w:val="3E07A8FB"/>
    <w:rsid w:val="3EC36F64"/>
    <w:rsid w:val="40222CE2"/>
    <w:rsid w:val="404B1A6C"/>
    <w:rsid w:val="4085F981"/>
    <w:rsid w:val="41051BBF"/>
    <w:rsid w:val="4160ABE5"/>
    <w:rsid w:val="41D98F9D"/>
    <w:rsid w:val="4211C6E9"/>
    <w:rsid w:val="42716688"/>
    <w:rsid w:val="436C0E89"/>
    <w:rsid w:val="443FC293"/>
    <w:rsid w:val="446B2705"/>
    <w:rsid w:val="456F53E9"/>
    <w:rsid w:val="45A01177"/>
    <w:rsid w:val="46057310"/>
    <w:rsid w:val="4626D271"/>
    <w:rsid w:val="463D9429"/>
    <w:rsid w:val="463F01B4"/>
    <w:rsid w:val="469F90F8"/>
    <w:rsid w:val="47106819"/>
    <w:rsid w:val="47535E08"/>
    <w:rsid w:val="483673B0"/>
    <w:rsid w:val="49C84CF6"/>
    <w:rsid w:val="4A0D0601"/>
    <w:rsid w:val="4AD0B52F"/>
    <w:rsid w:val="4B08ECDF"/>
    <w:rsid w:val="4C3BE43A"/>
    <w:rsid w:val="4D355F7C"/>
    <w:rsid w:val="4E453F97"/>
    <w:rsid w:val="4E83B180"/>
    <w:rsid w:val="4F2F68D7"/>
    <w:rsid w:val="4F95CAE3"/>
    <w:rsid w:val="50B05B29"/>
    <w:rsid w:val="51177F45"/>
    <w:rsid w:val="5140E11A"/>
    <w:rsid w:val="51A061B2"/>
    <w:rsid w:val="52933AB4"/>
    <w:rsid w:val="5297E3BD"/>
    <w:rsid w:val="5297F594"/>
    <w:rsid w:val="52C72800"/>
    <w:rsid w:val="52EF7E58"/>
    <w:rsid w:val="531FCB2D"/>
    <w:rsid w:val="5388FF59"/>
    <w:rsid w:val="54D51BB8"/>
    <w:rsid w:val="554990D7"/>
    <w:rsid w:val="57C4FE60"/>
    <w:rsid w:val="57C9B2E9"/>
    <w:rsid w:val="581E27AA"/>
    <w:rsid w:val="58A37B55"/>
    <w:rsid w:val="590C3089"/>
    <w:rsid w:val="592E0400"/>
    <w:rsid w:val="59405B0D"/>
    <w:rsid w:val="59F170F1"/>
    <w:rsid w:val="5A6975C7"/>
    <w:rsid w:val="5A78AEA6"/>
    <w:rsid w:val="5A86AAE3"/>
    <w:rsid w:val="5AA11114"/>
    <w:rsid w:val="5B41F633"/>
    <w:rsid w:val="5B9F9E13"/>
    <w:rsid w:val="5BAD7596"/>
    <w:rsid w:val="5BB0EDB0"/>
    <w:rsid w:val="5DB2B920"/>
    <w:rsid w:val="5DBB1C14"/>
    <w:rsid w:val="5E3A92B5"/>
    <w:rsid w:val="5F0E5E5E"/>
    <w:rsid w:val="5F33CA63"/>
    <w:rsid w:val="5F54432A"/>
    <w:rsid w:val="5FABBA72"/>
    <w:rsid w:val="60496481"/>
    <w:rsid w:val="607C5C26"/>
    <w:rsid w:val="60B6E1BC"/>
    <w:rsid w:val="60B8680D"/>
    <w:rsid w:val="61974B2D"/>
    <w:rsid w:val="61CEC2F1"/>
    <w:rsid w:val="620365B1"/>
    <w:rsid w:val="6248FB1C"/>
    <w:rsid w:val="6275B8A4"/>
    <w:rsid w:val="6284132E"/>
    <w:rsid w:val="62F4FA77"/>
    <w:rsid w:val="62FA2D13"/>
    <w:rsid w:val="64055ED0"/>
    <w:rsid w:val="6517658D"/>
    <w:rsid w:val="66277533"/>
    <w:rsid w:val="66CB0B17"/>
    <w:rsid w:val="66F758BC"/>
    <w:rsid w:val="67A470F0"/>
    <w:rsid w:val="67DE85D5"/>
    <w:rsid w:val="67E4FE94"/>
    <w:rsid w:val="67E70953"/>
    <w:rsid w:val="67F92D0A"/>
    <w:rsid w:val="680A1115"/>
    <w:rsid w:val="68208384"/>
    <w:rsid w:val="68516E05"/>
    <w:rsid w:val="685B1B5C"/>
    <w:rsid w:val="68986151"/>
    <w:rsid w:val="68D05784"/>
    <w:rsid w:val="68E14B9A"/>
    <w:rsid w:val="69525726"/>
    <w:rsid w:val="69F50C2F"/>
    <w:rsid w:val="6A0D3B25"/>
    <w:rsid w:val="6A84CA4E"/>
    <w:rsid w:val="6AD218BC"/>
    <w:rsid w:val="6AD540B9"/>
    <w:rsid w:val="6C126CF6"/>
    <w:rsid w:val="6C28FBFE"/>
    <w:rsid w:val="6CEEF683"/>
    <w:rsid w:val="6E3FB6B5"/>
    <w:rsid w:val="6E53936B"/>
    <w:rsid w:val="6EB39CB3"/>
    <w:rsid w:val="6ECEDB30"/>
    <w:rsid w:val="6F1E923D"/>
    <w:rsid w:val="701074AB"/>
    <w:rsid w:val="7196BCC6"/>
    <w:rsid w:val="728955C6"/>
    <w:rsid w:val="72C38359"/>
    <w:rsid w:val="73D2DF9C"/>
    <w:rsid w:val="742D2960"/>
    <w:rsid w:val="743A98D0"/>
    <w:rsid w:val="747C61E7"/>
    <w:rsid w:val="74A16D14"/>
    <w:rsid w:val="751DCB84"/>
    <w:rsid w:val="754EDC1B"/>
    <w:rsid w:val="754F8FD7"/>
    <w:rsid w:val="775D7CD9"/>
    <w:rsid w:val="7809AFA4"/>
    <w:rsid w:val="7819287D"/>
    <w:rsid w:val="789BA059"/>
    <w:rsid w:val="78E8C616"/>
    <w:rsid w:val="79A49146"/>
    <w:rsid w:val="7AFF9022"/>
    <w:rsid w:val="7C67C07F"/>
    <w:rsid w:val="7CCEF10C"/>
    <w:rsid w:val="7D9AE972"/>
    <w:rsid w:val="7E13E2CB"/>
    <w:rsid w:val="7E41DC35"/>
    <w:rsid w:val="7E6A4E03"/>
    <w:rsid w:val="7E726B97"/>
    <w:rsid w:val="7E8939EC"/>
    <w:rsid w:val="7ECF81D8"/>
    <w:rsid w:val="7F840819"/>
    <w:rsid w:val="7FD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9267AE"/>
  <w15:chartTrackingRefBased/>
  <w15:docId w15:val="{6119A22C-84C5-4213-B3DA-28012C4327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CE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E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36CE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36CE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36CE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36CE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36CE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36CE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36CE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36CE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36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CE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6C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36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CE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36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E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36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C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11E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yperlink">
    <w:uiPriority w:val="99"/>
    <w:name w:val="Hyperlink"/>
    <w:basedOn w:val="DefaultParagraphFont"/>
    <w:unhideWhenUsed/>
    <w:rsid w:val="15D01E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doi.org/10.1038/s41746-023-00775-1" TargetMode="External" Id="R6977c91258ad4aa9" /><Relationship Type="http://schemas.openxmlformats.org/officeDocument/2006/relationships/hyperlink" Target="https://doi.org/10.1016/J.RDC.2020.09.001" TargetMode="External" Id="Rc9cc64dfbcd54c44" /><Relationship Type="http://schemas.openxmlformats.org/officeDocument/2006/relationships/hyperlink" Target="https://pubmed.ncbi.nlm.nih.gov/31331883/" TargetMode="External" Id="Rabb72f7f5ba2469f" /><Relationship Type="http://schemas.openxmlformats.org/officeDocument/2006/relationships/hyperlink" Target="https://doi.org/10.1186/s40945-022-00156-z" TargetMode="External" Id="Re15a003095a54ce7" /><Relationship Type="http://schemas.openxmlformats.org/officeDocument/2006/relationships/hyperlink" Target="https://doi.org/10.1159/000381804" TargetMode="External" Id="R26d464b46bae447b" /><Relationship Type="http://schemas.openxmlformats.org/officeDocument/2006/relationships/hyperlink" Target="https://doi.org/10.1136/THORAXJNL-2013-203576" TargetMode="External" Id="R54688055f82d4dcc" /><Relationship Type="http://schemas.openxmlformats.org/officeDocument/2006/relationships/hyperlink" Target="https://doi.org/10.1038/s41467-020-17807-z" TargetMode="External" Id="R0327f927f3f54ffd" /><Relationship Type="http://schemas.openxmlformats.org/officeDocument/2006/relationships/hyperlink" Target="https://doi.org/10.7759/cureus.63469" TargetMode="External" Id="R062a082d43534c9a" /><Relationship Type="http://schemas.openxmlformats.org/officeDocument/2006/relationships/hyperlink" Target="https://doi.org/10.1371/journal.pcbi.1008935" TargetMode="External" Id="R6be0b30786274ce5" /><Relationship Type="http://schemas.openxmlformats.org/officeDocument/2006/relationships/hyperlink" Target="https://doi.org/10.1097/hcr.0000000000000739" TargetMode="External" Id="R88f43623124042ce" /><Relationship Type="http://schemas.openxmlformats.org/officeDocument/2006/relationships/hyperlink" Target="https://doi.org/10.1513/annalsats.202306-561oc" TargetMode="External" Id="R42626c881d3c454f" /><Relationship Type="http://schemas.openxmlformats.org/officeDocument/2006/relationships/hyperlink" Target="https://doi.org/10.1038/sdata.2016.18" TargetMode="External" Id="Rcb8cae0b57264e91" /><Relationship Type="http://schemas.openxmlformats.org/officeDocument/2006/relationships/numbering" Target="numbering.xml" Id="R1c3c627e36174e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995286B7DD948993D9513041A3D3D" ma:contentTypeVersion="11" ma:contentTypeDescription="Create a new document." ma:contentTypeScope="" ma:versionID="1c688b2ff0d1aecc8383a9da8452b48b">
  <xsd:schema xmlns:xsd="http://www.w3.org/2001/XMLSchema" xmlns:xs="http://www.w3.org/2001/XMLSchema" xmlns:p="http://schemas.microsoft.com/office/2006/metadata/properties" xmlns:ns3="d26a837b-fcbf-479e-8ecb-b17b2586cfb4" targetNamespace="http://schemas.microsoft.com/office/2006/metadata/properties" ma:root="true" ma:fieldsID="bca5fa2e1dab9ae956f5c999f217a388" ns3:_="">
    <xsd:import namespace="d26a837b-fcbf-479e-8ecb-b17b2586cf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a837b-fcbf-479e-8ecb-b17b2586c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6a837b-fcbf-479e-8ecb-b17b2586cfb4" xsi:nil="true"/>
  </documentManagement>
</p:properties>
</file>

<file path=customXml/itemProps1.xml><?xml version="1.0" encoding="utf-8"?>
<ds:datastoreItem xmlns:ds="http://schemas.openxmlformats.org/officeDocument/2006/customXml" ds:itemID="{A168C014-4E79-4E76-B8ED-FA3485669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a837b-fcbf-479e-8ecb-b17b2586c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392A5E-7D63-4440-B11E-96745A3B5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0A734-086B-416A-94A1-E6718A6A77FE}">
  <ds:schemaRefs>
    <ds:schemaRef ds:uri="http://schemas.microsoft.com/office/2006/metadata/properties"/>
    <ds:schemaRef ds:uri="http://schemas.microsoft.com/office/infopath/2007/PartnerControls"/>
    <ds:schemaRef ds:uri="d26a837b-fcbf-479e-8ecb-b17b2586cfb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Medeiros, Naguia Leticia De</dc:creator>
  <keywords/>
  <dc:description/>
  <lastModifiedBy>Medeiros, Naguia Leticia De</lastModifiedBy>
  <revision>9</revision>
  <dcterms:created xsi:type="dcterms:W3CDTF">2025-05-15T22:06:00.0000000Z</dcterms:created>
  <dcterms:modified xsi:type="dcterms:W3CDTF">2025-05-17T03:27:41.4264967Z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eca4ea00-6281-49a0-8182-0799e309ca5c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2025-05-15T20:44:45Z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89f64a06-f940-4968-8c5d-99be4ae30f76</vt:lpwstr>
  </property>
  <property fmtid="{D5CDD505-2E9C-101B-9397-08002B2CF9AE}" pid="9" name="MSIP_Label_b73649dc-6fee-4eb8-a128-734c3c842ea8_ContentBits">
    <vt:lpwstr>0</vt:lpwstr>
  </property>
  <property fmtid="{D5CDD505-2E9C-101B-9397-08002B2CF9AE}" pid="10" name="MSIP_Label_b73649dc-6fee-4eb8-a128-734c3c842ea8_Tag">
    <vt:lpwstr>10, 3, 0, 1</vt:lpwstr>
  </property>
  <property fmtid="{D5CDD505-2E9C-101B-9397-08002B2CF9AE}" pid="11" name="ContentTypeId">
    <vt:lpwstr>0x010100B4B995286B7DD948993D9513041A3D3D</vt:lpwstr>
  </property>
</Properties>
</file>