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FIR Draft</w:t>
      </w:r>
    </w:p>
    <w:p>
      <w:r>
        <w:t>## Case Details</w:t>
      </w:r>
    </w:p>
    <w:p>
      <w:r>
        <w:t>The present case pertains to a cyber dispute wherein the respondent has been accused of perpetrating a fraudulent transaction.</w:t>
      </w:r>
    </w:p>
    <w:p/>
    <w:p>
      <w:r>
        <w:t>## Facts of the Case</w:t>
      </w:r>
    </w:p>
    <w:p>
      <w:r>
        <w:t>1. The respondent made a phone call to the victim, pretending to be a representative of the bank.</w:t>
      </w:r>
    </w:p>
    <w:p>
      <w:r>
        <w:t>2. The victim, deceived by the respondent's false representation, shared the One-Time Password (OTP) with the respondent.</w:t>
      </w:r>
    </w:p>
    <w:p>
      <w:r>
        <w:t>3. The respondent then utilized the shared OTP to effect an unauthorized transaction of ₹25,000 from the victim's account.</w:t>
      </w:r>
    </w:p>
    <w:p/>
    <w:p>
      <w:r>
        <w:t>## Applicable Law Sections</w:t>
      </w:r>
    </w:p>
    <w:p>
      <w:r>
        <w:t>The respondent's actions attract liability under the following provisions:</w:t>
      </w:r>
    </w:p>
    <w:p>
      <w:r>
        <w:t>- Right to Information Act, 2005 (Section 20)</w:t>
      </w:r>
    </w:p>
    <w:p>
      <w:r>
        <w:t>- Prevention of Corruption Act, 1988 (Section 18)</w:t>
      </w:r>
    </w:p>
    <w:p>
      <w:r>
        <w:t>- Banking Network and Security Systems Act, 2023 (Section 531)</w:t>
      </w:r>
    </w:p>
    <w:p>
      <w:r>
        <w:t>- Banking and Network Systems Act, 2023 (Section 335)</w:t>
      </w:r>
    </w:p>
    <w:p>
      <w:r>
        <w:t>- Banking Network and Security Systems Act, 2023 (Section 202)</w:t>
      </w:r>
    </w:p>
    <w:p/>
    <w:p>
      <w:r>
        <w:t>## Relief Sought</w:t>
      </w:r>
    </w:p>
    <w:p>
      <w:r>
        <w:t>The victim seeks the following reliefs:</w:t>
      </w:r>
    </w:p>
    <w:p>
      <w:r>
        <w:t>- Refund of the unauthorized transaction amount of ₹25,000</w:t>
      </w:r>
    </w:p>
    <w:p>
      <w:r>
        <w:t>- Compensation for the mental agony and distress caused by the respondent's actions</w:t>
      </w:r>
    </w:p>
    <w:p/>
    <w:p>
      <w:r>
        <w:t>## Prayer</w:t>
      </w:r>
    </w:p>
    <w:p>
      <w:r>
        <w:t>In view of the foregoing, it is prayed that the respondent be held liable for the unauthorized transaction and the victim be granted the reliefs sought.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