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Lawyer's Brief for Respondent in Cyber Dispute Case</w:t>
      </w:r>
    </w:p>
    <w:p/>
    <w:p>
      <w:r>
        <w:t>### Introduction</w:t>
      </w:r>
    </w:p>
    <w:p>
      <w:r>
        <w:t>This brief is submitted on behalf of the Respondent in the above-mentioned cyber dispute case. The case involves a dispute arising from an unauthorized transaction of ₹25,000, allegedly facilitated by the sharing of an OTP (One-Time Password) with a person pretending to be from the bank.</w:t>
      </w:r>
    </w:p>
    <w:p/>
    <w:p>
      <w:r>
        <w:t>### Facts of the Case</w:t>
      </w:r>
    </w:p>
    <w:p>
      <w:r>
        <w:t>1. The Respondent received a phone call from an individual claiming to be a representative of the bank.</w:t>
      </w:r>
    </w:p>
    <w:p>
      <w:r>
        <w:t>2. The Respondent shared the OTP with the caller, believing it to be a legitimate request from the bank.</w:t>
      </w:r>
    </w:p>
    <w:p>
      <w:r>
        <w:t>3. Subsequently, an unauthorized transaction of ₹25,000 was discovered.</w:t>
      </w:r>
    </w:p>
    <w:p/>
    <w:p>
      <w:r>
        <w:t>### Applicable Law</w:t>
      </w:r>
    </w:p>
    <w:p>
      <w:r>
        <w:t>The following legal provisions are relevant to this case:</w:t>
      </w:r>
    </w:p>
    <w:p>
      <w:r>
        <w:t>- **RTI Act 2005, Section 20**: Pertains to the penalties imposed for providing false information or misusing the Right to Information Act.</w:t>
      </w:r>
    </w:p>
    <w:p>
      <w:r>
        <w:t>- **Prevention of Corruption Act 1988, Section 18**: Deals with the punishment for taking gratification in order, by corrupt or illegal means, to influence public duty.</w:t>
      </w:r>
    </w:p>
    <w:p>
      <w:r>
        <w:t>- **BNSS 2023, Section 531**: Relates to the specific provisions under the BNSS Act of 2023, which may pertain to cyber fraud and its consequences.</w:t>
      </w:r>
    </w:p>
    <w:p>
      <w:r>
        <w:t>- **BNS 2023, Section 335**: Concerns the provisions related to the punishment for criminal breach of trust.</w:t>
      </w:r>
    </w:p>
    <w:p>
      <w:r>
        <w:t>- **BNSS 2023, Section 202**: Pertains to the intentional omission to give information to public servant by person legally bound to inform.</w:t>
      </w:r>
    </w:p>
    <w:p/>
    <w:p>
      <w:r>
        <w:t>### Relief Sought</w:t>
      </w:r>
    </w:p>
    <w:p>
      <w:r>
        <w:t>The Respondent seeks the following relief:</w:t>
      </w:r>
    </w:p>
    <w:p>
      <w:r>
        <w:t>- Refund of the unauthorized transaction amount of ₹25,000.</w:t>
      </w:r>
    </w:p>
    <w:p>
      <w:r>
        <w:t>- Compensation for the mental agony and distress caused by the incident.</w:t>
      </w:r>
    </w:p>
    <w:p/>
    <w:p>
      <w:r>
        <w:t>### Conclusion</w:t>
      </w:r>
    </w:p>
    <w:p>
      <w:r>
        <w:t>In light of the facts and applicable law, it is clear that the Respondent has been a victim of cyber fraud. The Respondent requests the Court to consider the relief sought and provide justice accordingly.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