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CONSUMER COMPLAINT</w:t>
      </w:r>
    </w:p>
    <w:p/>
    <w:p>
      <w:r>
        <w:t>## Facts of the Case:</w:t>
      </w:r>
    </w:p>
    <w:p>
      <w:r>
        <w:t>The complainant was a victim of a phishing scam, which led to unauthorized transactions from their account. Despite reporting the incident to the bank, the response was inadequate, and the complainant suffered financial losses.</w:t>
      </w:r>
    </w:p>
    <w:p/>
    <w:p>
      <w:r>
        <w:t>## Applicable Laws:</w:t>
      </w:r>
    </w:p>
    <w:p>
      <w:r>
        <w:t>The Prevention of Corruption Act, 1988, Section 18, is applicable in this case, as it deals with the punishment for taking gratification to influence public duty. Additionally, the BNS 2023 Sections 335, 61, and 308, and the BNSS 2023 Section 531, are relevant, as they pertain to the prevention of cybercrimes and the protection of consumers.</w:t>
      </w:r>
    </w:p>
    <w:p/>
    <w:p>
      <w:r>
        <w:t>## Relief Requested:</w:t>
      </w:r>
    </w:p>
    <w:p>
      <w:r>
        <w:t>The complainant requests a refund of the unauthorized transactions, compensation for the damages suffered, and action against the perpetrators of the phishing scam.</w:t>
      </w:r>
    </w:p>
    <w:p/>
    <w:p>
      <w:r>
        <w:t>The complainant respectfully requests the consumer forum to provide appropriate relief.</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