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FIRST INFORMATION REPORT (FIR) DRAFT</w:t>
      </w:r>
    </w:p>
    <w:p>
      <w:r>
        <w:t>## Case Details:</w:t>
      </w:r>
    </w:p>
    <w:p>
      <w:r>
        <w:t>- **Dispute Type:** Cyber</w:t>
      </w:r>
    </w:p>
    <w:p>
      <w:r>
        <w:t>- **Complainant:** None</w:t>
      </w:r>
    </w:p>
    <w:p>
      <w:r>
        <w:t>- **Respondent:** Respondent</w:t>
      </w:r>
    </w:p>
    <w:p/>
    <w:p>
      <w:r>
        <w:t>## Facts of the Case:</w:t>
      </w:r>
    </w:p>
    <w:p>
      <w:r>
        <w:t>1. **Phishing Scam:** The respondent was involved in a phishing scam that targeted [ specify target, e.g., individuals, businesses].</w:t>
      </w:r>
    </w:p>
    <w:p>
      <w:r>
        <w:t>2. **Unauthorized Transaction:** As a result of the phishing scam, an unauthorized transaction was made from [ specify account or source].</w:t>
      </w:r>
    </w:p>
    <w:p>
      <w:r>
        <w:t>3. **Bank's Response:** Upon notification, the bank responded to the incident by [ specify actions taken, e.g., freezing accounts, launching an investigation].</w:t>
      </w:r>
    </w:p>
    <w:p/>
    <w:p>
      <w:r>
        <w:t>## Relevant Law Sections:</w:t>
      </w:r>
    </w:p>
    <w:p>
      <w:r>
        <w:t>- **Prevention of Corruption Act, 1988, Section 18:** Cites the prevention of corruption act to address corruption related to the phishing scam.</w:t>
      </w:r>
    </w:p>
    <w:p>
      <w:r>
        <w:t>- **BNS 2023, Section 335:** Applies to [ specify application, e.g., fraud, cybercrime].</w:t>
      </w:r>
    </w:p>
    <w:p>
      <w:r>
        <w:t>- **BNS 2023, Section 61:** Relates to [ specify relation, e.g., electronic records, digital evidence].</w:t>
      </w:r>
    </w:p>
    <w:p>
      <w:r>
        <w:t>- **BNS 2023, Section 308:** Pertains to [ specify pertinence, e.g., abetment of cybercrime].</w:t>
      </w:r>
    </w:p>
    <w:p>
      <w:r>
        <w:t>- **BNSS 2023, Section 531:** Deals with [ specify dealing, e.g., penalties for cyber offenses].</w:t>
      </w:r>
    </w:p>
    <w:p/>
    <w:p>
      <w:r>
        <w:t>## Relief Sought:</w:t>
      </w:r>
    </w:p>
    <w:p>
      <w:r>
        <w:t>The complainant seeks the following reliefs:</w:t>
      </w:r>
    </w:p>
    <w:p>
      <w:r>
        <w:t>- **Refund of Unauthorized Transactions:** A full refund of the amount lost due to the unauthorized transaction.</w:t>
      </w:r>
    </w:p>
    <w:p>
      <w:r>
        <w:t>- **Compensation for Damages:** Compensation for the damages suffered as a result of the phishing scam and unauthorized transaction.</w:t>
      </w:r>
    </w:p>
    <w:p>
      <w:r>
        <w:t>- **Action Against Perpetrators:** Appropriate legal action against the perpetrators of the phishing scam and unauthorized transaction.</w:t>
      </w:r>
    </w:p>
    <w:p/>
    <w:p>
      <w:r>
        <w:t>## Conclusion:</w:t>
      </w:r>
    </w:p>
    <w:p>
      <w:r>
        <w:t>This FIR draft outlines the key elements of the cyber dispute, including the phishing scam, unauthorized transaction, and the bank's response. It cites relevant law sections and seeks relief in the form of a refund, compensation, and legal action against the perpetrators.</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