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 for Resolution of Family Domestic Violence Dispute</w:t>
      </w:r>
    </w:p>
    <w:p/>
    <w:p>
      <w:r>
        <w:t xml:space="preserve">   Facts of the Case:</w:t>
      </w:r>
    </w:p>
    <w:p>
      <w:r>
        <w:t xml:space="preserve">   1. The complainant and respondent are involved in a family dispute.</w:t>
      </w:r>
    </w:p>
    <w:p>
      <w:r>
        <w:t xml:space="preserve">   2. The dispute involves dahej (dowry) which includes 2 cars, 500 gm gold, 4 properties, and 1 business.</w:t>
      </w:r>
    </w:p>
    <w:p/>
    <w:p>
      <w:r>
        <w:t xml:space="preserve">   Applicable Laws:</w:t>
      </w:r>
    </w:p>
    <w:p>
      <w:r>
        <w:t xml:space="preserve">   The dispute is governed by applicable Indian laws, including the Protection of Women from Domestic Violence Act, 2005, and the Dowry Prohibition Act, 1961.</w:t>
      </w:r>
    </w:p>
    <w:p/>
    <w:p>
      <w:r>
        <w:t xml:space="preserve">   Requested Action:</w:t>
      </w:r>
    </w:p>
    <w:p>
      <w:r>
        <w:t xml:space="preserve">   The respondent is requested to take immediate action to resolve the family domestic violence dispute and return the dahej (dowry) as per the applicable laws.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