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Lawyer's Brief for Cyber Dispute Case</w:t>
      </w:r>
    </w:p>
    <w:p>
      <w:r>
        <w:t>## Introduction</w:t>
      </w:r>
    </w:p>
    <w:p>
      <w:r>
        <w:t>This brief outlines the key points of a cyber dispute case involving an unauthorised transaction and the bank's response to the incident. The complainant seeks relief in the form of a refund for the unauthorised transaction amount and compensation for the bank's negligence.</w:t>
      </w:r>
    </w:p>
    <w:p/>
    <w:p>
      <w:r>
        <w:t>## Facts of the Case</w:t>
      </w:r>
    </w:p>
    <w:p>
      <w:r>
        <w:t>1. **Unauthorised Transaction**: The complainant's account was subjected to an unauthorised transaction, resulting in financial loss.</w:t>
      </w:r>
    </w:p>
    <w:p>
      <w:r>
        <w:t>2. **Bank's Response**: The bank's response to the incident is under scrutiny for alleged negligence.</w:t>
      </w:r>
    </w:p>
    <w:p/>
    <w:p>
      <w:r>
        <w:t>## Relevant Law Sections</w:t>
      </w:r>
    </w:p>
    <w:p>
      <w:r>
        <w:t>- **Prevention of Corruption Act, 1988**: Sections 18, which pertains to the punishment for taking gratification in order, by corrupt or illegal means, to influence public servants.</w:t>
      </w:r>
    </w:p>
    <w:p>
      <w:r>
        <w:t>- **BNS 2023**: Section 335, which deals with the specific provisions related to cyber crimes.</w:t>
      </w:r>
    </w:p>
    <w:p>
      <w:r>
        <w:t>- **BNSS 2023**: Sections 238 and 499, addressing various aspects of cyber law and penalties for cyber offenses.</w:t>
      </w:r>
    </w:p>
    <w:p/>
    <w:p>
      <w:r>
        <w:t>## Relief Sought</w:t>
      </w:r>
    </w:p>
    <w:p>
      <w:r>
        <w:t>The complainant seeks the following relief:</w:t>
      </w:r>
    </w:p>
    <w:p>
      <w:r>
        <w:t>- **Refund of the Unauthorised Transaction Amount**: The complainant demands a full refund of the amount lost due to the unauthorised transaction.</w:t>
      </w:r>
    </w:p>
    <w:p>
      <w:r>
        <w:t>- **Compensation for the Bank's Negligence**: The complainant also seeks compensation for the bank's alleged negligence in handling the incident.</w:t>
      </w:r>
    </w:p>
    <w:p/>
    <w:p>
      <w:r>
        <w:t>## Conclusion</w:t>
      </w:r>
    </w:p>
    <w:p>
      <w:r>
        <w:t>This case highlights the importance of stringent cyber security measures and prompt, effective responses by financial institutions to incidents of unauthorised transactions. The application of relevant law sections will be crucial in determining the outcome of this case and the relief to be granted to the complainant.</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