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2C78" w:rsidRDefault="00ED2C78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0"/>
        <w:gridCol w:w="5970"/>
      </w:tblGrid>
      <w:tr w:rsidR="00ED2C78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C78" w:rsidRDefault="00C7426E">
            <w:pPr>
              <w:widowControl w:val="0"/>
              <w:spacing w:line="240" w:lineRule="auto"/>
            </w:pPr>
            <w:r>
              <w:t>Name of preprint server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C78" w:rsidRDefault="00B82B54">
            <w:pPr>
              <w:widowControl w:val="0"/>
              <w:spacing w:line="240" w:lineRule="auto"/>
            </w:pPr>
            <w:r>
              <w:t>MediArXiv</w:t>
            </w:r>
          </w:p>
        </w:tc>
      </w:tr>
      <w:tr w:rsidR="00ED2C78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C78" w:rsidRDefault="00C7426E">
            <w:pPr>
              <w:widowControl w:val="0"/>
              <w:spacing w:line="240" w:lineRule="auto"/>
            </w:pPr>
            <w:r>
              <w:t>Current web address for server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C78" w:rsidRDefault="00EB2254">
            <w:pPr>
              <w:widowControl w:val="0"/>
              <w:spacing w:line="240" w:lineRule="auto"/>
            </w:pPr>
            <w:hyperlink r:id="rId6" w:history="1">
              <w:r w:rsidRPr="00C92105">
                <w:rPr>
                  <w:rStyle w:val="Hyperlink"/>
                </w:rPr>
                <w:t>https://mediarxiv.org</w:t>
              </w:r>
            </w:hyperlink>
            <w:r>
              <w:t xml:space="preserve"> </w:t>
            </w:r>
            <w:r w:rsidR="00B82B54">
              <w:t>/</w:t>
            </w:r>
            <w:r>
              <w:t xml:space="preserve"> </w:t>
            </w:r>
            <w:hyperlink r:id="rId7" w:history="1">
              <w:r w:rsidR="005F4C69" w:rsidRPr="00C92105">
                <w:rPr>
                  <w:rStyle w:val="Hyperlink"/>
                </w:rPr>
                <w:t>https://mediarxiv.com</w:t>
              </w:r>
            </w:hyperlink>
            <w:r w:rsidR="005F4C69">
              <w:t xml:space="preserve"> </w:t>
            </w:r>
          </w:p>
        </w:tc>
      </w:tr>
      <w:tr w:rsidR="00ED2C78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C78" w:rsidRDefault="00C7426E">
            <w:pPr>
              <w:widowControl w:val="0"/>
              <w:spacing w:line="240" w:lineRule="auto"/>
            </w:pPr>
            <w:r>
              <w:t>Who owns the domain? Can ownership be transferred to CDL if needed?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C78" w:rsidRDefault="00B82B54">
            <w:pPr>
              <w:widowControl w:val="0"/>
              <w:spacing w:line="240" w:lineRule="auto"/>
            </w:pPr>
            <w:r>
              <w:t>We own both domains</w:t>
            </w:r>
          </w:p>
        </w:tc>
      </w:tr>
      <w:tr w:rsidR="00ED2C78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C78" w:rsidRDefault="00C7426E">
            <w:pPr>
              <w:widowControl w:val="0"/>
              <w:spacing w:line="240" w:lineRule="auto"/>
            </w:pPr>
            <w:r>
              <w:t>Other relevant web address(es) (e.g. link to additional information about the preprint server)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C78" w:rsidRDefault="00ED2C78">
            <w:pPr>
              <w:widowControl w:val="0"/>
              <w:spacing w:line="240" w:lineRule="auto"/>
            </w:pPr>
          </w:p>
        </w:tc>
      </w:tr>
      <w:tr w:rsidR="00ED2C78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C78" w:rsidRDefault="00C7426E">
            <w:pPr>
              <w:widowControl w:val="0"/>
              <w:spacing w:line="240" w:lineRule="auto"/>
            </w:pPr>
            <w:r>
              <w:t>Name &amp; Contact Info for person completing this form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C78" w:rsidRDefault="006944C5">
            <w:pPr>
              <w:widowControl w:val="0"/>
              <w:spacing w:line="240" w:lineRule="auto"/>
            </w:pPr>
            <w:r>
              <w:t xml:space="preserve">Jeff Pooley, 484-695-9033, </w:t>
            </w:r>
            <w:hyperlink r:id="rId8" w:history="1">
              <w:r w:rsidR="00EB2254" w:rsidRPr="00C92105">
                <w:rPr>
                  <w:rStyle w:val="Hyperlink"/>
                </w:rPr>
                <w:t>pooley@muhlenberg.edu</w:t>
              </w:r>
            </w:hyperlink>
            <w:r w:rsidR="00EB2254">
              <w:t xml:space="preserve"> </w:t>
            </w:r>
          </w:p>
        </w:tc>
      </w:tr>
      <w:tr w:rsidR="00ED2C78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C78" w:rsidRDefault="00C7426E">
            <w:pPr>
              <w:widowControl w:val="0"/>
              <w:spacing w:line="240" w:lineRule="auto"/>
            </w:pPr>
            <w:r>
              <w:t>Primary fields of research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C78" w:rsidRDefault="006944C5">
            <w:pPr>
              <w:widowControl w:val="0"/>
              <w:spacing w:line="240" w:lineRule="auto"/>
            </w:pPr>
            <w:r>
              <w:t>Film, commu</w:t>
            </w:r>
            <w:r w:rsidR="00FE24C0">
              <w:t>nication, and media studies</w:t>
            </w:r>
          </w:p>
        </w:tc>
      </w:tr>
      <w:tr w:rsidR="00ED2C78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C78" w:rsidRDefault="00C7426E">
            <w:pPr>
              <w:widowControl w:val="0"/>
              <w:spacing w:line="240" w:lineRule="auto"/>
            </w:pPr>
            <w:r>
              <w:t>Year first established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C78" w:rsidRDefault="00FE24C0">
            <w:pPr>
              <w:widowControl w:val="0"/>
              <w:spacing w:line="240" w:lineRule="auto"/>
            </w:pPr>
            <w:r>
              <w:t>2019</w:t>
            </w:r>
          </w:p>
        </w:tc>
      </w:tr>
      <w:tr w:rsidR="00ED2C78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C78" w:rsidRDefault="00C7426E">
            <w:pPr>
              <w:widowControl w:val="0"/>
              <w:spacing w:line="240" w:lineRule="auto"/>
            </w:pPr>
            <w:r>
              <w:t>To qualify for CDL services, the project must have some relation to the University of California. Please provide the names of any UC-affiliated persons, departments, and/or research units with a connection to the repository (excluding authors)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C78" w:rsidRDefault="00FE24C0">
            <w:pPr>
              <w:widowControl w:val="0"/>
              <w:spacing w:line="240" w:lineRule="auto"/>
            </w:pPr>
            <w:r>
              <w:t>One of our founding Steering Committee members is L</w:t>
            </w:r>
            <w:r w:rsidR="00A741BD">
              <w:t xml:space="preserve">eah </w:t>
            </w:r>
            <w:r w:rsidR="00A741BD" w:rsidRPr="00A741BD">
              <w:t xml:space="preserve"> Lievrouw, Professor of Information Studies</w:t>
            </w:r>
            <w:r w:rsidR="00A741BD">
              <w:t xml:space="preserve"> at UCLA</w:t>
            </w:r>
          </w:p>
        </w:tc>
      </w:tr>
      <w:tr w:rsidR="00ED2C78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C78" w:rsidRDefault="00C7426E">
            <w:pPr>
              <w:widowControl w:val="0"/>
              <w:spacing w:line="240" w:lineRule="auto"/>
            </w:pPr>
            <w:r>
              <w:t>Current pl</w:t>
            </w:r>
            <w:r>
              <w:t>atform &amp; service provider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C78" w:rsidRDefault="00234655">
            <w:pPr>
              <w:widowControl w:val="0"/>
              <w:spacing w:line="240" w:lineRule="auto"/>
            </w:pPr>
            <w:r>
              <w:t>Open Science Framework, Center for Open Science</w:t>
            </w:r>
          </w:p>
        </w:tc>
      </w:tr>
      <w:tr w:rsidR="00ED2C78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C78" w:rsidRDefault="00C7426E">
            <w:pPr>
              <w:widowControl w:val="0"/>
              <w:spacing w:line="240" w:lineRule="auto"/>
            </w:pPr>
            <w:r>
              <w:t>General timeframe for transition, including deadline for being completely off existing platform (please also note any flexibility with these dates, if applicable)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C78" w:rsidRDefault="00234655">
            <w:pPr>
              <w:widowControl w:val="0"/>
              <w:spacing w:line="240" w:lineRule="auto"/>
            </w:pPr>
            <w:r>
              <w:t>We are flexible, since we can continue to e</w:t>
            </w:r>
            <w:r w:rsidR="00E4118F">
              <w:t>xtend our current COS arrangement</w:t>
            </w:r>
          </w:p>
        </w:tc>
      </w:tr>
      <w:tr w:rsidR="00ED2C78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C78" w:rsidRDefault="00C7426E">
            <w:pPr>
              <w:widowControl w:val="0"/>
              <w:spacing w:line="240" w:lineRule="auto"/>
            </w:pPr>
            <w:r>
              <w:t>Number of existing preprints publicly available on the server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C78" w:rsidRDefault="007B1DA4">
            <w:pPr>
              <w:widowControl w:val="0"/>
              <w:spacing w:line="240" w:lineRule="auto"/>
            </w:pPr>
            <w:r>
              <w:t>178</w:t>
            </w:r>
          </w:p>
        </w:tc>
      </w:tr>
      <w:tr w:rsidR="00ED2C78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C78" w:rsidRDefault="00C7426E">
            <w:pPr>
              <w:widowControl w:val="0"/>
              <w:spacing w:line="240" w:lineRule="auto"/>
            </w:pPr>
            <w:r>
              <w:t>Average rate of new submissions per month (best guess is acceptable)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C78" w:rsidRDefault="000C46E0">
            <w:pPr>
              <w:widowControl w:val="0"/>
              <w:spacing w:line="240" w:lineRule="auto"/>
            </w:pPr>
            <w:r>
              <w:t>An estimate is 5</w:t>
            </w:r>
          </w:p>
        </w:tc>
      </w:tr>
      <w:tr w:rsidR="00ED2C78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C78" w:rsidRDefault="00C7426E">
            <w:pPr>
              <w:widowControl w:val="0"/>
              <w:spacing w:line="240" w:lineRule="auto"/>
            </w:pPr>
            <w:r>
              <w:t xml:space="preserve">Aside from the primary preprint server technology, is your service reliant on any separate 3rd-party systems (e.g. data repository, preservation, </w:t>
            </w:r>
            <w:r>
              <w:lastRenderedPageBreak/>
              <w:t>metrics)? Please list these and indicate whether you prefer to continue using them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C78" w:rsidRDefault="005009C2">
            <w:pPr>
              <w:widowControl w:val="0"/>
              <w:spacing w:line="240" w:lineRule="auto"/>
            </w:pPr>
            <w:r>
              <w:lastRenderedPageBreak/>
              <w:t xml:space="preserve">No, we are not reliant on any other third-party system. We do maintain a separate Wordpress site, but would prefer to consolidate into a single Janeway instance. </w:t>
            </w:r>
          </w:p>
        </w:tc>
      </w:tr>
      <w:tr w:rsidR="00ED2C78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C78" w:rsidRDefault="00C7426E">
            <w:pPr>
              <w:widowControl w:val="0"/>
              <w:spacing w:line="240" w:lineRule="auto"/>
            </w:pPr>
            <w:r>
              <w:t xml:space="preserve">List the kinds and types </w:t>
            </w:r>
            <w:r>
              <w:t>of content that your repository hosts (e.g. Articles in PDF &amp; HTML; high-res images in standard formats; datasets stored as zip files)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C78" w:rsidRDefault="007C6FD8">
            <w:pPr>
              <w:widowControl w:val="0"/>
              <w:spacing w:line="240" w:lineRule="auto"/>
            </w:pPr>
            <w:r>
              <w:t>Given limitations of COS, we have primarily supported PDFs. However, and given Janeway’s support for multimedia formats, we would like to support</w:t>
            </w:r>
            <w:r w:rsidR="00872B09">
              <w:t xml:space="preserve"> audio and video submissions too, especially considering that the video essay is a long-established scholarly format in film studies. </w:t>
            </w:r>
          </w:p>
        </w:tc>
      </w:tr>
      <w:tr w:rsidR="00ED2C78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C78" w:rsidRDefault="00C7426E">
            <w:pPr>
              <w:widowControl w:val="0"/>
              <w:spacing w:line="240" w:lineRule="auto"/>
            </w:pPr>
            <w:r>
              <w:t>Link to, or text of, your content or submission policies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C78" w:rsidRDefault="00EB2254">
            <w:pPr>
              <w:widowControl w:val="0"/>
              <w:spacing w:line="240" w:lineRule="auto"/>
            </w:pPr>
            <w:hyperlink r:id="rId9" w:history="1">
              <w:r w:rsidRPr="00C92105">
                <w:rPr>
                  <w:rStyle w:val="Hyperlink"/>
                </w:rPr>
                <w:t>https://mediarxiv.com/guidelines/</w:t>
              </w:r>
            </w:hyperlink>
            <w:r>
              <w:t xml:space="preserve"> </w:t>
            </w:r>
          </w:p>
        </w:tc>
      </w:tr>
      <w:tr w:rsidR="00ED2C78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C78" w:rsidRDefault="00C7426E">
            <w:pPr>
              <w:widowControl w:val="0"/>
              <w:spacing w:line="240" w:lineRule="auto"/>
            </w:pPr>
            <w:r>
              <w:t>Link to, or text of, your current author agreement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C78" w:rsidRDefault="002749A6">
            <w:pPr>
              <w:widowControl w:val="0"/>
              <w:spacing w:line="240" w:lineRule="auto"/>
            </w:pPr>
            <w:r>
              <w:t>C</w:t>
            </w:r>
            <w:r w:rsidR="006353D4">
              <w:t xml:space="preserve">OS: </w:t>
            </w:r>
            <w:hyperlink r:id="rId10" w:history="1">
              <w:r w:rsidR="00EB2254" w:rsidRPr="00C92105">
                <w:rPr>
                  <w:rStyle w:val="Hyperlink"/>
                </w:rPr>
                <w:t>https://github.com/CenterForOpenScience/cos.io/blob/master/TERMS_OF_USE.md</w:t>
              </w:r>
            </w:hyperlink>
            <w:r w:rsidR="00EB2254">
              <w:t xml:space="preserve"> </w:t>
            </w:r>
          </w:p>
        </w:tc>
      </w:tr>
      <w:tr w:rsidR="00ED2C78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C78" w:rsidRDefault="00C7426E">
            <w:pPr>
              <w:widowControl w:val="0"/>
              <w:spacing w:line="240" w:lineRule="auto"/>
            </w:pPr>
            <w:r>
              <w:t>Link to</w:t>
            </w:r>
            <w:r>
              <w:t>, or list of, your current staff &amp; primary stakeholders (e.g. moderators, editors, board)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C78" w:rsidRDefault="00EB2254">
            <w:pPr>
              <w:widowControl w:val="0"/>
              <w:spacing w:line="240" w:lineRule="auto"/>
            </w:pPr>
            <w:hyperlink r:id="rId11" w:history="1">
              <w:r w:rsidRPr="00C92105">
                <w:rPr>
                  <w:rStyle w:val="Hyperlink"/>
                </w:rPr>
                <w:t>https://mediarxiv.com</w:t>
              </w:r>
            </w:hyperlink>
            <w:r>
              <w:t xml:space="preserve"> (see Steering Committee)</w:t>
            </w:r>
          </w:p>
        </w:tc>
      </w:tr>
      <w:tr w:rsidR="00ED2C78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C78" w:rsidRDefault="00C7426E">
            <w:pPr>
              <w:widowControl w:val="0"/>
              <w:spacing w:line="240" w:lineRule="auto"/>
            </w:pPr>
            <w:r>
              <w:t>CDL’s preprint services currently do not have a monetary cost, however there are other costs to running a preprint server. CDL is not able to assist with those cost</w:t>
            </w:r>
            <w:r>
              <w:t>s. Briefly describe the funding situation w/ relation to these additional expenses.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C78" w:rsidRDefault="005F4C69">
            <w:pPr>
              <w:widowControl w:val="0"/>
              <w:spacing w:line="240" w:lineRule="auto"/>
            </w:pPr>
            <w:r>
              <w:t xml:space="preserve">We have a </w:t>
            </w:r>
            <w:r w:rsidR="00392750">
              <w:t xml:space="preserve">Membership Circle, currently supported by two libraries at $500 a year: </w:t>
            </w:r>
            <w:hyperlink r:id="rId12" w:history="1">
              <w:r w:rsidR="008A4CEC" w:rsidRPr="00C92105">
                <w:rPr>
                  <w:rStyle w:val="Hyperlink"/>
                </w:rPr>
                <w:t>https://mediarxiv.com/membership/</w:t>
              </w:r>
            </w:hyperlink>
            <w:r w:rsidR="008A4CEC">
              <w:t xml:space="preserve"> </w:t>
            </w:r>
          </w:p>
        </w:tc>
      </w:tr>
      <w:tr w:rsidR="00ED2C78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C78" w:rsidRDefault="00C7426E">
            <w:pPr>
              <w:widowControl w:val="0"/>
              <w:spacing w:line="240" w:lineRule="auto"/>
            </w:pPr>
            <w:r>
              <w:t>Aside from this transition do you have plans, ideas, goals for the service over the next 5 years that it would be helpful for us to discuss?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C78" w:rsidRDefault="008A4CEC">
            <w:pPr>
              <w:widowControl w:val="0"/>
              <w:spacing w:line="240" w:lineRule="auto"/>
            </w:pPr>
            <w:r>
              <w:t>We plan to better publicize the service to scholar</w:t>
            </w:r>
            <w:r w:rsidR="00C7426E">
              <w:t>s, and eventually forge connections with no-APC open access journals.</w:t>
            </w:r>
          </w:p>
        </w:tc>
      </w:tr>
    </w:tbl>
    <w:p w:rsidR="00ED2C78" w:rsidRDefault="00ED2C78"/>
    <w:p w:rsidR="00ED2C78" w:rsidRDefault="00ED2C78"/>
    <w:sectPr w:rsidR="00ED2C78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C7426E">
      <w:pPr>
        <w:spacing w:line="240" w:lineRule="auto"/>
      </w:pPr>
      <w:r>
        <w:separator/>
      </w:r>
    </w:p>
  </w:endnote>
  <w:endnote w:type="continuationSeparator" w:id="0">
    <w:p w:rsidR="00000000" w:rsidRDefault="00C74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C7426E">
      <w:pPr>
        <w:spacing w:line="240" w:lineRule="auto"/>
      </w:pPr>
      <w:r>
        <w:separator/>
      </w:r>
    </w:p>
  </w:footnote>
  <w:footnote w:type="continuationSeparator" w:id="0">
    <w:p w:rsidR="00000000" w:rsidRDefault="00C74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2C78" w:rsidRDefault="00C7426E">
    <w:r>
      <w:t>eScholarship Publishing - Preprint Server Migration Proposal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C78"/>
    <w:rsid w:val="000C46E0"/>
    <w:rsid w:val="00234655"/>
    <w:rsid w:val="002749A6"/>
    <w:rsid w:val="00392750"/>
    <w:rsid w:val="005009C2"/>
    <w:rsid w:val="005F4C69"/>
    <w:rsid w:val="006353D4"/>
    <w:rsid w:val="006944C5"/>
    <w:rsid w:val="007B1DA4"/>
    <w:rsid w:val="007C6FD8"/>
    <w:rsid w:val="00872B09"/>
    <w:rsid w:val="008A4CEC"/>
    <w:rsid w:val="00A741BD"/>
    <w:rsid w:val="00B82B54"/>
    <w:rsid w:val="00C7426E"/>
    <w:rsid w:val="00D37767"/>
    <w:rsid w:val="00E4118F"/>
    <w:rsid w:val="00EB2254"/>
    <w:rsid w:val="00ED2C78"/>
    <w:rsid w:val="00FE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FC37A"/>
  <w15:docId w15:val="{110EB40F-E573-C14D-AB9A-66028FD5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B22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oley@muhlenberg.edu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mediarxiv.com" TargetMode="External"/><Relationship Id="rId12" Type="http://schemas.openxmlformats.org/officeDocument/2006/relationships/hyperlink" Target="https://mediarxiv.com/membershi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arxiv.org" TargetMode="External"/><Relationship Id="rId11" Type="http://schemas.openxmlformats.org/officeDocument/2006/relationships/hyperlink" Target="https://mediarxiv.com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CenterForOpenScience/cos.io/blob/master/TERMS_OF_USE.m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ediarxiv.com/guidelin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Jefferson Pooley</cp:lastModifiedBy>
  <cp:revision>20</cp:revision>
  <dcterms:created xsi:type="dcterms:W3CDTF">2022-04-25T19:12:00Z</dcterms:created>
  <dcterms:modified xsi:type="dcterms:W3CDTF">2022-04-25T19:21:00Z</dcterms:modified>
</cp:coreProperties>
</file>