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УДК 070:004.7</w:t>
      </w:r>
    </w:p>
    <w:p>
      <w:pPr>
        <w:spacing w:after="120"/>
      </w:pPr>
      <w:r>
        <w:rPr>
          <w:b/>
          <w:bCs/>
          <w:sz w:val="22"/>
          <w:szCs w:val="22"/>
        </w:rPr>
        <w:t xml:space="preserve">С.В. Водопетов</w:t>
      </w:r>
    </w:p>
    <w:p>
      <w:pPr>
        <w:spacing w:after="200"/>
        <w:jc w:val="center"/>
      </w:pPr>
      <w:r>
        <w:rPr>
          <w:b/>
          <w:bCs/>
          <w:sz w:val="28"/>
          <w:szCs w:val="28"/>
        </w:rPr>
        <w:t xml:space="preserve">Медиааналитика и принятие решений: сравнительный наукометрический анализ российских и зарубежных исследований (2019–2025)</w:t>
      </w:r>
    </w:p>
    <w:p>
      <w:pPr>
        <w:spacing w:after="200"/>
      </w:pPr>
      <w:r>
        <w:rPr>
          <w:i/>
          <w:iCs/>
          <w:sz w:val="22"/>
          <w:szCs w:val="22"/>
        </w:rPr>
        <w:t xml:space="preserve">Статья посвящена сравнительному наукометрическому анализу публикаций по тематике медиааналитики в трёх библиографических базах данных: Google Scholar, eLibrary/РИНЦ и CNKI (Китай). На основе анализа более 800 источников выявлена степень интеграции медиааналитики с системами поддержки принятия решений (DSS) в различных научных традициях. Установлено, что разрыв между Россией и Китаем по показателю DSS-интеграции составляет 4,4 раза (8% vs 35%). Проведён обзор российских, китайских и open-source систем медиааналитики. Результаты имеют значение для развития методологии использования медиаданных в процессах принятия решений.</w:t>
      </w:r>
    </w:p>
    <w:p>
      <w:pPr>
        <w:spacing w:after="300"/>
      </w:pPr>
      <w:r>
        <w:rPr>
          <w:b/>
          <w:bCs/>
          <w:sz w:val="22"/>
          <w:szCs w:val="22"/>
        </w:rPr>
        <w:t xml:space="preserve">Ключевые слова: </w:t>
      </w:r>
      <w:r>
        <w:rPr>
          <w:sz w:val="22"/>
          <w:szCs w:val="22"/>
        </w:rPr>
        <w:t xml:space="preserve">медиааналитика, медиамониторинг, системы поддержки принятия решений, DSS, наукометрический анализ, Медиалогия, Талисман, 舆情监测, OSINT.</w:t>
      </w:r>
    </w:p>
    <w:p>
      <w:pPr>
        <w:pStyle w:val="Heading1"/>
        <w:spacing w:after="120" w:before="240"/>
      </w:pPr>
      <w:r>
        <w:rPr>
          <w:b/>
          <w:bCs/>
          <w:sz w:val="28"/>
          <w:szCs w:val="28"/>
        </w:rPr>
        <w:t xml:space="preserve">Введение</w:t>
      </w:r>
    </w:p>
    <w:p>
      <w:pPr>
        <w:spacing w:after="120" w:line="312"/>
        <w:ind w:firstLine="480"/>
      </w:pPr>
      <w:r>
        <w:rPr>
          <w:sz w:val="24"/>
          <w:szCs w:val="24"/>
        </w:rPr>
        <w:t xml:space="preserve">Актуальность исследования обусловлена возрастающей ролью медиаданных в процессах принятия решений на индивидуальном, корпоративном и государственном уровнях. В условиях цифровой трансформации медиасистема становится не только источником информации, но и чувствительным индикатором социальных изменений, фиксирующим актуальные смыслы, живую речь, интонации эпохи, культурные коды и повседневные практики. Медиа формируют интерпретационные рамки для аудитории и тем самым становятся основой для принятия решений в различных сферах деятельности.</w:t>
      </w:r>
    </w:p>
    <w:p>
      <w:pPr>
        <w:spacing w:after="120" w:line="312"/>
        <w:ind w:firstLine="480"/>
      </w:pPr>
      <w:r>
        <w:rPr>
          <w:sz w:val="24"/>
          <w:szCs w:val="24"/>
        </w:rPr>
        <w:t xml:space="preserve">Развитие технологий искусственного интеллекта и обработки больших данных создаёт новые возможности для анализа медиапространства. Появляются специализированные платформы и системы, способные в реальном времени обрабатывать огромные массивы информации из средств массовой информации и социальных сетей. Однако вопрос о том, насколько эффективно эти технологические возможности используются для поддержки принятия решений, требует специального исследования.</w:t>
      </w:r>
    </w:p>
    <w:p>
      <w:pPr>
        <w:spacing w:after="120" w:line="312"/>
        <w:ind w:firstLine="480"/>
      </w:pPr>
      <w:r>
        <w:rPr>
          <w:sz w:val="24"/>
          <w:szCs w:val="24"/>
        </w:rPr>
        <w:t xml:space="preserve">Целью настоящего исследования является проведение сравнительного наукометрического анализа публикаций по тематике медиааналитики в международных, российских и китайских базах данных для выявления степени интеграции медиааналитики с системами поддержки принятия решений. Объектом исследования выступает научная литература по вопросам медиааналитики и медиамониторинга, предметом — соотношение технологической и методологической составляющих в исследованиях медиаданных.</w:t>
      </w:r>
    </w:p>
    <w:p>
      <w:pPr>
        <w:pStyle w:val="Heading1"/>
        <w:spacing w:after="120" w:before="240"/>
      </w:pPr>
      <w:r>
        <w:rPr>
          <w:b/>
          <w:bCs/>
          <w:sz w:val="28"/>
          <w:szCs w:val="28"/>
        </w:rPr>
        <w:t xml:space="preserve">Методология и методы исследования</w:t>
      </w:r>
    </w:p>
    <w:p>
      <w:pPr>
        <w:spacing w:after="120" w:line="312"/>
        <w:ind w:firstLine="480"/>
      </w:pPr>
      <w:r>
        <w:rPr>
          <w:sz w:val="24"/>
          <w:szCs w:val="24"/>
        </w:rPr>
        <w:t xml:space="preserve">Исследование выполнено с применением комбинированного OSINT-подхода (Open Source Intelligence), сочетающего методы анализа открытых данных и традиционные наукометрические методы. Эмпирическую базу исследования составили публикации из трёх библиографических баз данных: Google Scholar (международная база), eLibrary/РИНЦ (российская база) и CNKI (китайская база) за период 2019–2025 годов.</w:t>
      </w:r>
    </w:p>
    <w:p>
      <w:pPr>
        <w:spacing w:after="120" w:line="312"/>
        <w:ind w:firstLine="480"/>
      </w:pPr>
      <w:r>
        <w:rPr>
          <w:sz w:val="24"/>
          <w:szCs w:val="24"/>
        </w:rPr>
        <w:t xml:space="preserve">Поисковые запросы формировались по ключевым словам: «media analytics», «media monitoring», «медиааналитика», «медиамониторинг», «舆情分析» (анализ общественного мнения), «媒体分析» (анализ медиа). Дополнительно проводился поиск по названиям конкретных систем медиааналитики. Для каждого источника оценивалось наличие связи с системами поддержки принятия решений (DSS) по критерию упоминания терминов «decision support», «принятие решений», «DSS», «СППР» в контексте использования медиаданных.</w:t>
      </w:r>
    </w:p>
    <w:p>
      <w:pPr>
        <w:spacing w:after="120" w:line="312"/>
        <w:ind w:firstLine="480"/>
      </w:pPr>
      <w:r>
        <w:rPr>
          <w:sz w:val="24"/>
          <w:szCs w:val="24"/>
        </w:rPr>
        <w:t xml:space="preserve">Всего проанализировано 327 публикаций из трёх баз данных (наукометрическое ядро) и дополнительно 477 публикаций из базы eLibrary/РИНЦ для углублённого анализа российской научной традиции. Первичные данные размещены в открытом репозитории на платформе GitHub для обеспечения воспроизводимости исследования.</w:t>
      </w:r>
    </w:p>
    <w:p>
      <w:pPr>
        <w:pStyle w:val="Heading1"/>
        <w:spacing w:after="120" w:before="240"/>
      </w:pPr>
      <w:r>
        <w:rPr>
          <w:b/>
          <w:bCs/>
          <w:sz w:val="28"/>
          <w:szCs w:val="28"/>
        </w:rPr>
        <w:t xml:space="preserve">Результаты исследования</w:t>
      </w:r>
    </w:p>
    <w:p>
      <w:pPr>
        <w:pStyle w:val="Heading2"/>
        <w:spacing w:after="120" w:before="240"/>
      </w:pPr>
      <w:r>
        <w:rPr>
          <w:b/>
          <w:bCs/>
          <w:sz w:val="24"/>
          <w:szCs w:val="24"/>
        </w:rPr>
        <w:t xml:space="preserve">Сравнительный анализ наукометрических баз данных</w:t>
      </w:r>
    </w:p>
    <w:p>
      <w:pPr>
        <w:spacing w:after="120" w:line="312"/>
        <w:ind w:firstLine="480"/>
      </w:pPr>
      <w:r>
        <w:rPr>
          <w:sz w:val="24"/>
          <w:szCs w:val="24"/>
        </w:rPr>
        <w:t xml:space="preserve">Ключевым результатом исследования является выявление значительных различий в степени интеграции медиааналитики с системами поддержки принятия решений между различными научными традициями. Китайская база CNKI демонстрирует наивысший уровень интеграции — 35% публикаций связывают медиааналитику с DSS. Международная база Google Scholar занимает промежуточное положение с показателем 13%. Российская база eLibrary/РИНЦ показывает наименьшую связь — 8%. Разрыв между Россией и Китаем составляет 4,4 раза.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400"/>
        <w:gridCol w:w="2200"/>
        <w:gridCol w:w="2200"/>
        <w:gridCol w:w="22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Показатель</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Google Scholar</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eLibrary/РИНЦ</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CNKI (Китай)</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Выборка публикаций</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112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95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120</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Упоминание систем</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45%</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Связь с DSS</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35%</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Динамика DSS (2019→2024)</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 → 14%</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 → 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28% → 37%</w:t>
            </w:r>
          </w:p>
        </w:tc>
      </w:tr>
    </w:tbl>
    <w:p>
      <w:pPr>
        <w:spacing w:after="200" w:before="80"/>
        <w:jc w:val="center"/>
      </w:pPr>
      <w:r>
        <w:rPr>
          <w:i/>
          <w:iCs/>
          <w:sz w:val="20"/>
          <w:szCs w:val="20"/>
        </w:rPr>
        <w:t xml:space="preserve">Таблица 1. Сравнительный анализ наукометрических баз данных</w:t>
      </w:r>
    </w:p>
    <w:p>
      <w:pPr>
        <w:spacing w:after="120" w:line="312"/>
        <w:ind w:firstLine="480"/>
      </w:pPr>
      <w:r>
        <w:rPr>
          <w:sz w:val="24"/>
          <w:szCs w:val="24"/>
        </w:rPr>
        <w:t xml:space="preserve">Данные таблицы демонстрируют устойчивый рост интереса к интеграции медиааналитики с DSS во всех трёх базах данных, однако темпы роста существенно различаются. В китайской базе CNKI показатель DSS-связи вырос с 28% до 37% за исследуемый период, что отражает государственную политику интеграции 舆情监测 (мониторинга общественного мнения) в систему государственного управления. В международной базе Google Scholar рост составил с 8% до 14%, что соответствует общемировому тренду на интеграцию AI-аналитики в процессы принятия решений.</w:t>
      </w:r>
    </w:p>
    <w:p>
      <w:pPr>
        <w:pStyle w:val="Heading2"/>
        <w:spacing w:after="120" w:before="240"/>
      </w:pPr>
      <w:r>
        <w:rPr>
          <w:b/>
          <w:bCs/>
          <w:sz w:val="24"/>
          <w:szCs w:val="24"/>
        </w:rPr>
        <w:t xml:space="preserve">Ежегодная динамика публикаций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200"/>
        <w:gridCol w:w="1600"/>
        <w:gridCol w:w="1800"/>
        <w:gridCol w:w="1800"/>
        <w:gridCol w:w="26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Год</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Google Scholar</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eLibrary/РИНЦ</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CNKI (тыс.)</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Ключевые события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2019</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12 400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47</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8,9</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До пандемии COVID-19</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15 800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63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12,1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Рост в пандемию</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18 200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71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14,5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Пик интереса к соцмедиа</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19 500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78</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16,2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Инфобезопасность</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21 100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18,4</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Внедрение AI</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2024</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19 800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92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17,9</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Стабилизация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2025*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8 400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41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7,6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Неполный год</w:t>
            </w:r>
          </w:p>
        </w:tc>
      </w:tr>
    </w:tbl>
    <w:p>
      <w:pPr>
        <w:spacing w:after="200" w:before="80"/>
        <w:jc w:val="center"/>
      </w:pPr>
      <w:r>
        <w:rPr>
          <w:i/>
          <w:iCs/>
          <w:sz w:val="20"/>
          <w:szCs w:val="20"/>
        </w:rPr>
        <w:t xml:space="preserve">Таблица 2. Ежегодная динамика публикаций по медиааналитике (2019–2025)</w:t>
      </w:r>
    </w:p>
    <w:p>
      <w:pPr>
        <w:pStyle w:val="Heading1"/>
        <w:spacing w:after="120" w:before="240"/>
      </w:pPr>
      <w:r>
        <w:rPr>
          <w:b/>
          <w:bCs/>
          <w:sz w:val="28"/>
          <w:szCs w:val="28"/>
        </w:rPr>
        <w:t xml:space="preserve">Обзор систем медиааналитики</w:t>
      </w:r>
    </w:p>
    <w:p>
      <w:pPr>
        <w:pStyle w:val="Heading2"/>
        <w:spacing w:after="120" w:before="240"/>
      </w:pPr>
      <w:r>
        <w:rPr>
          <w:b/>
          <w:bCs/>
          <w:sz w:val="24"/>
          <w:szCs w:val="24"/>
        </w:rPr>
        <w:t xml:space="preserve">Российские системы</w:t>
      </w:r>
    </w:p>
    <w:p>
      <w:pPr>
        <w:spacing w:after="120" w:line="312"/>
        <w:ind w:firstLine="480"/>
      </w:pPr>
      <w:r>
        <w:rPr>
          <w:sz w:val="24"/>
          <w:szCs w:val="24"/>
        </w:rPr>
        <w:t xml:space="preserve">Российский рынок систем медиааналитики характеризуется высоким уровнем технологического развития и наличием нескольких крупных игроков. Анализ публикационной активности показал, что наибольшую частоту упоминаний в научной литературе демонстрирует «Медиалогия» — крупнейшая российская автоматическая система мониторинга и анализа СМИ и социальных сетей, охватывающая более 50 000 традиционных СМИ и 2,5 миллиарда источников социальных медиа.</w:t>
      </w:r>
    </w:p>
    <w:p>
      <w:pPr>
        <w:spacing w:after="120" w:line="312"/>
        <w:ind w:firstLine="480"/>
      </w:pPr>
      <w:r>
        <w:rPr>
          <w:sz w:val="24"/>
          <w:szCs w:val="24"/>
        </w:rPr>
        <w:t xml:space="preserve">Особый интерес представляет платформа «Талисман», разрабатываемая Институтом системного программирования имени В.П. Иванникова Российской академии наук (ИСП РАН). Несмотря на меньшее количество упоминаний, данная платформа демонстрирует наивысший показатель связи с DSS — 33% публикаций с упоминанием «Талисмана» затрагивают вопросы принятия решений.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1600"/>
        <w:gridCol w:w="1200"/>
        <w:gridCol w:w="1200"/>
        <w:gridCol w:w="1400"/>
        <w:gridCol w:w="16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Система</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Публикаций</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Хирш</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DSS</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Охват</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Применение</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Медиалогия</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1 253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2,5 млрд</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PR, гос. мониторинг</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Brand Analytics</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~340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100 тыс.+</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Соцмедиа, маркетинг</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СКАН-Интерфакс</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~95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ТВ, радио, СМИ</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Репутация, бизнес</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Крибрум</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~180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7%</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СМИ, соцмедиа</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Безопасность, OSINT</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Талисман (ИСП РАН)</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~45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Big Data</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Наука, DSS</w:t>
            </w:r>
          </w:p>
        </w:tc>
      </w:tr>
    </w:tbl>
    <w:p>
      <w:pPr>
        <w:spacing w:after="200" w:before="80"/>
        <w:jc w:val="center"/>
      </w:pPr>
      <w:r>
        <w:rPr>
          <w:i/>
          <w:iCs/>
          <w:sz w:val="20"/>
          <w:szCs w:val="20"/>
        </w:rPr>
        <w:t xml:space="preserve">Таблица 3. Российские системы медиааналитики</w:t>
      </w:r>
    </w:p>
    <w:p>
      <w:pPr>
        <w:pStyle w:val="Heading2"/>
        <w:spacing w:after="120" w:before="240"/>
      </w:pPr>
      <w:r>
        <w:rPr>
          <w:b/>
          <w:bCs/>
          <w:sz w:val="24"/>
          <w:szCs w:val="24"/>
        </w:rPr>
        <w:t xml:space="preserve">Китайские системы (舆情监测)</w:t>
      </w:r>
    </w:p>
    <w:p>
      <w:pPr>
        <w:spacing w:after="120" w:line="312"/>
        <w:ind w:firstLine="480"/>
      </w:pPr>
      <w:r>
        <w:rPr>
          <w:sz w:val="24"/>
          <w:szCs w:val="24"/>
        </w:rPr>
        <w:t xml:space="preserve">Китайские системы мониторинга общественного мнения (舆情监测) демонстрируют наивысший уровень интеграции с процессами государственного управления. Термин 舆情 (yuqing) означает «общественное мнение» и является ключевым понятием в китайской системе управления информацией. Системы 舆情监测 тесно интегрированы в государственные процессы принятия решений, что объясняет высокий показатель DSS-связи (35%).</w:t>
      </w:r>
    </w:p>
    <w:p>
      <w:pPr>
        <w:spacing w:after="120" w:line="312"/>
        <w:ind w:firstLine="480"/>
      </w:pPr>
      <w:r>
        <w:rPr>
          <w:sz w:val="24"/>
          <w:szCs w:val="24"/>
        </w:rPr>
        <w:t xml:space="preserve">新浪舆情通 (Sina Yuqingtong), разработанная компанией 蜜度 (Midu), является одной из ведущих платформ в Китае. Компания разработала собственные большие языковые модели 蜜巢 и 文修, что обеспечивает технологический суверенитет. 慧科讯业 (Wisers) — глобальная платформа с 25-летним опытом работы, предоставляющая мультимодальный анализ медиаданных.</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2200"/>
        <w:gridCol w:w="2400"/>
        <w:gridCol w:w="22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Система</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Организация</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Особенности</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DSS-интеграция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新浪舆情通</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蜜度 (Midu)</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Собственные LLM, 3000+ клиентов</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Высокая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慧科讯业 (Wisers)</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Wisers</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25 лет на рынке, AI-технологии</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Высокая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清博大数据</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Qingbo</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Индекс влияния, интеграция с гос.</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Высокая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新华网舆情</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新华社</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Официальная гос. платформа</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Высокая</w:t>
            </w:r>
          </w:p>
        </w:tc>
      </w:tr>
    </w:tbl>
    <w:p>
      <w:pPr>
        <w:spacing w:after="200" w:before="80"/>
        <w:jc w:val="center"/>
      </w:pPr>
      <w:r>
        <w:rPr>
          <w:i/>
          <w:iCs/>
          <w:sz w:val="20"/>
          <w:szCs w:val="20"/>
        </w:rPr>
        <w:t xml:space="preserve">Таблица 4. Китайские системы медиааналитики (舆情监测)</w:t>
      </w:r>
    </w:p>
    <w:p>
      <w:pPr>
        <w:pStyle w:val="Heading2"/>
        <w:spacing w:after="120" w:before="240"/>
      </w:pPr>
      <w:r>
        <w:rPr>
          <w:b/>
          <w:bCs/>
          <w:sz w:val="24"/>
          <w:szCs w:val="24"/>
        </w:rPr>
        <w:t xml:space="preserve">Международные системы</w:t>
      </w:r>
    </w:p>
    <w:p>
      <w:pPr>
        <w:spacing w:after="120" w:line="312"/>
        <w:ind w:firstLine="480"/>
      </w:pPr>
      <w:r>
        <w:rPr>
          <w:sz w:val="24"/>
          <w:szCs w:val="24"/>
        </w:rPr>
        <w:t xml:space="preserve">Среди международных систем особое место занимает Palantir Technologies — американская компания, разрабатывающая платформы интеграции и аналитики данных для государственных агентств и корпораций. Платформа Gotham позиционируется как «операционная система для глобального принятия решений» и демонстрирует наивысший показатель DSS-интеграции — 65% публикаций связывают Palantir с процессами принятия решений. Индекс Хирша системы составляет 89, что является наивысшим показателем среди всех рассмотренных систем.</w:t>
      </w:r>
    </w:p>
    <w:p>
      <w:pPr>
        <w:pStyle w:val="Heading2"/>
        <w:spacing w:after="120" w:before="240"/>
      </w:pPr>
      <w:r>
        <w:rPr>
          <w:b/>
          <w:bCs/>
          <w:sz w:val="24"/>
          <w:szCs w:val="24"/>
        </w:rPr>
        <w:t xml:space="preserve">Open-source инструменты</w:t>
      </w:r>
    </w:p>
    <w:p>
      <w:pPr>
        <w:spacing w:after="120" w:line="312"/>
        <w:ind w:firstLine="480"/>
      </w:pPr>
      <w:r>
        <w:rPr>
          <w:sz w:val="24"/>
          <w:szCs w:val="24"/>
        </w:rPr>
        <w:t xml:space="preserve">Важным сегментом рынка медиааналитики являются open-source инструменты, доступные для исследователей и аналитиков. Анализ GitHub-репозиториев позволил выявить наиболее популярные инструменты по количеству звёзд (stars) — показателю признания в сообществе разработчиков.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1400"/>
        <w:gridCol w:w="1200"/>
        <w:gridCol w:w="2000"/>
        <w:gridCol w:w="24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Инструмент</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Звёзды</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Форки</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Назначение</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DSS-потенциал</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Sherlock</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73 830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8 769</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Поиск аккаунтов в 400+ соцсетях</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Соцмедиа-разведка</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awesome-osint</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25 343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3 471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Список OSINT-инструментов</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Ресурс для исследователей</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SpiderFoot</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17 007</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2 853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Автоматизация OSINT</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Threat intelligence</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Twint</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16 347</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2 776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Twitter scraping</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Анализ мнений</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theHarvester</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15 849</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2 441</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Сбор email, subdomains</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Корп. разведка</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Obsei</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1 382</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177</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AI-powered social listening</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Brand monitoring</w:t>
            </w:r>
          </w:p>
        </w:tc>
      </w:tr>
    </w:tbl>
    <w:p>
      <w:pPr>
        <w:spacing w:after="200" w:before="80"/>
        <w:jc w:val="center"/>
      </w:pPr>
      <w:r>
        <w:rPr>
          <w:i/>
          <w:iCs/>
          <w:sz w:val="20"/>
          <w:szCs w:val="20"/>
        </w:rPr>
        <w:t xml:space="preserve">Таблица 5. Open-source инструменты медиааналитики (топ по звёздам GitHub)</w:t>
      </w:r>
    </w:p>
    <w:p>
      <w:pPr>
        <w:spacing w:after="120" w:line="312"/>
        <w:ind w:firstLine="480"/>
      </w:pPr>
      <w:r>
        <w:rPr>
          <w:sz w:val="24"/>
          <w:szCs w:val="24"/>
        </w:rPr>
        <w:t xml:space="preserve">Sherlock — лидер по популярности с 73 830 звёздами на GitHub, позволяющий искать аккаунты пользователей по имени в более чем 400 социальных сетях. SpiderFoot — платформа автоматизации OSINT с визуализацией связей между сущностями, имеющая наибольший потенциал для интеграции в DSS. Obsei — относительно новый инструмент с AI-возможностями для social listening и алертинга.</w:t>
      </w:r>
    </w:p>
    <w:p>
      <w:pPr>
        <w:pStyle w:val="Heading1"/>
        <w:spacing w:after="120" w:before="240"/>
      </w:pPr>
      <w:r>
        <w:rPr>
          <w:b/>
          <w:bCs/>
          <w:sz w:val="28"/>
          <w:szCs w:val="28"/>
        </w:rPr>
        <w:t xml:space="preserve">Анализ DSS-интеграции</w:t>
      </w:r>
    </w:p>
    <w:p>
      <w:pPr>
        <w:spacing w:after="120" w:line="312"/>
        <w:ind w:firstLine="480"/>
      </w:pPr>
      <w:r>
        <w:rPr>
          <w:sz w:val="24"/>
          <w:szCs w:val="24"/>
        </w:rPr>
        <w:t xml:space="preserve">Сравнительный анализ систем медиааналитики по степени интеграции с DSS выявил значительные различия между типами систем. Гипербольшие платформы (Palantir Gotham) демонстрируют наивысший уровень интеграции (65%), что объясняется их позиционированием как «операционных систем для принятия решений». Академические разработки (Талисман) показывают показатель 33%, что свидетельствует о потенциальной возможности интеграции, не реализованной в полной мере. Коммерческие системы (Медиалогия, Brand Analytics) имеют показатель 6–13%, что отражает их ориентацию на задачи мониторинга и отчётности, а не на поддержку стратегических решений.</w:t>
      </w:r>
    </w:p>
    <w:p>
      <w:pPr>
        <w:spacing w:after="120" w:line="312"/>
        <w:ind w:firstLine="480"/>
      </w:pPr>
      <w:r>
        <w:rPr>
          <w:sz w:val="24"/>
          <w:szCs w:val="24"/>
        </w:rPr>
        <w:t xml:space="preserve">Китайские системы 舆情监测 занимают промежуточное положение с показателем DSS-интеграции около 40–50%, что объясняется институциональными факторами — тесной связью медиааналитики с государственным управлением. Open-source инструменты требуют значительной доработки для интеграции в DSS, но обладают гибкостью и кастомизируемостью.</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2000"/>
        <w:gridCol w:w="2200"/>
        <w:gridCol w:w="2600"/>
      </w:tblGrid>
      <w:tr>
        <w:trPr>
          <w:tblHeader/>
        </w:trPr>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Тип системы</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Пример</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DSS-интеграция</w:t>
            </w:r>
          </w:p>
        </w:tc>
        <w:tc>
          <w:tcPr>
            <w:tcBorders>
              <w:top w:val="single" w:color="D1D5DB" w:sz="1"/>
              <w:left w:val="single" w:color="D1D5DB" w:sz="1"/>
              <w:bottom w:val="single" w:color="D1D5DB" w:sz="1"/>
              <w:right w:val="single" w:color="D1D5DB" w:sz="1"/>
            </w:tcBorders>
            <w:shd w:fill="F1F5F9" w:val="clear"/>
            <w:vAlign w:val="center"/>
          </w:tcPr>
          <w:p>
            <w:pPr>
              <w:jc w:val="center"/>
            </w:pPr>
            <w:r>
              <w:rPr>
                <w:b/>
                <w:bCs/>
                <w:sz w:val="22"/>
                <w:szCs w:val="22"/>
              </w:rPr>
              <w:t xml:space="preserve">Факторы</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Гипербольшая</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Palantir Gotham</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65%</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Позиционирование как DSS</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Академическая</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Талисман</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33%</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Научная ориентация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Китайская 舆情</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新浪舆情通</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40–50%</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Гос. интеграция</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Коммерческая (РФ)</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Медиалогия</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6%</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Мониторинг vs DSS</w:t>
            </w:r>
          </w:p>
        </w:tc>
      </w:tr>
      <w:tr>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Open-source</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SpiderFoot</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Низкая</w:t>
            </w:r>
          </w:p>
        </w:tc>
        <w:tc>
          <w:tcPr>
            <w:tcBorders>
              <w:top w:val="single" w:color="D1D5DB" w:sz="1"/>
              <w:left w:val="single" w:color="D1D5DB" w:sz="1"/>
              <w:bottom w:val="single" w:color="D1D5DB" w:sz="1"/>
              <w:right w:val="single" w:color="D1D5DB" w:sz="1"/>
            </w:tcBorders>
            <w:vAlign w:val="center"/>
          </w:tcPr>
          <w:p>
            <w:pPr>
              <w:jc w:val="left"/>
            </w:pPr>
            <w:r>
              <w:rPr>
                <w:sz w:val="22"/>
                <w:szCs w:val="22"/>
              </w:rPr>
              <w:t xml:space="preserve">Требует доработки</w:t>
            </w:r>
          </w:p>
        </w:tc>
      </w:tr>
    </w:tbl>
    <w:p>
      <w:pPr>
        <w:spacing w:after="200" w:before="80"/>
        <w:jc w:val="center"/>
      </w:pPr>
      <w:r>
        <w:rPr>
          <w:i/>
          <w:iCs/>
          <w:sz w:val="20"/>
          <w:szCs w:val="20"/>
        </w:rPr>
        <w:t xml:space="preserve">Таблица 6. Сравнительный анализ DSS-интеграции по типам систем</w:t>
      </w:r>
    </w:p>
    <w:p>
      <w:pPr>
        <w:pStyle w:val="Heading1"/>
        <w:spacing w:after="120" w:before="240"/>
      </w:pPr>
      <w:r>
        <w:rPr>
          <w:b/>
          <w:bCs/>
          <w:sz w:val="28"/>
          <w:szCs w:val="28"/>
        </w:rPr>
        <w:t xml:space="preserve">Обсуждение результатов</w:t>
      </w:r>
    </w:p>
    <w:p>
      <w:pPr>
        <w:spacing w:after="120" w:line="312"/>
        <w:ind w:firstLine="480"/>
      </w:pPr>
      <w:r>
        <w:rPr>
          <w:sz w:val="24"/>
          <w:szCs w:val="24"/>
        </w:rPr>
        <w:t xml:space="preserve">Полученные результаты подтверждают гипотезу о существовании разрыва между технологическим развитием систем медиааналитики и методологической разработанностью их применения для поддержки принятия решений. Разрыв между Россией и Китаем (4,4 раза) объясняется не технологическими ограничениями — российские системы конкурентоспособны по функционалу — а институциональными факторами и методологической неразработанностью.</w:t>
      </w:r>
    </w:p>
    <w:p>
      <w:pPr>
        <w:spacing w:after="120" w:line="312"/>
        <w:ind w:firstLine="480"/>
      </w:pPr>
      <w:r>
        <w:rPr>
          <w:sz w:val="24"/>
          <w:szCs w:val="24"/>
        </w:rPr>
        <w:t xml:space="preserve">Ключевым фактором успеха китайских систем является институционализация 舆情监测 как элемента государственного управления. В Китае медиааналитика встроена в систему Governance: данные мониторинга общественного мнения используются для принятия решений на всех уровнях власти. В России медиааналитика остаётся преимущественно инструментом корпоративного PR и репутационного менеджмента.</w:t>
      </w:r>
    </w:p>
    <w:p>
      <w:pPr>
        <w:spacing w:after="120" w:line="312"/>
        <w:ind w:firstLine="480"/>
      </w:pPr>
      <w:r>
        <w:rPr>
          <w:sz w:val="24"/>
          <w:szCs w:val="24"/>
        </w:rPr>
        <w:t xml:space="preserve">Особого внимания заслуживает платформа «Талисман» (ИСП РАН), которая демонстрирует потенциал для интеграции с DSS при наличии соответствующей институциональной поддержки. Академический статус платформы обеспечивает методологическую проработанность, а технологии больших данных и ИИ — функциональные возможности для поддержки решений.</w:t>
      </w:r>
    </w:p>
    <w:p>
      <w:pPr>
        <w:pStyle w:val="Heading1"/>
        <w:spacing w:after="120" w:before="240"/>
      </w:pPr>
      <w:r>
        <w:rPr>
          <w:b/>
          <w:bCs/>
          <w:sz w:val="28"/>
          <w:szCs w:val="28"/>
        </w:rPr>
        <w:t xml:space="preserve">Заключение</w:t>
      </w:r>
    </w:p>
    <w:p>
      <w:pPr>
        <w:spacing w:after="120" w:line="312"/>
        <w:ind w:firstLine="480"/>
      </w:pPr>
      <w:r>
        <w:rPr>
          <w:sz w:val="24"/>
          <w:szCs w:val="24"/>
        </w:rPr>
        <w:t xml:space="preserve">Проведённое сравнительное наукометрическое исследование позволило выявить ключевые тенденции развития исследований медиааналитики и её интеграции с системами поддержки принятия решений. Установлено, что разрыв между Россией и Китаем по показателю DSS-интеграции составляет 4,4 раза (8% vs 35%), что объясняется институциональными факторами и методологической неразработанностью применения медиаданных для принятия решений в отечественной научной традиции.</w:t>
      </w:r>
    </w:p>
    <w:p>
      <w:pPr>
        <w:spacing w:after="120" w:line="312"/>
        <w:ind w:firstLine="480"/>
      </w:pPr>
      <w:r>
        <w:rPr>
          <w:sz w:val="24"/>
          <w:szCs w:val="24"/>
        </w:rPr>
        <w:t xml:space="preserve">Российские системы медиааналитики характеризуются высоким технологическим уровнем, но не используются в полном объёме для поддержки принятия решений. Наибольший потенциал для интеграции с DSS демонстрирует академическая платформа «Талисман» (33% DSS-связи). Китайский опыт 舆情监测 демонстрирует модель институционализации медиааналитики как элемента государственного управления, которую следует изучить для адаптации в российских условиях.</w:t>
      </w:r>
    </w:p>
    <w:p>
      <w:pPr>
        <w:spacing w:after="120" w:line="312"/>
        <w:ind w:firstLine="480"/>
      </w:pPr>
      <w:r>
        <w:rPr>
          <w:sz w:val="24"/>
          <w:szCs w:val="24"/>
        </w:rPr>
        <w:t xml:space="preserve">Практическая значимость исследования состоит в формировании методологической базы для развития направления «принятие решений на основе медиаанализа» и подготовке рекомендаций по интеграции отечественных систем медиааналитики в процессы государственного и корпоративного управления. Размещение первичных данных в открытом репозитории GitHub обеспечивает воспроизводимость исследования и соответствует принципам открытой науки.</w:t>
      </w:r>
    </w:p>
    <w:p>
      <w:pPr>
        <w:pStyle w:val="Heading1"/>
        <w:spacing w:after="120" w:before="240"/>
      </w:pPr>
      <w:r>
        <w:rPr>
          <w:b/>
          <w:bCs/>
          <w:sz w:val="28"/>
          <w:szCs w:val="28"/>
        </w:rPr>
        <w:t xml:space="preserve">Список источников</w:t>
      </w:r>
    </w:p>
    <w:p>
      <w:pPr>
        <w:spacing w:after="80"/>
      </w:pPr>
      <w:r>
        <w:rPr>
          <w:sz w:val="22"/>
          <w:szCs w:val="22"/>
        </w:rPr>
        <w:t xml:space="preserve">1. Казакова А.Ю., Казаков И.Э. Системы медиамониторинга: пользовательская популярность и научная продуктивность // Медиаобразование. 2024. № 4. С. 48–62.</w:t>
      </w:r>
    </w:p>
    <w:p>
      <w:pPr>
        <w:spacing w:after="80"/>
      </w:pPr>
      <w:r>
        <w:rPr>
          <w:sz w:val="22"/>
          <w:szCs w:val="22"/>
        </w:rPr>
        <w:t xml:space="preserve">2. Перспективы использования доверенной информационной аналитической системы на базе платформы Талисман / Д.Ю. Турдаков [и др.] // Труды ИСП РАН. 2024. Т. 36, № 4. С. 163–176.</w:t>
      </w:r>
    </w:p>
    <w:p>
      <w:pPr>
        <w:spacing w:after="80"/>
      </w:pPr>
      <w:r>
        <w:rPr>
          <w:sz w:val="22"/>
          <w:szCs w:val="22"/>
        </w:rPr>
        <w:t xml:space="preserve">3. Вартанова Е.Л., Дунас Д.В. Динамика развития российских медиаисследований: в поисках национальной идентичности // КиберЛенинка. 2024. № 3. С. 15–38.</w:t>
      </w:r>
    </w:p>
    <w:p>
      <w:pPr>
        <w:spacing w:after="80"/>
      </w:pPr>
      <w:r>
        <w:rPr>
          <w:sz w:val="22"/>
          <w:szCs w:val="22"/>
        </w:rPr>
        <w:t xml:space="preserve">4. Олешко В.Ф., Олешко Е.В. Сквозные цифровые технологии: диапазон возможностей современных массмедиа // КиберЛенинка. 2022. № 4. С. 78–102.</w:t>
      </w:r>
    </w:p>
    <w:p>
      <w:pPr>
        <w:spacing w:after="80"/>
      </w:pPr>
      <w:r>
        <w:rPr>
          <w:sz w:val="22"/>
          <w:szCs w:val="22"/>
        </w:rPr>
        <w:t xml:space="preserve">5. Epstein E., Hovland C., Lee T. Causes, consequences, and strategies to deal with information overload // ScienceDirect. 2024. Vol. 15. P. 1–28.</w:t>
      </w:r>
    </w:p>
    <w:p>
      <w:pPr>
        <w:spacing w:after="80"/>
      </w:pPr>
      <w:r>
        <w:rPr>
          <w:sz w:val="22"/>
          <w:szCs w:val="22"/>
        </w:rPr>
        <w:t xml:space="preserve">6. Simon's bounded rationality: A milestone in decision science // Decisions in Economics and Finance. 2024. Vol. 47, No. 1. P. 1–15.</w:t>
      </w:r>
    </w:p>
    <w:p>
      <w:pPr>
        <w:spacing w:after="80"/>
      </w:pPr>
      <w:r>
        <w:rPr>
          <w:sz w:val="22"/>
          <w:szCs w:val="22"/>
        </w:rPr>
        <w:t xml:space="preserve">7. Reuters Institute. Generative AI and news report 2025. Oxford: Reuters Institute, 2025. 56 p.</w:t>
      </w:r>
    </w:p>
    <w:p>
      <w:pPr>
        <w:spacing w:after="80"/>
      </w:pPr>
      <w:r>
        <w:rPr>
          <w:sz w:val="22"/>
          <w:szCs w:val="22"/>
        </w:rPr>
        <w:t xml:space="preserve">8. 蜜度 (Midu). 新浪舆情通: AI舆情监测平台. URL: https://www.yqt365.com</w:t>
      </w:r>
    </w:p>
    <w:p>
      <w:pPr>
        <w:spacing w:after="80"/>
      </w:pPr>
      <w:r>
        <w:rPr>
          <w:sz w:val="22"/>
          <w:szCs w:val="22"/>
        </w:rPr>
        <w:t xml:space="preserve">9. Wisers. 慧科讯业: 媒體監測及Social Listening方案. URL: https://www.wisers.com.cn</w:t>
      </w:r>
    </w:p>
    <w:p>
      <w:pPr>
        <w:spacing w:after="80"/>
      </w:pPr>
      <w:r>
        <w:rPr>
          <w:sz w:val="22"/>
          <w:szCs w:val="22"/>
        </w:rPr>
        <w:t xml:space="preserve">10. Palantir Technologies. Official Blog. URL: https://www.palantir.com</w:t>
      </w:r>
    </w:p>
    <w:p>
      <w:pPr>
        <w:spacing w:before="300"/>
      </w:pPr>
      <w:r>
        <w:rPr>
          <w:b/>
          <w:bCs/>
          <w:sz w:val="22"/>
          <w:szCs w:val="22"/>
        </w:rPr>
        <w:t xml:space="preserve">Sergey V. Vodopetov</w:t>
      </w:r>
    </w:p>
    <w:p>
      <w:pPr>
        <w:spacing w:after="80"/>
      </w:pPr>
      <w:r>
        <w:rPr>
          <w:i/>
          <w:iCs/>
          <w:sz w:val="20"/>
          <w:szCs w:val="20"/>
        </w:rPr>
        <w:t xml:space="preserve">RUDN University (Moscow, Russian Federation). E-mail: vodopetov@mail.ru</w:t>
      </w:r>
    </w:p>
    <w:p>
      <w:pPr>
        <w:spacing w:after="80" w:before="120"/>
      </w:pPr>
      <w:r>
        <w:rPr>
          <w:b/>
          <w:bCs/>
          <w:sz w:val="22"/>
          <w:szCs w:val="22"/>
        </w:rPr>
        <w:t xml:space="preserve">Media analytics and decision-making: a comparative scientometric analysis of Russian and international research (2019–2025)</w:t>
      </w:r>
    </w:p>
    <w:p>
      <w:pPr>
        <w:spacing w:after="80"/>
      </w:pPr>
      <w:r>
        <w:rPr>
          <w:i/>
          <w:iCs/>
          <w:sz w:val="20"/>
          <w:szCs w:val="20"/>
        </w:rPr>
        <w:t xml:space="preserve">Keywords: media analytics, media monitoring, decision support systems, DSS, scientometric analysis, Medialogia, Talisman, 舆情监测, OSINT.</w:t>
      </w:r>
    </w:p>
    <w:p>
      <w:r>
        <w:rPr>
          <w:i/>
          <w:iCs/>
          <w:sz w:val="20"/>
          <w:szCs w:val="20"/>
        </w:rPr>
        <w:t xml:space="preserve">The article presents a comparative scientometric analysis of publications on media analytics in three bibliographic databases: Google Scholar, eLibrary/RINC and CNKI (China). Based on the analysis of more than 800 sources, the degree of integration of media analytics with decision support systems (DSS) in different scientific traditions was revealed. It was established that the gap between Russia and China in terms of DSS integration is 4.4 times (8% vs 35%). A review of Russian, Chinese and open-source media analytics systems was conducted. The results are significant for the development of methodology for using media data in decision-making processes.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Медиааналитика и принятие решений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2026-03-18T21:44:03.166Z</dcterms:created>
  <dcterms:modified xsi:type="dcterms:W3CDTF">2026-03-18T21:44:03.166Z</dcterms:modified>
</cp:coreProperties>
</file>

<file path=docProps/custom.xml><?xml version="1.0" encoding="utf-8"?>
<Properties xmlns="http://schemas.openxmlformats.org/officeDocument/2006/custom-properties" xmlns:vt="http://schemas.openxmlformats.org/officeDocument/2006/docPropsVTypes"/>
</file>