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1clara-nfasis5"/>
        <w:tblpPr w:leftFromText="141" w:rightFromText="141" w:horzAnchor="margin" w:tblpY="525"/>
        <w:tblW w:w="0" w:type="auto"/>
        <w:tblLook w:val="04A0" w:firstRow="1" w:lastRow="0" w:firstColumn="1" w:lastColumn="0" w:noHBand="0" w:noVBand="1"/>
      </w:tblPr>
      <w:tblGrid>
        <w:gridCol w:w="968"/>
        <w:gridCol w:w="1170"/>
        <w:gridCol w:w="6690"/>
      </w:tblGrid>
      <w:tr w:rsidR="009D38D7" w:rsidRPr="009D38D7" w14:paraId="524C7586" w14:textId="77777777" w:rsidTr="009D3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C3780" w14:textId="77777777" w:rsidR="009D38D7" w:rsidRPr="009D38D7" w:rsidRDefault="009D38D7" w:rsidP="009D38D7">
            <w:pPr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Sección</w:t>
            </w:r>
          </w:p>
        </w:tc>
        <w:tc>
          <w:tcPr>
            <w:tcW w:w="0" w:type="auto"/>
            <w:hideMark/>
          </w:tcPr>
          <w:p w14:paraId="70BA304B" w14:textId="77777777" w:rsidR="009D38D7" w:rsidRPr="009D38D7" w:rsidRDefault="009D38D7" w:rsidP="009D38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Elemento</w:t>
            </w:r>
          </w:p>
        </w:tc>
        <w:tc>
          <w:tcPr>
            <w:tcW w:w="0" w:type="auto"/>
            <w:hideMark/>
          </w:tcPr>
          <w:p w14:paraId="31DBA4C2" w14:textId="77777777" w:rsidR="009D38D7" w:rsidRPr="009D38D7" w:rsidRDefault="009D38D7" w:rsidP="009D38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Contenido</w:t>
            </w:r>
          </w:p>
        </w:tc>
      </w:tr>
      <w:tr w:rsidR="009D38D7" w:rsidRPr="009D38D7" w14:paraId="289082B1" w14:textId="77777777" w:rsidTr="009D3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587B8" w14:textId="77777777" w:rsidR="009D38D7" w:rsidRPr="009D38D7" w:rsidRDefault="009D38D7" w:rsidP="009D38D7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Intro</w:t>
            </w:r>
          </w:p>
        </w:tc>
        <w:tc>
          <w:tcPr>
            <w:tcW w:w="0" w:type="auto"/>
            <w:hideMark/>
          </w:tcPr>
          <w:p w14:paraId="38748937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Título</w:t>
            </w:r>
          </w:p>
        </w:tc>
        <w:tc>
          <w:tcPr>
            <w:tcW w:w="0" w:type="auto"/>
            <w:hideMark/>
          </w:tcPr>
          <w:p w14:paraId="69C0E7FB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Soluciones de Visualización de ViewSonic</w:t>
            </w:r>
          </w:p>
        </w:tc>
      </w:tr>
      <w:tr w:rsidR="009D38D7" w:rsidRPr="009D38D7" w14:paraId="73538C7A" w14:textId="77777777" w:rsidTr="009D3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29977" w14:textId="77777777" w:rsidR="009D38D7" w:rsidRPr="009D38D7" w:rsidRDefault="009D38D7" w:rsidP="009D38D7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57F649EA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Copy</w:t>
            </w:r>
          </w:p>
        </w:tc>
        <w:tc>
          <w:tcPr>
            <w:tcW w:w="0" w:type="auto"/>
            <w:hideMark/>
          </w:tcPr>
          <w:p w14:paraId="1E7E6E20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ViewSonic ofrece soluciones visuales diseñadas para optimizar la productividad, la comunicación y la colaboración en entornos empresariales y educativos. A través de MacPower, acceda a tecnologías confiables, fáciles de implementar y adaptadas a las necesidades de su operación.</w:t>
            </w:r>
          </w:p>
        </w:tc>
      </w:tr>
    </w:tbl>
    <w:p w14:paraId="0554B015" w14:textId="24AA744D" w:rsidR="00EF67A2" w:rsidRPr="00482592" w:rsidRDefault="009D38D7" w:rsidP="00482592">
      <w:pPr>
        <w:jc w:val="center"/>
        <w:rPr>
          <w:rFonts w:cstheme="minorHAnsi"/>
          <w:b/>
          <w:bCs/>
          <w:sz w:val="28"/>
          <w:szCs w:val="28"/>
        </w:rPr>
      </w:pPr>
      <w:r w:rsidRPr="00482592">
        <w:rPr>
          <w:rFonts w:cstheme="minorHAnsi"/>
          <w:b/>
          <w:bCs/>
          <w:sz w:val="28"/>
          <w:szCs w:val="28"/>
        </w:rPr>
        <w:t>SECCIÓN SUPERIOR</w:t>
      </w:r>
    </w:p>
    <w:p w14:paraId="66FAB67B" w14:textId="7EB38424" w:rsidR="009D38D7" w:rsidRPr="00482592" w:rsidRDefault="009D38D7" w:rsidP="00482592">
      <w:pPr>
        <w:jc w:val="center"/>
        <w:rPr>
          <w:rFonts w:cstheme="minorHAnsi"/>
          <w:b/>
          <w:bCs/>
          <w:sz w:val="28"/>
          <w:szCs w:val="28"/>
        </w:rPr>
      </w:pPr>
      <w:r w:rsidRPr="00482592">
        <w:rPr>
          <w:rFonts w:cstheme="minorHAnsi"/>
          <w:b/>
          <w:bCs/>
          <w:sz w:val="28"/>
          <w:szCs w:val="28"/>
        </w:rPr>
        <w:t>SECCIÓN CENTRAL</w:t>
      </w:r>
    </w:p>
    <w:tbl>
      <w:tblPr>
        <w:tblStyle w:val="Tablaconcuadrcula1clara-nfasis5"/>
        <w:tblW w:w="0" w:type="auto"/>
        <w:tblLook w:val="04A0" w:firstRow="1" w:lastRow="0" w:firstColumn="1" w:lastColumn="0" w:noHBand="0" w:noVBand="1"/>
      </w:tblPr>
      <w:tblGrid>
        <w:gridCol w:w="1937"/>
        <w:gridCol w:w="6891"/>
      </w:tblGrid>
      <w:tr w:rsidR="009D38D7" w:rsidRPr="009D38D7" w14:paraId="106ECC07" w14:textId="77777777" w:rsidTr="009D3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44EE8" w14:textId="77777777" w:rsidR="009D38D7" w:rsidRPr="009D38D7" w:rsidRDefault="009D38D7" w:rsidP="009D38D7">
            <w:pPr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Categoría</w:t>
            </w:r>
          </w:p>
        </w:tc>
        <w:tc>
          <w:tcPr>
            <w:tcW w:w="0" w:type="auto"/>
            <w:hideMark/>
          </w:tcPr>
          <w:p w14:paraId="2BC3C524" w14:textId="77777777" w:rsidR="009D38D7" w:rsidRPr="009D38D7" w:rsidRDefault="009D38D7" w:rsidP="009D38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Copy</w:t>
            </w:r>
          </w:p>
        </w:tc>
      </w:tr>
      <w:tr w:rsidR="009D38D7" w:rsidRPr="009D38D7" w14:paraId="30689515" w14:textId="77777777" w:rsidTr="009D3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5D9C6" w14:textId="77777777" w:rsidR="009D38D7" w:rsidRPr="009D38D7" w:rsidRDefault="009D38D7" w:rsidP="009D38D7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Proyectores Láser</w:t>
            </w:r>
          </w:p>
        </w:tc>
        <w:tc>
          <w:tcPr>
            <w:tcW w:w="0" w:type="auto"/>
            <w:hideMark/>
          </w:tcPr>
          <w:p w14:paraId="60D0415E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Proyectores con tecnología láser DLP diseñados para entornos que requieren alto desempeño, continuidad operativa y bajo mantenimiento. Ofrecen imágenes brillantes, larga vida útil y flexibilidad de instalación para espacios corporativos, educativos y de gran formato.</w:t>
            </w:r>
          </w:p>
        </w:tc>
      </w:tr>
      <w:tr w:rsidR="009D38D7" w:rsidRPr="009D38D7" w14:paraId="6B167A70" w14:textId="77777777" w:rsidTr="009D3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C099E" w14:textId="77777777" w:rsidR="009D38D7" w:rsidRPr="009D38D7" w:rsidRDefault="009D38D7" w:rsidP="009D38D7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Pantallas Interactivas</w:t>
            </w:r>
          </w:p>
        </w:tc>
        <w:tc>
          <w:tcPr>
            <w:tcW w:w="0" w:type="auto"/>
            <w:hideMark/>
          </w:tcPr>
          <w:p w14:paraId="2F79B4B6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Las pantallas interactivas ViewBoard permiten optimizar la colaboración y la productividad con una experiencia táctil intuitiva, integración de software y herramientas que facilitan la gestión de contenidos y el trabajo en equipo.</w:t>
            </w:r>
          </w:p>
        </w:tc>
      </w:tr>
      <w:tr w:rsidR="009D38D7" w:rsidRPr="009D38D7" w14:paraId="20CB4D82" w14:textId="77777777" w:rsidTr="009D3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41019" w14:textId="77777777" w:rsidR="009D38D7" w:rsidRPr="009D38D7" w:rsidRDefault="009D38D7" w:rsidP="009D38D7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Monitores</w:t>
            </w:r>
          </w:p>
        </w:tc>
        <w:tc>
          <w:tcPr>
            <w:tcW w:w="0" w:type="auto"/>
            <w:hideMark/>
          </w:tcPr>
          <w:p w14:paraId="11CA8133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Un portafolio completo que cubre desde necesidades básicas de oficina hasta entornos profesionales exigentes. Incluye monitores para edición, soluciones con docking USB-C para videoconferencia y equipos de alto desempeño para aplicaciones especializadas y gaming.</w:t>
            </w:r>
          </w:p>
        </w:tc>
      </w:tr>
      <w:tr w:rsidR="009D38D7" w:rsidRPr="009D38D7" w14:paraId="2DDB7EED" w14:textId="77777777" w:rsidTr="009D3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92EBF" w14:textId="77777777" w:rsidR="009D38D7" w:rsidRPr="009D38D7" w:rsidRDefault="009D38D7" w:rsidP="009D38D7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Pantallas Industriales (Digital Signage)</w:t>
            </w:r>
          </w:p>
        </w:tc>
        <w:tc>
          <w:tcPr>
            <w:tcW w:w="0" w:type="auto"/>
            <w:hideMark/>
          </w:tcPr>
          <w:p w14:paraId="083329E9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Soluciones de señalización digital diseñadas para operación continua y gestión eficiente de contenidos. Ideales para entornos comerciales y corporativos que requieren comunicar de forma clara, dinámica y con alto impacto visual.</w:t>
            </w:r>
          </w:p>
        </w:tc>
      </w:tr>
    </w:tbl>
    <w:p w14:paraId="20E6037E" w14:textId="0489FC3A" w:rsidR="009D38D7" w:rsidRPr="00482592" w:rsidRDefault="009D38D7" w:rsidP="00482592">
      <w:pPr>
        <w:jc w:val="center"/>
        <w:rPr>
          <w:rFonts w:cstheme="minorHAnsi"/>
          <w:b/>
          <w:bCs/>
          <w:sz w:val="28"/>
          <w:szCs w:val="28"/>
        </w:rPr>
      </w:pPr>
      <w:r w:rsidRPr="00482592">
        <w:rPr>
          <w:rFonts w:cstheme="minorHAnsi"/>
          <w:b/>
          <w:bCs/>
          <w:sz w:val="28"/>
          <w:szCs w:val="28"/>
        </w:rPr>
        <w:t>SECCIÓN INFERIOR</w:t>
      </w:r>
    </w:p>
    <w:tbl>
      <w:tblPr>
        <w:tblStyle w:val="Tablaconcuadrcula1clara-nfasis5"/>
        <w:tblW w:w="0" w:type="auto"/>
        <w:tblLook w:val="04A0" w:firstRow="1" w:lastRow="0" w:firstColumn="1" w:lastColumn="0" w:noHBand="0" w:noVBand="1"/>
      </w:tblPr>
      <w:tblGrid>
        <w:gridCol w:w="1040"/>
        <w:gridCol w:w="1170"/>
        <w:gridCol w:w="6618"/>
      </w:tblGrid>
      <w:tr w:rsidR="009D38D7" w:rsidRPr="009D38D7" w14:paraId="538A6ADB" w14:textId="77777777" w:rsidTr="009D3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B306B" w14:textId="77777777" w:rsidR="009D38D7" w:rsidRPr="009D38D7" w:rsidRDefault="009D38D7" w:rsidP="009D38D7">
            <w:pPr>
              <w:jc w:val="center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Sección</w:t>
            </w:r>
          </w:p>
        </w:tc>
        <w:tc>
          <w:tcPr>
            <w:tcW w:w="0" w:type="auto"/>
            <w:hideMark/>
          </w:tcPr>
          <w:p w14:paraId="5D5D5FAC" w14:textId="77777777" w:rsidR="009D38D7" w:rsidRPr="009D38D7" w:rsidRDefault="009D38D7" w:rsidP="009D38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Elemento</w:t>
            </w:r>
          </w:p>
        </w:tc>
        <w:tc>
          <w:tcPr>
            <w:tcW w:w="0" w:type="auto"/>
            <w:hideMark/>
          </w:tcPr>
          <w:p w14:paraId="622C2B6A" w14:textId="77777777" w:rsidR="009D38D7" w:rsidRPr="009D38D7" w:rsidRDefault="009D38D7" w:rsidP="009D38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Contenido</w:t>
            </w:r>
          </w:p>
        </w:tc>
      </w:tr>
      <w:tr w:rsidR="009D38D7" w:rsidRPr="009D38D7" w14:paraId="4AB7E520" w14:textId="77777777" w:rsidTr="009D3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23C3D" w14:textId="77777777" w:rsidR="009D38D7" w:rsidRPr="009D38D7" w:rsidRDefault="009D38D7" w:rsidP="009D38D7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CTA Final</w:t>
            </w:r>
          </w:p>
        </w:tc>
        <w:tc>
          <w:tcPr>
            <w:tcW w:w="0" w:type="auto"/>
            <w:hideMark/>
          </w:tcPr>
          <w:p w14:paraId="223D9A1F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Título</w:t>
            </w:r>
          </w:p>
        </w:tc>
        <w:tc>
          <w:tcPr>
            <w:tcW w:w="0" w:type="auto"/>
            <w:hideMark/>
          </w:tcPr>
          <w:p w14:paraId="304E6650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Optimice sus espacios con soluciones ViewSonic</w:t>
            </w:r>
          </w:p>
        </w:tc>
      </w:tr>
      <w:tr w:rsidR="009D38D7" w:rsidRPr="009D38D7" w14:paraId="69D1A664" w14:textId="77777777" w:rsidTr="009D3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DE335" w14:textId="77777777" w:rsidR="009D38D7" w:rsidRPr="009D38D7" w:rsidRDefault="009D38D7" w:rsidP="009D38D7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5A620EEA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Copy</w:t>
            </w:r>
          </w:p>
        </w:tc>
        <w:tc>
          <w:tcPr>
            <w:tcW w:w="0" w:type="auto"/>
            <w:hideMark/>
          </w:tcPr>
          <w:p w14:paraId="7EE31CB7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Descubra cómo las soluciones de ViewSonic pueden integrarse en su operación con el respaldo y acompañamiento de MacPower.</w:t>
            </w:r>
          </w:p>
        </w:tc>
      </w:tr>
      <w:tr w:rsidR="009D38D7" w:rsidRPr="009D38D7" w14:paraId="71D2F37F" w14:textId="77777777" w:rsidTr="009D3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94BBB" w14:textId="77777777" w:rsidR="009D38D7" w:rsidRPr="009D38D7" w:rsidRDefault="009D38D7" w:rsidP="009D38D7">
            <w:pPr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530B1302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CTA</w:t>
            </w:r>
          </w:p>
        </w:tc>
        <w:tc>
          <w:tcPr>
            <w:tcW w:w="0" w:type="auto"/>
            <w:hideMark/>
          </w:tcPr>
          <w:p w14:paraId="6AE517E7" w14:textId="77777777" w:rsidR="009D38D7" w:rsidRPr="009D38D7" w:rsidRDefault="009D38D7" w:rsidP="009D3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9D38D7">
              <w:rPr>
                <w:rFonts w:eastAsia="Times New Roman" w:cstheme="minorHAnsi"/>
                <w:sz w:val="24"/>
                <w:szCs w:val="24"/>
                <w:lang w:eastAsia="es-CO"/>
              </w:rPr>
              <w:t>Conozca más con MacPower / Solicite asesoría especializada</w:t>
            </w:r>
          </w:p>
        </w:tc>
      </w:tr>
    </w:tbl>
    <w:p w14:paraId="28ACCD9D" w14:textId="77777777" w:rsidR="009D38D7" w:rsidRPr="009D38D7" w:rsidRDefault="009D38D7">
      <w:pPr>
        <w:rPr>
          <w:rFonts w:cstheme="minorHAnsi"/>
          <w:sz w:val="24"/>
          <w:szCs w:val="24"/>
        </w:rPr>
      </w:pPr>
    </w:p>
    <w:sectPr w:rsidR="009D38D7" w:rsidRPr="009D3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D7"/>
    <w:rsid w:val="00482592"/>
    <w:rsid w:val="009D38D7"/>
    <w:rsid w:val="00E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4A2B"/>
  <w15:chartTrackingRefBased/>
  <w15:docId w15:val="{CA18038E-6B60-420E-9033-7C3B08A8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D38D7"/>
    <w:rPr>
      <w:b/>
      <w:bCs/>
    </w:rPr>
  </w:style>
  <w:style w:type="table" w:styleId="Tablaconcuadrcula1clara-nfasis5">
    <w:name w:val="Grid Table 1 Light Accent 5"/>
    <w:basedOn w:val="Tablanormal"/>
    <w:uiPriority w:val="46"/>
    <w:rsid w:val="009D38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Martinez Garzon</dc:creator>
  <cp:keywords/>
  <dc:description/>
  <cp:lastModifiedBy>Richard Martinez Garzon</cp:lastModifiedBy>
  <cp:revision>3</cp:revision>
  <dcterms:created xsi:type="dcterms:W3CDTF">2026-04-09T22:26:00Z</dcterms:created>
  <dcterms:modified xsi:type="dcterms:W3CDTF">2026-04-09T22:42:00Z</dcterms:modified>
</cp:coreProperties>
</file>