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53E" w:rsidRPr="00B55166" w:rsidRDefault="007D653E" w:rsidP="007D653E">
      <w:pPr>
        <w:jc w:val="center"/>
        <w:rPr>
          <w:b/>
        </w:rPr>
      </w:pPr>
    </w:p>
    <w:p w:rsidR="007D653E" w:rsidRPr="00732A1C" w:rsidRDefault="007D653E" w:rsidP="007D653E">
      <w:pPr>
        <w:jc w:val="center"/>
        <w:rPr>
          <w:b/>
          <w:sz w:val="20"/>
          <w:szCs w:val="20"/>
        </w:rPr>
      </w:pPr>
      <w:r w:rsidRPr="00732A1C">
        <w:rPr>
          <w:b/>
          <w:sz w:val="20"/>
          <w:szCs w:val="20"/>
        </w:rPr>
        <w:t>CERTIFICADO DE CONFORMIDAD REF. 0006985 BLÍSTER AVANZADO PLUS</w:t>
      </w:r>
      <w:r>
        <w:rPr>
          <w:b/>
          <w:sz w:val="20"/>
          <w:szCs w:val="20"/>
        </w:rPr>
        <w:t>, LOTE: @NUM_LOTE@</w:t>
      </w:r>
    </w:p>
    <w:p w:rsidR="007D653E" w:rsidRPr="00732A1C" w:rsidRDefault="007D653E" w:rsidP="007D653E">
      <w:pPr>
        <w:jc w:val="both"/>
        <w:rPr>
          <w:sz w:val="20"/>
          <w:szCs w:val="20"/>
        </w:rPr>
      </w:pPr>
      <w:r w:rsidRPr="00732A1C">
        <w:rPr>
          <w:sz w:val="20"/>
          <w:szCs w:val="20"/>
        </w:rPr>
        <w:t>Declaramos la conformidad de las condiciones de almacenamiento y fabricación de los elementos primarios que conforman el producto denominado Ref. 0006985 Blíster Avanzado Plus.</w:t>
      </w:r>
    </w:p>
    <w:p w:rsidR="007D653E" w:rsidRPr="00732A1C" w:rsidRDefault="007D653E" w:rsidP="007D653E">
      <w:pPr>
        <w:jc w:val="both"/>
        <w:rPr>
          <w:sz w:val="20"/>
          <w:szCs w:val="20"/>
        </w:rPr>
      </w:pPr>
      <w:r w:rsidRPr="00732A1C">
        <w:rPr>
          <w:sz w:val="20"/>
          <w:szCs w:val="20"/>
        </w:rPr>
        <w:t>El producto consta de dos componentes de envasado: Tapa blíster y bandeja blíster desarrollados para funcionar como un blíster pack.</w:t>
      </w:r>
    </w:p>
    <w:p w:rsidR="007D653E" w:rsidRPr="00732A1C" w:rsidRDefault="007D653E" w:rsidP="007D653E">
      <w:pPr>
        <w:jc w:val="both"/>
        <w:rPr>
          <w:sz w:val="20"/>
          <w:szCs w:val="20"/>
        </w:rPr>
      </w:pPr>
      <w:r w:rsidRPr="00732A1C">
        <w:rPr>
          <w:sz w:val="20"/>
          <w:szCs w:val="20"/>
        </w:rPr>
        <w:t>Son elementos primarios homologados los cuales garantizan su inocuidad con el contenido y adecuada protección de estos ante agentes externos, cumpliendo asimismo los requerimientos legales definidos en las normas y regulaciones exigidas en la Directiva Europea del contacto con medicamentos que son definidas a continuación junto con las directrices establecidas en la Farmacopea Europea Edición 11.</w:t>
      </w:r>
    </w:p>
    <w:p w:rsidR="007D653E" w:rsidRPr="00732A1C" w:rsidRDefault="007D653E" w:rsidP="007D653E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732A1C">
        <w:rPr>
          <w:sz w:val="20"/>
          <w:szCs w:val="20"/>
        </w:rPr>
        <w:t>Reglamento (CE) Nº 1935 / 2004</w:t>
      </w:r>
    </w:p>
    <w:p w:rsidR="007D653E" w:rsidRPr="00732A1C" w:rsidRDefault="007D653E" w:rsidP="007D653E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732A1C">
        <w:rPr>
          <w:sz w:val="20"/>
          <w:szCs w:val="20"/>
        </w:rPr>
        <w:t>Reglamento (CE) Nº 2023 / 2006</w:t>
      </w:r>
    </w:p>
    <w:p w:rsidR="007D653E" w:rsidRPr="00732A1C" w:rsidRDefault="007D653E" w:rsidP="007D653E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732A1C">
        <w:rPr>
          <w:sz w:val="20"/>
          <w:szCs w:val="20"/>
        </w:rPr>
        <w:t>Reglamento (UE) Nº 2020 / 1245</w:t>
      </w:r>
    </w:p>
    <w:p w:rsidR="007D653E" w:rsidRPr="00732A1C" w:rsidRDefault="007D653E" w:rsidP="007D653E">
      <w:pPr>
        <w:spacing w:after="0"/>
        <w:jc w:val="both"/>
        <w:rPr>
          <w:sz w:val="20"/>
          <w:szCs w:val="20"/>
        </w:rPr>
      </w:pPr>
      <w:r w:rsidRPr="00732A1C">
        <w:rPr>
          <w:sz w:val="20"/>
          <w:szCs w:val="20"/>
        </w:rPr>
        <w:t xml:space="preserve">                                                          </w:t>
      </w:r>
      <w:r>
        <w:rPr>
          <w:sz w:val="20"/>
          <w:szCs w:val="20"/>
        </w:rPr>
        <w:t xml:space="preserve">     </w:t>
      </w:r>
      <w:r w:rsidRPr="00732A1C">
        <w:rPr>
          <w:sz w:val="20"/>
          <w:szCs w:val="20"/>
        </w:rPr>
        <w:t xml:space="preserve"> </w:t>
      </w:r>
      <w:proofErr w:type="spellStart"/>
      <w:r w:rsidRPr="00732A1C">
        <w:rPr>
          <w:sz w:val="20"/>
          <w:szCs w:val="20"/>
        </w:rPr>
        <w:t>Fagor</w:t>
      </w:r>
      <w:proofErr w:type="spellEnd"/>
      <w:r w:rsidRPr="00732A1C">
        <w:rPr>
          <w:sz w:val="20"/>
          <w:szCs w:val="20"/>
        </w:rPr>
        <w:t xml:space="preserve"> </w:t>
      </w:r>
      <w:proofErr w:type="spellStart"/>
      <w:r w:rsidRPr="00732A1C">
        <w:rPr>
          <w:sz w:val="20"/>
          <w:szCs w:val="20"/>
        </w:rPr>
        <w:t>Healthcare</w:t>
      </w:r>
      <w:proofErr w:type="spellEnd"/>
      <w:r w:rsidRPr="00732A1C">
        <w:rPr>
          <w:sz w:val="20"/>
          <w:szCs w:val="20"/>
        </w:rPr>
        <w:t xml:space="preserve"> S. </w:t>
      </w:r>
      <w:proofErr w:type="spellStart"/>
      <w:r w:rsidRPr="00732A1C">
        <w:rPr>
          <w:sz w:val="20"/>
          <w:szCs w:val="20"/>
        </w:rPr>
        <w:t>Coop</w:t>
      </w:r>
      <w:proofErr w:type="spellEnd"/>
      <w:r w:rsidRPr="00732A1C">
        <w:rPr>
          <w:sz w:val="20"/>
          <w:szCs w:val="20"/>
        </w:rPr>
        <w:t>.</w:t>
      </w:r>
    </w:p>
    <w:p w:rsidR="007D653E" w:rsidRPr="00732A1C" w:rsidRDefault="007D653E" w:rsidP="007D653E">
      <w:pPr>
        <w:spacing w:after="0"/>
        <w:jc w:val="both"/>
        <w:rPr>
          <w:sz w:val="20"/>
          <w:szCs w:val="20"/>
        </w:rPr>
      </w:pPr>
      <w:r w:rsidRPr="00732A1C">
        <w:rPr>
          <w:sz w:val="20"/>
          <w:szCs w:val="20"/>
        </w:rPr>
        <w:t xml:space="preserve">                          </w:t>
      </w:r>
      <w:r>
        <w:rPr>
          <w:sz w:val="20"/>
          <w:szCs w:val="20"/>
        </w:rPr>
        <w:t xml:space="preserve">         </w:t>
      </w:r>
      <w:proofErr w:type="spellStart"/>
      <w:r w:rsidRPr="00732A1C">
        <w:rPr>
          <w:sz w:val="20"/>
          <w:szCs w:val="20"/>
        </w:rPr>
        <w:t>Arrasate</w:t>
      </w:r>
      <w:proofErr w:type="spellEnd"/>
      <w:r w:rsidRPr="00732A1C">
        <w:rPr>
          <w:sz w:val="20"/>
          <w:szCs w:val="20"/>
        </w:rPr>
        <w:t xml:space="preserve">-Mondragón, </w:t>
      </w:r>
      <w:r>
        <w:rPr>
          <w:sz w:val="20"/>
          <w:szCs w:val="20"/>
        </w:rPr>
        <w:t>@FECHA_LOTE@</w:t>
      </w:r>
    </w:p>
    <w:p w:rsidR="007D653E" w:rsidRDefault="007D653E" w:rsidP="007D653E">
      <w:pPr>
        <w:spacing w:after="0"/>
        <w:jc w:val="both"/>
      </w:pPr>
      <w:r>
        <w:rPr>
          <w:noProof/>
          <w:lang w:eastAsia="es-ES"/>
        </w:rPr>
        <w:drawing>
          <wp:inline distT="0" distB="0" distL="0" distR="0" wp14:anchorId="5E9D623D" wp14:editId="56CE9719">
            <wp:extent cx="3168015" cy="741680"/>
            <wp:effectExtent l="0" t="0" r="0" b="1270"/>
            <wp:docPr id="73756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67668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18" w:rsidRDefault="00D45218">
      <w:bookmarkStart w:id="0" w:name="_GoBack"/>
      <w:bookmarkEnd w:id="0"/>
    </w:p>
    <w:sectPr w:rsidR="00D45218" w:rsidSect="00732A1C">
      <w:headerReference w:type="default" r:id="rId6"/>
      <w:pgSz w:w="8391" w:h="11906" w:code="1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7A3" w:rsidRDefault="007D653E">
    <w:pPr>
      <w:pStyle w:val="Encabezado"/>
    </w:pPr>
    <w:r>
      <w:t xml:space="preserve">                                                                                                                                        </w:t>
    </w:r>
    <w:r>
      <w:rPr>
        <w:noProof/>
        <w:lang w:eastAsia="es-ES"/>
      </w:rPr>
      <w:drawing>
        <wp:inline distT="0" distB="0" distL="0" distR="0" wp14:anchorId="0F62712C" wp14:editId="4E9C4E45">
          <wp:extent cx="1022571" cy="471519"/>
          <wp:effectExtent l="19050" t="0" r="6129" b="0"/>
          <wp:docPr id="4" name="Imagen 3" descr="F:\FMD\COMERCIAL\Imagen Corporativa\Logos\Fagor Healthcare\FAGOR Healthcare - 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:\FMD\COMERCIAL\Imagen Corporativa\Logos\Fagor Healthcare\FAGOR Healthcare - copi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49" cy="4728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B90125"/>
    <w:multiLevelType w:val="hybridMultilevel"/>
    <w:tmpl w:val="15BE6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53E"/>
    <w:rsid w:val="007D653E"/>
    <w:rsid w:val="00D4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2A571-FF48-4B53-A28C-C384DD49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5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65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53E"/>
  </w:style>
  <w:style w:type="paragraph" w:styleId="Prrafodelista">
    <w:name w:val="List Paragraph"/>
    <w:basedOn w:val="Normal"/>
    <w:uiPriority w:val="34"/>
    <w:qFormat/>
    <w:rsid w:val="007D6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</dc:creator>
  <cp:keywords/>
  <dc:description/>
  <cp:lastModifiedBy>Josu</cp:lastModifiedBy>
  <cp:revision>1</cp:revision>
  <dcterms:created xsi:type="dcterms:W3CDTF">2025-04-03T08:04:00Z</dcterms:created>
  <dcterms:modified xsi:type="dcterms:W3CDTF">2025-04-03T08:05:00Z</dcterms:modified>
</cp:coreProperties>
</file>