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A7578" w:rsidRDefault="00000000">
      <w:pPr>
        <w:spacing w:after="280"/>
        <w:jc w:val="center"/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8"/>
          <w:szCs w:val="28"/>
        </w:rPr>
        <w:t>Propuesta de Implementación para Evaluación de Segmentaciones de Patrones Pixelares Asociados a Patología por Oftalmólogos Retinólogos</w:t>
      </w:r>
    </w:p>
    <w:p w14:paraId="00000002" w14:textId="77777777" w:rsidR="001A7578" w:rsidRDefault="001A7578">
      <w:pPr>
        <w:spacing w:before="280" w:after="280"/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</w:pPr>
    </w:p>
    <w:p w14:paraId="00000003" w14:textId="09FA59BC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 xml:space="preserve">Mejor ruta de implementación </w:t>
      </w:r>
    </w:p>
    <w:p w14:paraId="00000004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 xml:space="preserve">Recomendado: </w:t>
      </w:r>
      <w:hyperlink r:id="rId5">
        <w:r w:rsidR="001A7578">
          <w:rPr>
            <w:rFonts w:ascii="Quattrocento Sans" w:eastAsia="Quattrocento Sans" w:hAnsi="Quattrocento Sans" w:cs="Quattrocento Sans"/>
            <w:b/>
            <w:bCs/>
            <w:color w:val="467886"/>
            <w:sz w:val="21"/>
            <w:szCs w:val="21"/>
            <w:u w:val="single"/>
          </w:rPr>
          <w:t>Grand Challenge – Reader Studies</w:t>
        </w:r>
      </w:hyperlink>
    </w:p>
    <w:p w14:paraId="00000005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Diseñado específicamente para estudios de lectores en imágenes médicas. Puedes subir imágenes de fondo de ojo RGB, adjuntar la segmentación del modelo como superposición/máscara, definir preguntas por imagen (Likert, opción múltiple, texto libre), aleatorizar el orden de los casos, gestionar lectores y exportar resultados para estadísticas. Es utilizado por grandes comunidades y artículos recientes para la curación de conjuntos de expertos.</w:t>
      </w:r>
    </w:p>
    <w:p w14:paraId="0000000A" w14:textId="77777777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Preguntas mínimas y enfocadas en la tarea (2 por imagen)</w:t>
      </w:r>
    </w:p>
    <w:p w14:paraId="0000000B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Mantén las preguntas cortas y orientadas a la decisión. Usa una escala forzada (sin opción neutral) para evitar respuestas “seguras” y alinearte con la puntuación de aceptabilidad clínica vista en la literatura de calidad de imagen (Análisis/Regresión de Gradación Visual).</w:t>
      </w:r>
    </w:p>
    <w:p w14:paraId="0000000C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sz w:val="21"/>
          <w:szCs w:val="21"/>
        </w:rPr>
      </w:pPr>
      <w:r>
        <w:rPr>
          <w:rFonts w:ascii="Quattrocento Sans" w:eastAsia="Quattrocento Sans" w:hAnsi="Quattrocento Sans" w:cs="Quattrocento Sans"/>
          <w:sz w:val="21"/>
          <w:szCs w:val="21"/>
        </w:rPr>
        <w:t xml:space="preserve">Referencias: </w:t>
      </w:r>
      <w:hyperlink r:id="rId6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  <w:r>
        <w:rPr>
          <w:rFonts w:ascii="Quattrocento Sans" w:eastAsia="Quattrocento Sans" w:hAnsi="Quattrocento Sans" w:cs="Quattrocento Sans"/>
          <w:sz w:val="21"/>
          <w:szCs w:val="21"/>
        </w:rPr>
        <w:t xml:space="preserve">, </w:t>
      </w:r>
      <w:hyperlink r:id="rId7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2</w:t>
        </w:r>
      </w:hyperlink>
    </w:p>
    <w:p w14:paraId="0000000D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P1. Aceptabilidad clínica (escala forzada de 4 puntos)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br/>
        <w:t>“¿Qué tan aceptable clínicamente es esta segmentación de microaneurismas?”</w:t>
      </w:r>
    </w:p>
    <w:p w14:paraId="0000000E" w14:textId="77777777" w:rsidR="001A7578" w:rsidRDefault="00000000">
      <w:pPr>
        <w:numPr>
          <w:ilvl w:val="0"/>
          <w:numId w:val="1"/>
        </w:numPr>
        <w:spacing w:before="280"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No aceptable (inutilizable; no confiaría)</w:t>
      </w:r>
    </w:p>
    <w:p w14:paraId="0000000F" w14:textId="77777777" w:rsidR="001A7578" w:rsidRDefault="00000000">
      <w:pPr>
        <w:numPr>
          <w:ilvl w:val="0"/>
          <w:numId w:val="1"/>
        </w:numP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Se requieren ediciones mayores (correcciones sustanciales antes de usar)</w:t>
      </w:r>
    </w:p>
    <w:p w14:paraId="00000010" w14:textId="77777777" w:rsidR="001A7578" w:rsidRDefault="00000000">
      <w:pPr>
        <w:numPr>
          <w:ilvl w:val="0"/>
          <w:numId w:val="1"/>
        </w:numP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Se requieren ediciones menores (correcciones pequeñas y rápidas)</w:t>
      </w:r>
    </w:p>
    <w:p w14:paraId="00000011" w14:textId="77777777" w:rsidR="001A7578" w:rsidRDefault="00000000">
      <w:pPr>
        <w:numPr>
          <w:ilvl w:val="0"/>
          <w:numId w:val="1"/>
        </w:numPr>
        <w:spacing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Aceptable tal cual (no se necesitan ediciones)</w:t>
      </w:r>
    </w:p>
    <w:p w14:paraId="00000012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P2. Confianza en la captura de lesiones (5 puntos)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br/>
        <w:t>“¿Qué tan seguro estás de que los contornos capturan los microaneurismas presentes en esta imagen suficientemente bien para la toma de decisiones?”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br/>
        <w:t>Nada seguro … 5) Extremadamente seguro</w:t>
      </w:r>
    </w:p>
    <w:p w14:paraId="00000013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(Opcional texto libre por imagen: “Si elegiste 1–3 en alguna pregunta, ¿qué está mal (microaneurismas omitidos, falsos positivos, problemas de límites, otro)?”)</w:t>
      </w:r>
    </w:p>
    <w:p w14:paraId="00000014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Presentación: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 Muestra dos paneles: (A) fondo de ojo RGB original; (B) misma imagen con superposición de contorno delgado (con opción de activar/desactivar). Aleatoriza el orden de los casos por lector.</w:t>
      </w:r>
    </w:p>
    <w:p w14:paraId="00000015" w14:textId="77777777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Diseño del estudio + bosquejo de tamaño de muestra</w:t>
      </w:r>
    </w:p>
    <w:p w14:paraId="00000016" w14:textId="77777777" w:rsidR="001A7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Diseño: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Multi-Lector Multi-Caso (MRMC), completamente cruzado si es posible (cada experto califica cada caso). Esto permite una descomposición robusta de la varianza entre 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lastRenderedPageBreak/>
        <w:t xml:space="preserve">lectores/casos y habilita comparaciones formales de modalidad/herramienta cuando sea necesario. </w:t>
      </w:r>
      <w:hyperlink r:id="rId8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</w:p>
    <w:p w14:paraId="00000017" w14:textId="77777777" w:rsidR="001A7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Lectores: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Especialistas en retina (y becarios senior si quieres un segundo nivel de lector).</w:t>
      </w:r>
    </w:p>
    <w:p w14:paraId="00000018" w14:textId="77777777" w:rsidR="001A7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Casos: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Tu subconjunto de prueba, estratificado por severidad de retinopatía diabética y calidad de imagen (asegura suficiente variación positiva/negativa de microaneurismas).</w:t>
      </w:r>
    </w:p>
    <w:p w14:paraId="00000019" w14:textId="77777777" w:rsidR="001A7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Aleatorización: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Mezcla el orden de las imágenes por lector; mantén constante la condición de superposición (tu objetivo es evaluar los contornos de IA).</w:t>
      </w:r>
    </w:p>
    <w:p w14:paraId="0000001A" w14:textId="77777777" w:rsidR="001A7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Exportación: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Puntajes ordinales por imagen + marcas de tiempo + ID de lector.</w:t>
      </w:r>
    </w:p>
    <w:p w14:paraId="0000001B" w14:textId="77777777" w:rsidR="001A7578" w:rsidRDefault="001A75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</w:p>
    <w:p w14:paraId="0000001C" w14:textId="77777777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Estadísticas que puedes realizar con las opiniones recolectadas</w:t>
      </w:r>
    </w:p>
    <w:p w14:paraId="0000001D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No estás pidiendo a los lectores que localicen lesiones; estás recolectando juicios ordinales de aceptabilidad clínica. Esto sugiere </w:t>
      </w: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Análisis/Regresión de Gradación Visual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como marco principal, además de métricas de confiabilidad y un vínculo con la calidad objetiva de la máscara contra un consenso de referencia.</w:t>
      </w:r>
    </w:p>
    <w:p w14:paraId="0000001E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Punto final principal: Gradación Visual (aceptabilidad)</w:t>
      </w:r>
    </w:p>
    <w:p w14:paraId="0000001F" w14:textId="77777777" w:rsidR="001A757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Trata P1/P2 (pregunta 1 y pregunta 2) como resultados ordinales y ajusta modelos mixtos de enlace acumulativo (proportional odds / momios proporcionales) con efectos aleatorios para lector y caso. Compara aceptación entre subgrupos (por ejemplo, calidad de imagen, grado de retinopatía). Resume con probabilidades predichas de “Aceptable tal cual” y Área bajo la curva de Característica de Gradación Visual (VGC) al comparar condiciones/versiones. </w:t>
      </w:r>
      <w:hyperlink r:id="rId9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  <w:r>
        <w:rPr>
          <w:rFonts w:ascii="Quattrocento Sans" w:eastAsia="Quattrocento Sans" w:hAnsi="Quattrocento Sans" w:cs="Quattrocento Sans"/>
          <w:sz w:val="21"/>
          <w:szCs w:val="21"/>
        </w:rPr>
        <w:t xml:space="preserve">, </w:t>
      </w:r>
      <w:hyperlink r:id="rId10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2</w:t>
        </w:r>
      </w:hyperlink>
    </w:p>
    <w:p w14:paraId="00000020" w14:textId="77777777" w:rsidR="001A7578" w:rsidRDefault="001A75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</w:p>
    <w:p w14:paraId="00000021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Confiabilidad entre evaluadores</w:t>
      </w:r>
    </w:p>
    <w:p w14:paraId="00000022" w14:textId="77777777" w:rsidR="001A757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Kappa de Fleiss (o kappa ponderado) en aceptabilidad binarizada (por ejemplo, Aceptable tal cual vs. no). Reporta kappa con intervalos de confianza del 95%.</w:t>
      </w:r>
    </w:p>
    <w:p w14:paraId="00000023" w14:textId="77777777" w:rsidR="001A7578" w:rsidRDefault="001A75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</w:p>
    <w:p w14:paraId="00000024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Vincula la aceptabilidad subjetiva con la calidad objetiva de la segmentación</w:t>
      </w:r>
    </w:p>
    <w:p w14:paraId="00000025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Construye una máscara de consenso de expertos usando STAPLE (fusión probabilística de múltiples ediciones o máscaras corregidas de expertos). Esto reduce el sesgo de un solo evaluador y te da una “verdad de referencia suave”. </w:t>
      </w:r>
      <w:hyperlink r:id="rId11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  <w:r>
        <w:rPr>
          <w:rFonts w:ascii="Quattrocento Sans" w:eastAsia="Quattrocento Sans" w:hAnsi="Quattrocento Sans" w:cs="Quattrocento Sans"/>
          <w:sz w:val="21"/>
          <w:szCs w:val="21"/>
        </w:rPr>
        <w:t xml:space="preserve">, </w:t>
      </w:r>
      <w:hyperlink r:id="rId12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2</w:t>
        </w:r>
      </w:hyperlink>
    </w:p>
    <w:p w14:paraId="00000026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Calcula IoU/Dice/Pixel-F1 entre la máscara del modelo y el consenso STAPLE.</w:t>
      </w:r>
    </w:p>
    <w:p w14:paraId="00000027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Correlaciona los puntajes ordinales de P1/P2 con métricas objetivas (rho de Spearman, tau de Kendall).</w:t>
      </w:r>
    </w:p>
    <w:p w14:paraId="00000028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Prueba si las imágenes calificadas como “aceptable tal cual” muestran valores significativamente más altos de Dice/IoU (asociación ordinal-mixta a continua).</w:t>
      </w:r>
    </w:p>
    <w:p w14:paraId="0000002B" w14:textId="77777777" w:rsidR="001A7578" w:rsidRDefault="001A7578" w:rsidP="001C0CE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</w:p>
    <w:p w14:paraId="0000002C" w14:textId="77777777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Detalles operativos (para lanzar rápido)</w:t>
      </w:r>
    </w:p>
    <w:p w14:paraId="0000002D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En Grand Challenge:</w:t>
      </w:r>
    </w:p>
    <w:p w14:paraId="0000002E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Sube los casos como PNG/JPEG (fondo de ojo RGB). Sube la segmentación por caso como etiqueta/máscara; configura el estudio de lectores para mostrarla como contorno o superposición semitransparente.</w:t>
      </w:r>
    </w:p>
    <w:p w14:paraId="0000002F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Crea las dos preguntas anteriores como requeridas por caso.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br/>
        <w:t>Agrega un campo opcional de texto libre para tipo de error (microaneurisma omitido, falso positivo, límite).</w:t>
      </w:r>
    </w:p>
    <w:p w14:paraId="00000030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Asigna lectores, fija fecha límite, haz una prueba piloto con 3–5 casos para verificar la </w:t>
      </w:r>
    </w:p>
    <w:p w14:paraId="00000031" w14:textId="77777777" w:rsidR="001A757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interfaz y visibilidad de la superposición, luego publica. Exporta CSV para estadísticas. </w:t>
      </w:r>
      <w:hyperlink r:id="rId13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</w:p>
    <w:p w14:paraId="00000032" w14:textId="77777777" w:rsidR="001A7578" w:rsidRDefault="001A757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</w:p>
    <w:p w14:paraId="00000033" w14:textId="77777777" w:rsidR="001A7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Interpretación de resultados y reporte</w:t>
      </w:r>
    </w:p>
    <w:p w14:paraId="00000034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Métrica principal de éxito:</w:t>
      </w:r>
      <w:r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% de imágenes calificadas como “Aceptable tal cual” y “≤ ediciones menores”, con intervalos de confianza del 95%, general y estratificado por grado de retinopatía/calidad de imagen/proveedor/cámara.</w:t>
      </w:r>
    </w:p>
    <w:p w14:paraId="00000035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Modelo vs. expertos: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 Muestra que alta aceptabilidad coincide con alto Dice/IoU vs. consenso STAPLE; incluye gráficos de dispersión/violín y efectos de regresión ordinal. </w:t>
      </w:r>
      <w:hyperlink r:id="rId14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</w:p>
    <w:p w14:paraId="00000036" w14:textId="77777777" w:rsidR="001A757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Confiabilidad: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 Reporta kappa para demostrar consistencia entre expertos en retina.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br/>
      </w: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Análisis de sensibilidad:</w:t>
      </w: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> Repite el análisis agrupando 3–4 en “clínicamente usable” para probar robustez.</w:t>
      </w:r>
    </w:p>
    <w:p w14:paraId="00000037" w14:textId="77777777" w:rsidR="001A7578" w:rsidRDefault="00000000">
      <w:pPr>
        <w:spacing w:before="280" w:after="280"/>
        <w:rPr>
          <w:rFonts w:ascii="Quattrocento Sans" w:eastAsia="Quattrocento Sans" w:hAnsi="Quattrocento Sans" w:cs="Quattrocento Sans"/>
          <w:color w:val="000000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1"/>
          <w:szCs w:val="21"/>
        </w:rPr>
        <w:t>Por qué esto se alinea con tu hipótesis</w:t>
      </w:r>
    </w:p>
    <w:p w14:paraId="00000038" w14:textId="77777777" w:rsidR="001A7578" w:rsidRDefault="00000000">
      <w:pPr>
        <w:spacing w:before="280" w:after="280"/>
      </w:pPr>
      <w:r>
        <w:rPr>
          <w:rFonts w:ascii="Quattrocento Sans" w:eastAsia="Quattrocento Sans" w:hAnsi="Quattrocento Sans" w:cs="Quattrocento Sans"/>
          <w:color w:val="000000"/>
          <w:sz w:val="21"/>
          <w:szCs w:val="21"/>
        </w:rPr>
        <w:t xml:space="preserve">Sospechas que el modelo puede estar detectando señales de microaneurismas a nivel de píxel que algunas máscaras de expertos pasan por alto. Al (a) preguntar a los expertos si usarían los contornos tal cual, y (b) construir una referencia de consenso (STAPLE) para comparar calidad objetiva, pruebas directamente si la aceptabilidad clínica y el acuerdo de consenso favorecen la salida del modelo—precisamente lo que necesitas para argumentar utilidad clínica. </w:t>
      </w:r>
      <w:hyperlink r:id="rId15">
        <w:r w:rsidR="001A7578">
          <w:rPr>
            <w:rFonts w:ascii="Quattrocento Sans" w:eastAsia="Quattrocento Sans" w:hAnsi="Quattrocento Sans" w:cs="Quattrocento Sans"/>
            <w:color w:val="1155CC"/>
            <w:sz w:val="21"/>
            <w:szCs w:val="21"/>
            <w:u w:val="single"/>
          </w:rPr>
          <w:t>1</w:t>
        </w:r>
      </w:hyperlink>
    </w:p>
    <w:sectPr w:rsidR="001A757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1772BC32-8BAE-FE4B-A595-B63F3A59054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12AE52B-A3DF-E345-A680-76BF5437BA8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B9B266F5-E0A9-2746-A3A3-4C31A879A857}"/>
    <w:embedItalic r:id="rId4" w:fontKey="{3FE26ADE-8DCF-4A42-AE2F-CCCB6A29143F}"/>
  </w:font>
  <w:font w:name="Play">
    <w:charset w:val="00"/>
    <w:family w:val="auto"/>
    <w:pitch w:val="default"/>
    <w:embedRegular r:id="rId5" w:fontKey="{EC04EC37-68DF-3440-A633-C208B85743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9C1A6BF-9740-974D-A351-5636B4C2DCBC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7" w:fontKey="{F60AF6C5-0D80-E549-BAA0-96F112DA4C6F}"/>
    <w:embedBold r:id="rId8" w:fontKey="{03E50CBD-D87D-EB40-B011-69FE035F07E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8D09C032-215B-804A-8CE0-D7ADDCA9F0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835C2CC5-B2DE-C540-B060-39BAA86AF57C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11" w:fontKey="{DF64365F-2540-D247-AB60-FD3C80DA3C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813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EC25DCB"/>
    <w:multiLevelType w:val="multilevel"/>
    <w:tmpl w:val="18745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CD374CB"/>
    <w:multiLevelType w:val="multilevel"/>
    <w:tmpl w:val="9FA89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25398359">
    <w:abstractNumId w:val="1"/>
  </w:num>
  <w:num w:numId="2" w16cid:durableId="1339622797">
    <w:abstractNumId w:val="0"/>
  </w:num>
  <w:num w:numId="3" w16cid:durableId="1059402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78"/>
    <w:rsid w:val="001A7578"/>
    <w:rsid w:val="001C0CE6"/>
    <w:rsid w:val="005633BD"/>
    <w:rsid w:val="0095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F49EB"/>
  <w15:docId w15:val="{5E7E7D7D-6B5A-A64A-A7D9-286EE25D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shstat.org/presentations/20190923/Wen.pdf" TargetMode="External"/><Relationship Id="rId13" Type="http://schemas.openxmlformats.org/officeDocument/2006/relationships/hyperlink" Target="https://grand-challenge.org/reader-stud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diographyonline.com/article/S1078-8174(19)30088-4/abstract" TargetMode="External"/><Relationship Id="rId12" Type="http://schemas.openxmlformats.org/officeDocument/2006/relationships/hyperlink" Target="https://www.semanticscholar.org/paper/A-Tutorial-Introduction-to-STAPLE-Warfield-Warfield/7ffb4089da0dfcbb0443a9deb65a64e65c56526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2313-433X/11/4/100" TargetMode="External"/><Relationship Id="rId11" Type="http://schemas.openxmlformats.org/officeDocument/2006/relationships/hyperlink" Target="https://ieeexplore.ieee.org/document/1309714" TargetMode="External"/><Relationship Id="rId5" Type="http://schemas.openxmlformats.org/officeDocument/2006/relationships/hyperlink" Target="https://grand-challenge.org/reader-studies/" TargetMode="External"/><Relationship Id="rId15" Type="http://schemas.openxmlformats.org/officeDocument/2006/relationships/hyperlink" Target="https://ieeexplore.ieee.org/document/1309714" TargetMode="External"/><Relationship Id="rId10" Type="http://schemas.openxmlformats.org/officeDocument/2006/relationships/hyperlink" Target="https://researchoutput.csu.edu.au/ws/portalfiles/portal/75666753/Ahmed_Al_Humairi_Thesi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313-433X/11/4/100" TargetMode="External"/><Relationship Id="rId14" Type="http://schemas.openxmlformats.org/officeDocument/2006/relationships/hyperlink" Target="https://ieeexplore.ieee.org/document/130971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1029</Words>
  <Characters>6077</Characters>
  <Application>Microsoft Office Word</Application>
  <DocSecurity>0</DocSecurity>
  <Lines>104</Lines>
  <Paragraphs>57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Gener Avilés R</cp:lastModifiedBy>
  <cp:revision>3</cp:revision>
  <dcterms:created xsi:type="dcterms:W3CDTF">2025-12-29T01:31:00Z</dcterms:created>
  <dcterms:modified xsi:type="dcterms:W3CDTF">2025-12-29T01:37:00Z</dcterms:modified>
</cp:coreProperties>
</file>