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C40B0A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C40B0A" w14:paraId="58B14525" w14:textId="77777777" w:rsidTr="2A65F433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0BE2B651" w14:textId="77777777" w:rsidTr="2A65F433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3104DA9F" w14:textId="77777777" w:rsidTr="2A65F433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77777777" w:rsidR="00C40B0A" w:rsidRPr="006D6BC5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72CDF0A1" w14:textId="77777777" w:rsidTr="2A65F433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056F8921" w:rsidR="00C40B0A" w:rsidRPr="003352CE" w:rsidRDefault="2A65F433" w:rsidP="003352C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352CE">
              <w:rPr>
                <w:rFonts w:ascii="Calibri" w:eastAsia="Calibri" w:hAnsi="Calibri" w:cs="Calibri"/>
                <w:b/>
                <w:bCs/>
              </w:rPr>
              <w:t>Ultrasonido de Hígado y Vías biliares</w:t>
            </w:r>
          </w:p>
        </w:tc>
      </w:tr>
      <w:tr w:rsidR="00C40B0A" w14:paraId="1AE720F7" w14:textId="77777777" w:rsidTr="2A65F433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77777777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381" w:type="dxa"/>
        <w:tblInd w:w="-567" w:type="dxa"/>
        <w:tblLook w:val="04A0" w:firstRow="1" w:lastRow="0" w:firstColumn="1" w:lastColumn="0" w:noHBand="0" w:noVBand="1"/>
      </w:tblPr>
      <w:tblGrid>
        <w:gridCol w:w="10381"/>
      </w:tblGrid>
      <w:tr w:rsidR="00C40B0A" w14:paraId="44CF9AC5" w14:textId="77777777" w:rsidTr="2A65F433">
        <w:trPr>
          <w:trHeight w:val="146"/>
        </w:trPr>
        <w:tc>
          <w:tcPr>
            <w:tcW w:w="10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2A65F433">
        <w:trPr>
          <w:trHeight w:val="718"/>
        </w:trPr>
        <w:tc>
          <w:tcPr>
            <w:tcW w:w="1038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11162010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2A65F433">
              <w:rPr>
                <w:rFonts w:ascii="Calibri" w:eastAsia="Calibri" w:hAnsi="Calibri" w:cs="Calibri"/>
              </w:rPr>
              <w:t xml:space="preserve">Se realiza estudio de ultrasonido solicitado con equipo de alta resolución y transductor convexo multifrecuencia (5-7 </w:t>
            </w:r>
            <w:proofErr w:type="spellStart"/>
            <w:r w:rsidRPr="2A65F433">
              <w:rPr>
                <w:rFonts w:ascii="Calibri" w:eastAsia="Calibri" w:hAnsi="Calibri" w:cs="Calibri"/>
              </w:rPr>
              <w:t>Mhz</w:t>
            </w:r>
            <w:proofErr w:type="spellEnd"/>
            <w:r w:rsidRPr="2A65F433">
              <w:rPr>
                <w:rFonts w:ascii="Calibri" w:eastAsia="Calibri" w:hAnsi="Calibri" w:cs="Calibri"/>
              </w:rPr>
              <w:t>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359" w:type="dxa"/>
        <w:tblInd w:w="-567" w:type="dxa"/>
        <w:tblLook w:val="04A0" w:firstRow="1" w:lastRow="0" w:firstColumn="1" w:lastColumn="0" w:noHBand="0" w:noVBand="1"/>
      </w:tblPr>
      <w:tblGrid>
        <w:gridCol w:w="10359"/>
      </w:tblGrid>
      <w:tr w:rsidR="00C40B0A" w14:paraId="302078CF" w14:textId="77777777" w:rsidTr="2A65F433">
        <w:trPr>
          <w:trHeight w:val="64"/>
        </w:trPr>
        <w:tc>
          <w:tcPr>
            <w:tcW w:w="10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0F800F72" w:rsidR="00C40B0A" w:rsidRDefault="2A65F433" w:rsidP="0086313A">
            <w:pPr>
              <w:pStyle w:val="Sinespaciado"/>
            </w:pPr>
            <w:r w:rsidRPr="2A65F433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2A65F433">
        <w:trPr>
          <w:trHeight w:val="4979"/>
        </w:trPr>
        <w:tc>
          <w:tcPr>
            <w:tcW w:w="1035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B0023E2" w14:textId="0F6C7B6E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2A65F433">
              <w:rPr>
                <w:rFonts w:ascii="Calibri" w:eastAsia="Calibri" w:hAnsi="Calibri" w:cs="Calibri"/>
                <w:i/>
                <w:iCs/>
              </w:rPr>
              <w:t>Hígado</w:t>
            </w:r>
            <w:r w:rsidRPr="2A65F433">
              <w:rPr>
                <w:rFonts w:ascii="Calibri" w:eastAsia="Calibri" w:hAnsi="Calibri" w:cs="Calibri"/>
              </w:rPr>
              <w:t xml:space="preserve"> de morfología y situación habituales, se muestra de contornos regulares y bien delimitados, en el lóbulo derecho se encuentra con un eje longitudinal de xx cm. El patrón ecográfico se encuentra homogéneo sin evidencia de lesiones focales o difusas demostrables por este protocolo de estudio, la relación hepatorrenal sin agregados. Las venas supra hepáticas y porta se encuentran de calibre sin alteraciones, y a la exploración con función Doppler color se encuentran con saturación conservada.</w:t>
            </w:r>
          </w:p>
          <w:p w14:paraId="63FAE7D2" w14:textId="77777777" w:rsidR="007C7C9F" w:rsidRDefault="007C7C9F" w:rsidP="007C7C9F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vena porta:</w:t>
            </w:r>
          </w:p>
          <w:p w14:paraId="2B9C5269" w14:textId="77777777" w:rsidR="007C7C9F" w:rsidRDefault="007C7C9F" w:rsidP="007C7C9F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vía biliar extrahepática:</w:t>
            </w:r>
          </w:p>
          <w:p w14:paraId="3F966E87" w14:textId="75414A95" w:rsidR="00C40B0A" w:rsidRDefault="00C40B0A" w:rsidP="2A65F433">
            <w:pPr>
              <w:jc w:val="both"/>
              <w:rPr>
                <w:rFonts w:ascii="Calibri" w:eastAsia="Calibri" w:hAnsi="Calibri" w:cs="Calibri"/>
              </w:rPr>
            </w:pPr>
          </w:p>
          <w:p w14:paraId="63C57F11" w14:textId="5CEC753B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2A65F433">
              <w:rPr>
                <w:rFonts w:ascii="Calibri" w:eastAsia="Calibri" w:hAnsi="Calibri" w:cs="Calibri"/>
              </w:rPr>
              <w:t>Sin presencia de líquido libre en espacio hepatorrenal y esplenorrenal.</w:t>
            </w:r>
          </w:p>
          <w:p w14:paraId="39D4030F" w14:textId="733E011A" w:rsidR="00C40B0A" w:rsidRDefault="00C40B0A" w:rsidP="2A65F433">
            <w:pPr>
              <w:jc w:val="both"/>
              <w:rPr>
                <w:rFonts w:ascii="Calibri" w:eastAsia="Calibri" w:hAnsi="Calibri" w:cs="Calibri"/>
              </w:rPr>
            </w:pPr>
          </w:p>
          <w:p w14:paraId="4792E8F2" w14:textId="5A668BBF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003352CE">
              <w:rPr>
                <w:rFonts w:ascii="Calibri" w:eastAsia="Calibri" w:hAnsi="Calibri" w:cs="Calibri"/>
                <w:b/>
                <w:bCs/>
                <w:i/>
                <w:iCs/>
              </w:rPr>
              <w:t>Vesícula biliar</w:t>
            </w:r>
            <w:r w:rsidRPr="2A65F433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2A65F433">
              <w:rPr>
                <w:rFonts w:ascii="Calibri" w:eastAsia="Calibri" w:hAnsi="Calibri" w:cs="Calibri"/>
              </w:rPr>
              <w:t>de morfología y situación habituales, muestra una pared sin engrosamiento de hasta xx mm, se encuentra distendida al momento del estudio, sus dimensiones son de xx x xx x xx cm para sus ejes longitudinal, anteroposterior y transverso respectivamente, las cuales se corresponden con un volumen calculado de xx cc. Su interior de observa anecoico. A la exploración con función Doppler color no muestra alteraciones.</w:t>
            </w:r>
          </w:p>
          <w:p w14:paraId="2FB64612" w14:textId="5EFDF83B" w:rsidR="00C40B0A" w:rsidRDefault="00C40B0A" w:rsidP="2A65F433">
            <w:pPr>
              <w:jc w:val="both"/>
              <w:rPr>
                <w:rFonts w:ascii="Calibri" w:eastAsia="Calibri" w:hAnsi="Calibri" w:cs="Calibri"/>
              </w:rPr>
            </w:pPr>
          </w:p>
          <w:p w14:paraId="2136D896" w14:textId="3380CC3A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003352CE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Páncreas </w:t>
            </w:r>
            <w:r w:rsidRPr="2A65F433">
              <w:rPr>
                <w:rFonts w:ascii="Calibri" w:eastAsia="Calibri" w:hAnsi="Calibri" w:cs="Calibri"/>
              </w:rPr>
              <w:t xml:space="preserve">de morfología y situación conservada, se logra visualizar cabeza, cuello, cuerpo y cola, con dimensiones en su eje anteroposterior de xx x xx </w:t>
            </w:r>
            <w:proofErr w:type="spellStart"/>
            <w:r w:rsidRPr="2A65F433">
              <w:rPr>
                <w:rFonts w:ascii="Calibri" w:eastAsia="Calibri" w:hAnsi="Calibri" w:cs="Calibri"/>
              </w:rPr>
              <w:t>xx</w:t>
            </w:r>
            <w:proofErr w:type="spellEnd"/>
            <w:r w:rsidRPr="2A65F433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2A65F433">
              <w:rPr>
                <w:rFonts w:ascii="Calibri" w:eastAsia="Calibri" w:hAnsi="Calibri" w:cs="Calibri"/>
              </w:rPr>
              <w:t>xx</w:t>
            </w:r>
            <w:proofErr w:type="spellEnd"/>
            <w:r w:rsidRPr="2A65F433">
              <w:rPr>
                <w:rFonts w:ascii="Calibri" w:eastAsia="Calibri" w:hAnsi="Calibri" w:cs="Calibri"/>
              </w:rPr>
              <w:t xml:space="preserve"> x xx cm respectivamente, el parénquima homogéneo sin agregados. A la exploración con función Doppler color, vena esplénica conserva saturación. </w:t>
            </w:r>
          </w:p>
          <w:p w14:paraId="35264AAC" w14:textId="05C4FD31" w:rsidR="00C40B0A" w:rsidRDefault="00C40B0A" w:rsidP="2A65F433">
            <w:pPr>
              <w:jc w:val="both"/>
              <w:rPr>
                <w:rFonts w:ascii="Calibri" w:eastAsia="Calibri" w:hAnsi="Calibri" w:cs="Calibri"/>
              </w:rPr>
            </w:pPr>
          </w:p>
          <w:p w14:paraId="68C76A73" w14:textId="4EC79ECD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003352CE">
              <w:rPr>
                <w:rFonts w:ascii="Calibri" w:eastAsia="Calibri" w:hAnsi="Calibri" w:cs="Calibri"/>
                <w:b/>
                <w:bCs/>
                <w:i/>
                <w:iCs/>
              </w:rPr>
              <w:t>Bazo</w:t>
            </w:r>
            <w:r w:rsidRPr="2A65F433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2A65F433">
              <w:rPr>
                <w:rFonts w:ascii="Calibri" w:eastAsia="Calibri" w:hAnsi="Calibri" w:cs="Calibri"/>
              </w:rPr>
              <w:t>de morfología y situación conservadas, de bordes regulares y bien delimitados, muestra dimensiones de xx x xx x xx cm en sus ejes longitudinal, anteroposterior y transverso respectivamente, que se corresponden con un volumen calculado de xx cc. Parénquima homogéneo. A la exploración con función Doppler color el hilio esplénico se muestra con saturación conservada.</w:t>
            </w:r>
          </w:p>
        </w:tc>
      </w:tr>
    </w:tbl>
    <w:p w14:paraId="0193E819" w14:textId="77777777" w:rsidR="00C40B0A" w:rsidRDefault="00C40B0A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388" w:type="dxa"/>
        <w:tblInd w:w="-567" w:type="dxa"/>
        <w:tblLook w:val="04A0" w:firstRow="1" w:lastRow="0" w:firstColumn="1" w:lastColumn="0" w:noHBand="0" w:noVBand="1"/>
      </w:tblPr>
      <w:tblGrid>
        <w:gridCol w:w="10388"/>
      </w:tblGrid>
      <w:tr w:rsidR="00C40B0A" w14:paraId="68C42DDF" w14:textId="77777777" w:rsidTr="2A65F433">
        <w:trPr>
          <w:trHeight w:val="219"/>
        </w:trPr>
        <w:tc>
          <w:tcPr>
            <w:tcW w:w="10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2A65F433">
        <w:trPr>
          <w:trHeight w:val="714"/>
        </w:trPr>
        <w:tc>
          <w:tcPr>
            <w:tcW w:w="1038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AAEC9BE" w14:textId="50304EE3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2A65F433">
              <w:rPr>
                <w:rFonts w:ascii="Calibri" w:eastAsia="Calibri" w:hAnsi="Calibri" w:cs="Calibri"/>
              </w:rPr>
              <w:t>Sin hallazgos de patología demostrable por este protocolo de estudio.</w:t>
            </w:r>
          </w:p>
          <w:p w14:paraId="4920A47B" w14:textId="4FA05D16" w:rsidR="00C40B0A" w:rsidRDefault="2A65F433" w:rsidP="2A65F433">
            <w:pPr>
              <w:jc w:val="both"/>
              <w:rPr>
                <w:rFonts w:ascii="Calibri" w:eastAsia="Calibri" w:hAnsi="Calibri" w:cs="Calibri"/>
              </w:rPr>
            </w:pPr>
            <w:r w:rsidRPr="2A65F433">
              <w:rPr>
                <w:rFonts w:ascii="Calibri" w:eastAsia="Calibri" w:hAnsi="Calibri" w:cs="Calibri"/>
              </w:rPr>
              <w:t>Correlacionar con clínica y paraclínica a criterio de médico tratante.</w:t>
            </w: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77777777" w:rsidR="00C40B0A" w:rsidRPr="002B5D0A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77777777" w:rsidR="00C40B0A" w:rsidRDefault="00C40B0A" w:rsidP="0086313A">
            <w:pPr>
              <w:pStyle w:val="Sinespaciado"/>
            </w:pP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9D80B" w14:textId="77777777" w:rsidR="00F92D25" w:rsidRDefault="00F92D25" w:rsidP="0009388C">
      <w:pPr>
        <w:spacing w:after="0" w:line="240" w:lineRule="auto"/>
      </w:pPr>
      <w:r>
        <w:separator/>
      </w:r>
    </w:p>
  </w:endnote>
  <w:endnote w:type="continuationSeparator" w:id="0">
    <w:p w14:paraId="768239E2" w14:textId="77777777" w:rsidR="00F92D25" w:rsidRDefault="00F92D25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B8EBB" w14:textId="77777777" w:rsidR="00F92D25" w:rsidRDefault="00F92D25" w:rsidP="0009388C">
      <w:pPr>
        <w:spacing w:after="0" w:line="240" w:lineRule="auto"/>
      </w:pPr>
      <w:r>
        <w:separator/>
      </w:r>
    </w:p>
  </w:footnote>
  <w:footnote w:type="continuationSeparator" w:id="0">
    <w:p w14:paraId="775D2913" w14:textId="77777777" w:rsidR="00F92D25" w:rsidRDefault="00F92D25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7C7C9F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7C7C9F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7C7C9F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9388C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352CE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D53B1"/>
    <w:rsid w:val="004F39BE"/>
    <w:rsid w:val="0053006C"/>
    <w:rsid w:val="00546300"/>
    <w:rsid w:val="00597459"/>
    <w:rsid w:val="005C417B"/>
    <w:rsid w:val="005E3055"/>
    <w:rsid w:val="005E368C"/>
    <w:rsid w:val="00605476"/>
    <w:rsid w:val="0067408B"/>
    <w:rsid w:val="006D6BC5"/>
    <w:rsid w:val="00760512"/>
    <w:rsid w:val="007606AE"/>
    <w:rsid w:val="007B181A"/>
    <w:rsid w:val="007B5D83"/>
    <w:rsid w:val="007B7BC6"/>
    <w:rsid w:val="007C7C9F"/>
    <w:rsid w:val="00807E21"/>
    <w:rsid w:val="008248D6"/>
    <w:rsid w:val="00862113"/>
    <w:rsid w:val="008D0B1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1A"/>
    <w:rsid w:val="00BC7AF3"/>
    <w:rsid w:val="00BE6D68"/>
    <w:rsid w:val="00C00850"/>
    <w:rsid w:val="00C00D6E"/>
    <w:rsid w:val="00C40B0A"/>
    <w:rsid w:val="00D038CD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936D7"/>
    <w:rsid w:val="00F0190A"/>
    <w:rsid w:val="00F65753"/>
    <w:rsid w:val="00F92D25"/>
    <w:rsid w:val="00FF56A1"/>
    <w:rsid w:val="2A65F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94AD50-762D-8B47-BF64-B6111E2D1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Dr. Retama</cp:lastModifiedBy>
  <cp:revision>3</cp:revision>
  <dcterms:created xsi:type="dcterms:W3CDTF">2021-06-09T17:22:00Z</dcterms:created>
  <dcterms:modified xsi:type="dcterms:W3CDTF">2021-06-09T21:13:00Z</dcterms:modified>
</cp:coreProperties>
</file>