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STADLER KAZAKHSTAN | IEEE HACKATHON</w:t>
      </w:r>
    </w:p>
    <w:p>
      <w:r>
        <w:rPr>
          <w:b/>
        </w:rPr>
        <w:t>Единый рабочий документ: задания, расчёты, материалы, исследования, выводы и вопросы организаторам</w:t>
      </w:r>
    </w:p>
    <w:p>
      <w:r>
        <w:rPr>
          <w:i/>
        </w:rPr>
        <w:t>Основа: обновлённая официальная презентация Stadler Kazakhstan (9 слайдов, файл пользователя). Дата подготовки: 17 октября 2026 г.</w:t>
      </w:r>
    </w:p>
    <w:p>
      <w:pPr>
        <w:ind w:left="198"/>
      </w:pPr>
      <w:r>
        <w:rPr>
          <w:b/>
        </w:rPr>
        <w:t xml:space="preserve">Важно. </w:t>
      </w:r>
      <w:r>
        <w:t>Сначала приведены все 5 обязательных заданий точно по презентации (в переводе на русский). Выводы и дополнительные идеи чётко отделены от обязательных условий кейса.</w:t>
      </w:r>
    </w:p>
    <w:p>
      <w:pPr>
        <w:pStyle w:val="Heading1"/>
      </w:pPr>
      <w:r>
        <w:t>1. ТОЧНЫЕ ЗАДАНИЯ ХАКАТОНА — PARTS 1–5</w:t>
      </w:r>
    </w:p>
    <w:p>
      <w:pPr>
        <w:pStyle w:val="Heading2"/>
      </w:pPr>
      <w:r>
        <w:t>Assignment 1. Анализ одного поезда</w:t>
      </w:r>
    </w:p>
    <w:p>
      <w:r>
        <w:t>Рассчитать:</w:t>
      </w:r>
    </w:p>
    <w:p>
      <w:pPr>
        <w:pStyle w:val="ListNumber"/>
      </w:pPr>
      <w:r>
        <w:t>Годовую экономию электроэнергии.</w:t>
      </w:r>
    </w:p>
    <w:p>
      <w:pPr>
        <w:pStyle w:val="ListNumber"/>
      </w:pPr>
      <w:r>
        <w:t>Годовую экономию затрат на электроэнергию.</w:t>
      </w:r>
    </w:p>
    <w:p>
      <w:pPr>
        <w:pStyle w:val="ListNumber"/>
      </w:pPr>
      <w:r>
        <w:t>Общую экономию за 30 лет эксплуатации.</w:t>
      </w:r>
    </w:p>
    <w:p>
      <w:pPr>
        <w:pStyle w:val="Heading2"/>
      </w:pPr>
      <w:r>
        <w:t>Assignment 2. Анализ парка из 20 поездов</w:t>
      </w:r>
    </w:p>
    <w:p>
      <w:r>
        <w:t>Рассчитать:</w:t>
      </w:r>
    </w:p>
    <w:p>
      <w:pPr>
        <w:pStyle w:val="ListNumber"/>
      </w:pPr>
      <w:r>
        <w:t>Общую экономию электроэнергии за 30 лет.</w:t>
      </w:r>
    </w:p>
    <w:p>
      <w:pPr>
        <w:pStyle w:val="ListNumber"/>
      </w:pPr>
      <w:r>
        <w:t>Среднюю ежегодную финансовую экономию.</w:t>
      </w:r>
    </w:p>
    <w:p>
      <w:pPr>
        <w:pStyle w:val="ListNumber"/>
      </w:pPr>
      <w:r>
        <w:t>Накопленную экономию за 30 лет.</w:t>
      </w:r>
    </w:p>
    <w:p>
      <w:pPr>
        <w:pStyle w:val="Heading2"/>
      </w:pPr>
      <w:r>
        <w:t>Assignment 3. Анализ окупаемости (Payback Analysis)</w:t>
      </w:r>
    </w:p>
    <w:p>
      <w:r>
        <w:t>Определить:</w:t>
      </w:r>
    </w:p>
    <w:p>
      <w:pPr>
        <w:pStyle w:val="ListNumber"/>
      </w:pPr>
      <w:r>
        <w:t>Срок окупаемости дополнительной стоимости покупки поезда A.</w:t>
      </w:r>
    </w:p>
    <w:p>
      <w:pPr>
        <w:pStyle w:val="ListNumber"/>
      </w:pPr>
      <w:r>
        <w:t>Дополнительную финансовую выгоду за 30-летний срок эксплуатации.</w:t>
      </w:r>
    </w:p>
    <w:p>
      <w:pPr>
        <w:pStyle w:val="Heading2"/>
      </w:pPr>
      <w:r>
        <w:t>Assignment 4. Рост тарифов на электроэнергию</w:t>
      </w:r>
    </w:p>
    <w:p>
      <w:r>
        <w:t>Предположение из задания: ежегодное увеличение цены электричества на 2%.</w:t>
      </w:r>
    </w:p>
    <w:p>
      <w:r>
        <w:t>Рассчитать:</w:t>
      </w:r>
    </w:p>
    <w:p>
      <w:pPr>
        <w:pStyle w:val="ListNumber"/>
      </w:pPr>
      <w:r>
        <w:t>Экономию одного поезда за 30 лет.</w:t>
      </w:r>
    </w:p>
    <w:p>
      <w:pPr>
        <w:pStyle w:val="ListNumber"/>
      </w:pPr>
      <w:r>
        <w:t>Экономию парка из 20 поездов за 30 лет.</w:t>
      </w:r>
    </w:p>
    <w:p>
      <w:pPr>
        <w:pStyle w:val="ListNumber"/>
      </w:pPr>
      <w:r>
        <w:t>Влияние роста цены электричества на срок окупаемости.</w:t>
      </w:r>
    </w:p>
    <w:p>
      <w:pPr>
        <w:pStyle w:val="Heading2"/>
      </w:pPr>
      <w:r>
        <w:t>Assignment 5. Аналитическая оценка (Analytical Assessment)</w:t>
      </w:r>
    </w:p>
    <w:p>
      <w:r>
        <w:t>Подготовить подробное аналитическое заключение по расчётам и ответить на все пять вопросов:</w:t>
      </w:r>
    </w:p>
    <w:p>
      <w:pPr>
        <w:pStyle w:val="ListNumber"/>
      </w:pPr>
      <w:r>
        <w:t>Каковы ключевые результаты и выводы анализа?</w:t>
      </w:r>
    </w:p>
    <w:p>
      <w:pPr>
        <w:pStyle w:val="ListNumber"/>
      </w:pPr>
      <w:r>
        <w:t>Нужно ли учитывать эксплуатационные расходы за весь жизненный цикл при выборе поставщика подвижного состава на закупках и тендерах? Обоснуйте позицию.</w:t>
      </w:r>
    </w:p>
    <w:p>
      <w:pPr>
        <w:pStyle w:val="ListNumber"/>
      </w:pPr>
      <w:r>
        <w:t>Насколько результаты эксплуатационных расходов применимы к Казахстану? Какие местные рыночные и эксплуатационные факторы следует учитывать?</w:t>
      </w:r>
    </w:p>
    <w:p>
      <w:pPr>
        <w:pStyle w:val="ListNumber"/>
      </w:pPr>
      <w:r>
        <w:t>Какие факторы в Казахстане могут увеличивать энергопотребление поездов и какие способны его уменьшать?</w:t>
      </w:r>
    </w:p>
    <w:p>
      <w:pPr>
        <w:pStyle w:val="ListNumber"/>
      </w:pPr>
      <w:r>
        <w:t>Какую дополнительную информацию запросить у производителя и заказчика, чтобы точнее оценить экономическую эффективность проекта?</w:t>
      </w:r>
    </w:p>
    <w:p>
      <w:r>
        <w:rPr>
          <w:b/>
        </w:rPr>
        <w:t xml:space="preserve">Источник: </w:t>
      </w:r>
      <w:r>
        <w:t>официальная презентация Stadler, слайды 6–7. Дополнительные требования (например, NPV, оценка производства или разработка приложения) на слайдах не указаны как обязательные.</w:t>
      </w:r>
    </w:p>
    <w:p>
      <w:pPr>
        <w:pStyle w:val="Heading1"/>
      </w:pPr>
      <w:r>
        <w:t>2. Исходные данные и рамки задания</w:t>
      </w:r>
    </w:p>
    <w:tbl>
      <w:tblPr>
        <w:tblStyle w:val="TableGrid"/>
        <w:tblW w:type="auto" w:w="0"/>
        <w:jc w:val="center"/>
        <w:tblLook w:firstColumn="1" w:firstRow="1" w:lastColumn="0" w:lastRow="0" w:noHBand="0" w:noVBand="1" w:val="04A0"/>
      </w:tblPr>
      <w:tblGrid>
        <w:gridCol w:w="3305"/>
        <w:gridCol w:w="3305"/>
        <w:gridCol w:w="3305"/>
      </w:tblGrid>
      <w:tr>
        <w:trPr>
          <w:tblHeader w:val="true"/>
          <w:cantSplit/>
        </w:trPr>
        <w:tc>
          <w:tcPr>
            <w:tcW w:type="dxa" w:w="2494"/>
            <w:vAlign w:val="center"/>
            <w:shd w:fill="E9EFF5"/>
          </w:tcPr>
          <w:p>
            <w:pPr>
              <w:spacing w:after="40" w:before="40"/>
            </w:pPr>
            <w:r>
              <w:rPr>
                <w:rFonts w:ascii="Times New Roman" w:hAnsi="Times New Roman"/>
                <w:b/>
                <w:sz w:val="18"/>
              </w:rPr>
              <w:t>Параметр</w:t>
            </w:r>
          </w:p>
        </w:tc>
        <w:tc>
          <w:tcPr>
            <w:tcW w:type="dxa" w:w="3061"/>
            <w:vAlign w:val="center"/>
            <w:shd w:fill="E9EFF5"/>
          </w:tcPr>
          <w:p>
            <w:pPr>
              <w:spacing w:after="40" w:before="40"/>
            </w:pPr>
            <w:r>
              <w:rPr>
                <w:rFonts w:ascii="Times New Roman" w:hAnsi="Times New Roman"/>
                <w:b/>
                <w:sz w:val="18"/>
              </w:rPr>
              <w:t>Поезд A — алюминиевый</w:t>
            </w:r>
          </w:p>
        </w:tc>
        <w:tc>
          <w:tcPr>
            <w:tcW w:type="dxa" w:w="3061"/>
            <w:vAlign w:val="center"/>
            <w:shd w:fill="E9EFF5"/>
          </w:tcPr>
          <w:p>
            <w:pPr>
              <w:spacing w:after="40" w:before="40"/>
            </w:pPr>
            <w:r>
              <w:rPr>
                <w:rFonts w:ascii="Times New Roman" w:hAnsi="Times New Roman"/>
                <w:b/>
                <w:sz w:val="18"/>
              </w:rPr>
              <w:t>Поезд B — стальной</w:t>
            </w:r>
          </w:p>
        </w:tc>
      </w:tr>
      <w:tr>
        <w:trPr>
          <w:cantSplit/>
        </w:trPr>
        <w:tc>
          <w:tcPr>
            <w:tcW w:type="dxa" w:w="2494"/>
            <w:vAlign w:val="center"/>
          </w:tcPr>
          <w:p>
            <w:pPr>
              <w:spacing w:after="40" w:before="40"/>
            </w:pPr>
            <w:r>
              <w:rPr>
                <w:rFonts w:ascii="Times New Roman" w:hAnsi="Times New Roman"/>
                <w:sz w:val="18"/>
              </w:rPr>
              <w:t>Тип</w:t>
            </w:r>
          </w:p>
        </w:tc>
        <w:tc>
          <w:tcPr>
            <w:tcW w:type="dxa" w:w="3061"/>
            <w:vAlign w:val="center"/>
          </w:tcPr>
          <w:p>
            <w:pPr>
              <w:spacing w:after="40" w:before="40"/>
            </w:pPr>
            <w:r>
              <w:rPr>
                <w:rFonts w:ascii="Times New Roman" w:hAnsi="Times New Roman"/>
                <w:sz w:val="18"/>
              </w:rPr>
              <w:t>5-вагонный EMU</w:t>
            </w:r>
          </w:p>
        </w:tc>
        <w:tc>
          <w:tcPr>
            <w:tcW w:type="dxa" w:w="3061"/>
            <w:vAlign w:val="center"/>
          </w:tcPr>
          <w:p>
            <w:pPr>
              <w:spacing w:after="40" w:before="40"/>
            </w:pPr>
            <w:r>
              <w:rPr>
                <w:rFonts w:ascii="Times New Roman" w:hAnsi="Times New Roman"/>
                <w:sz w:val="18"/>
              </w:rPr>
              <w:t>5-вагонный EMU</w:t>
            </w:r>
          </w:p>
        </w:tc>
      </w:tr>
      <w:tr>
        <w:trPr>
          <w:cantSplit/>
        </w:trPr>
        <w:tc>
          <w:tcPr>
            <w:tcW w:type="dxa" w:w="2494"/>
            <w:vAlign w:val="center"/>
          </w:tcPr>
          <w:p>
            <w:pPr>
              <w:spacing w:after="40" w:before="40"/>
            </w:pPr>
            <w:r>
              <w:rPr>
                <w:rFonts w:ascii="Times New Roman" w:hAnsi="Times New Roman"/>
                <w:sz w:val="18"/>
              </w:rPr>
              <w:t>Масса состава</w:t>
            </w:r>
          </w:p>
        </w:tc>
        <w:tc>
          <w:tcPr>
            <w:tcW w:type="dxa" w:w="3061"/>
            <w:vAlign w:val="center"/>
          </w:tcPr>
          <w:p>
            <w:pPr>
              <w:spacing w:after="40" w:before="40"/>
            </w:pPr>
            <w:r>
              <w:rPr>
                <w:rFonts w:ascii="Times New Roman" w:hAnsi="Times New Roman"/>
                <w:sz w:val="18"/>
              </w:rPr>
              <w:t>≈145 тонн</w:t>
            </w:r>
          </w:p>
        </w:tc>
        <w:tc>
          <w:tcPr>
            <w:tcW w:type="dxa" w:w="3061"/>
            <w:vAlign w:val="center"/>
          </w:tcPr>
          <w:p>
            <w:pPr>
              <w:spacing w:after="40" w:before="40"/>
            </w:pPr>
            <w:r>
              <w:rPr>
                <w:rFonts w:ascii="Times New Roman" w:hAnsi="Times New Roman"/>
                <w:sz w:val="18"/>
              </w:rPr>
              <w:t>≈180 тонн</w:t>
            </w:r>
          </w:p>
        </w:tc>
      </w:tr>
      <w:tr>
        <w:trPr>
          <w:cantSplit/>
        </w:trPr>
        <w:tc>
          <w:tcPr>
            <w:tcW w:type="dxa" w:w="2494"/>
            <w:vAlign w:val="center"/>
          </w:tcPr>
          <w:p>
            <w:pPr>
              <w:spacing w:after="40" w:before="40"/>
            </w:pPr>
            <w:r>
              <w:rPr>
                <w:rFonts w:ascii="Times New Roman" w:hAnsi="Times New Roman"/>
                <w:sz w:val="18"/>
              </w:rPr>
              <w:t>Остановок</w:t>
            </w:r>
          </w:p>
        </w:tc>
        <w:tc>
          <w:tcPr>
            <w:tcW w:type="dxa" w:w="3061"/>
            <w:vAlign w:val="center"/>
          </w:tcPr>
          <w:p>
            <w:pPr>
              <w:spacing w:after="40" w:before="40"/>
            </w:pPr>
            <w:r>
              <w:rPr>
                <w:rFonts w:ascii="Times New Roman" w:hAnsi="Times New Roman"/>
                <w:sz w:val="18"/>
              </w:rPr>
              <w:t>15</w:t>
            </w:r>
          </w:p>
        </w:tc>
        <w:tc>
          <w:tcPr>
            <w:tcW w:type="dxa" w:w="3061"/>
            <w:vAlign w:val="center"/>
          </w:tcPr>
          <w:p>
            <w:pPr>
              <w:spacing w:after="40" w:before="40"/>
            </w:pPr>
            <w:r>
              <w:rPr>
                <w:rFonts w:ascii="Times New Roman" w:hAnsi="Times New Roman"/>
                <w:sz w:val="18"/>
              </w:rPr>
              <w:t>15</w:t>
            </w:r>
          </w:p>
        </w:tc>
      </w:tr>
      <w:tr>
        <w:trPr>
          <w:cantSplit/>
        </w:trPr>
        <w:tc>
          <w:tcPr>
            <w:tcW w:type="dxa" w:w="2494"/>
            <w:vAlign w:val="center"/>
          </w:tcPr>
          <w:p>
            <w:pPr>
              <w:spacing w:after="40" w:before="40"/>
            </w:pPr>
            <w:r>
              <w:rPr>
                <w:rFonts w:ascii="Times New Roman" w:hAnsi="Times New Roman"/>
                <w:sz w:val="18"/>
              </w:rPr>
              <w:t>Максимальная скорость</w:t>
            </w:r>
          </w:p>
        </w:tc>
        <w:tc>
          <w:tcPr>
            <w:tcW w:type="dxa" w:w="3061"/>
            <w:vAlign w:val="center"/>
          </w:tcPr>
          <w:p>
            <w:pPr>
              <w:spacing w:after="40" w:before="40"/>
            </w:pPr>
            <w:r>
              <w:rPr>
                <w:rFonts w:ascii="Times New Roman" w:hAnsi="Times New Roman"/>
                <w:sz w:val="18"/>
              </w:rPr>
              <w:t>140 км/ч</w:t>
            </w:r>
          </w:p>
        </w:tc>
        <w:tc>
          <w:tcPr>
            <w:tcW w:type="dxa" w:w="3061"/>
            <w:vAlign w:val="center"/>
          </w:tcPr>
          <w:p>
            <w:pPr>
              <w:spacing w:after="40" w:before="40"/>
            </w:pPr>
            <w:r>
              <w:rPr>
                <w:rFonts w:ascii="Times New Roman" w:hAnsi="Times New Roman"/>
                <w:sz w:val="18"/>
              </w:rPr>
              <w:t>140 км/ч</w:t>
            </w:r>
          </w:p>
        </w:tc>
      </w:tr>
      <w:tr>
        <w:trPr>
          <w:cantSplit/>
        </w:trPr>
        <w:tc>
          <w:tcPr>
            <w:tcW w:type="dxa" w:w="2494"/>
            <w:vAlign w:val="center"/>
          </w:tcPr>
          <w:p>
            <w:pPr>
              <w:spacing w:after="40" w:before="40"/>
            </w:pPr>
            <w:r>
              <w:rPr>
                <w:rFonts w:ascii="Times New Roman" w:hAnsi="Times New Roman"/>
                <w:sz w:val="18"/>
              </w:rPr>
              <w:t>Годовой пробег</w:t>
            </w:r>
          </w:p>
        </w:tc>
        <w:tc>
          <w:tcPr>
            <w:tcW w:type="dxa" w:w="3061"/>
            <w:vAlign w:val="center"/>
          </w:tcPr>
          <w:p>
            <w:pPr>
              <w:spacing w:after="40" w:before="40"/>
            </w:pPr>
            <w:r>
              <w:rPr>
                <w:rFonts w:ascii="Times New Roman" w:hAnsi="Times New Roman"/>
                <w:sz w:val="18"/>
              </w:rPr>
              <w:t>245 000 км</w:t>
            </w:r>
          </w:p>
        </w:tc>
        <w:tc>
          <w:tcPr>
            <w:tcW w:type="dxa" w:w="3061"/>
            <w:vAlign w:val="center"/>
          </w:tcPr>
          <w:p>
            <w:pPr>
              <w:spacing w:after="40" w:before="40"/>
            </w:pPr>
            <w:r>
              <w:rPr>
                <w:rFonts w:ascii="Times New Roman" w:hAnsi="Times New Roman"/>
                <w:sz w:val="18"/>
              </w:rPr>
              <w:t>245 000 км</w:t>
            </w:r>
          </w:p>
        </w:tc>
      </w:tr>
      <w:tr>
        <w:trPr>
          <w:cantSplit/>
        </w:trPr>
        <w:tc>
          <w:tcPr>
            <w:tcW w:type="dxa" w:w="2494"/>
            <w:vAlign w:val="center"/>
          </w:tcPr>
          <w:p>
            <w:pPr>
              <w:spacing w:after="40" w:before="40"/>
            </w:pPr>
            <w:r>
              <w:rPr>
                <w:rFonts w:ascii="Times New Roman" w:hAnsi="Times New Roman"/>
                <w:sz w:val="18"/>
              </w:rPr>
              <w:t>Тариф электроэнергии</w:t>
            </w:r>
          </w:p>
        </w:tc>
        <w:tc>
          <w:tcPr>
            <w:tcW w:type="dxa" w:w="3061"/>
            <w:vAlign w:val="center"/>
          </w:tcPr>
          <w:p>
            <w:pPr>
              <w:spacing w:after="40" w:before="40"/>
            </w:pPr>
            <w:r>
              <w:rPr>
                <w:rFonts w:ascii="Times New Roman" w:hAnsi="Times New Roman"/>
                <w:sz w:val="18"/>
              </w:rPr>
              <w:t>1,2 PLN/кВт·ч</w:t>
            </w:r>
          </w:p>
        </w:tc>
        <w:tc>
          <w:tcPr>
            <w:tcW w:type="dxa" w:w="3061"/>
            <w:vAlign w:val="center"/>
          </w:tcPr>
          <w:p>
            <w:pPr>
              <w:spacing w:after="40" w:before="40"/>
            </w:pPr>
            <w:r>
              <w:rPr>
                <w:rFonts w:ascii="Times New Roman" w:hAnsi="Times New Roman"/>
                <w:sz w:val="18"/>
              </w:rPr>
              <w:t>1,2 PLN/кВт·ч</w:t>
            </w:r>
          </w:p>
        </w:tc>
      </w:tr>
      <w:tr>
        <w:trPr>
          <w:cantSplit/>
        </w:trPr>
        <w:tc>
          <w:tcPr>
            <w:tcW w:type="dxa" w:w="2494"/>
            <w:vAlign w:val="center"/>
          </w:tcPr>
          <w:p>
            <w:pPr>
              <w:spacing w:after="40" w:before="40"/>
            </w:pPr>
            <w:r>
              <w:rPr>
                <w:rFonts w:ascii="Times New Roman" w:hAnsi="Times New Roman"/>
                <w:sz w:val="18"/>
              </w:rPr>
              <w:t>Срок по заданию</w:t>
            </w:r>
          </w:p>
        </w:tc>
        <w:tc>
          <w:tcPr>
            <w:tcW w:type="dxa" w:w="3061"/>
            <w:vAlign w:val="center"/>
          </w:tcPr>
          <w:p>
            <w:pPr>
              <w:spacing w:after="40" w:before="40"/>
            </w:pPr>
            <w:r>
              <w:rPr>
                <w:rFonts w:ascii="Times New Roman" w:hAnsi="Times New Roman"/>
                <w:sz w:val="18"/>
              </w:rPr>
              <w:t>30 лет</w:t>
            </w:r>
          </w:p>
        </w:tc>
        <w:tc>
          <w:tcPr>
            <w:tcW w:type="dxa" w:w="3061"/>
            <w:vAlign w:val="center"/>
          </w:tcPr>
          <w:p>
            <w:pPr>
              <w:spacing w:after="40" w:before="40"/>
            </w:pPr>
            <w:r>
              <w:rPr>
                <w:rFonts w:ascii="Times New Roman" w:hAnsi="Times New Roman"/>
                <w:sz w:val="18"/>
              </w:rPr>
              <w:t>30 лет</w:t>
            </w:r>
          </w:p>
        </w:tc>
      </w:tr>
    </w:tbl>
    <w:p>
      <w:pPr>
        <w:spacing w:after="20"/>
      </w:pPr>
    </w:p>
    <w:p>
      <w:r>
        <w:rPr>
          <w:b/>
        </w:rPr>
        <w:t xml:space="preserve">Примечание 1: </w:t>
      </w:r>
      <w:r>
        <w:t>поезд A стоит на 400 000 PLN дороже поезда B (разница в покупной цене одного состава).</w:t>
      </w:r>
    </w:p>
    <w:p>
      <w:r>
        <w:rPr>
          <w:b/>
        </w:rPr>
        <w:t xml:space="preserve">Примечание 2: </w:t>
      </w:r>
      <w:r>
        <w:t>поезд A потребляет на 357 МВт·ч электроэнергии В ГОД МЕНЬШЕ, чем поезд B. Это сравнительная разница, а не абсолютный расход каждого поезда.</w:t>
      </w:r>
    </w:p>
    <w:p>
      <w:r>
        <w:rPr>
          <w:b/>
        </w:rPr>
        <w:t xml:space="preserve">Разница масс: </w:t>
      </w:r>
      <w:r>
        <w:t>180 − 145 = 35 тонн (≈19,4% массы стального поезда; ≈24,1% массы алюминиевого). Это разница масс ВСЕГО состава в примере, а не доказанный вес только кузова.</w:t>
      </w:r>
    </w:p>
    <w:p>
      <w:r>
        <w:rPr>
          <w:b/>
        </w:rPr>
        <w:t xml:space="preserve">40 лет: </w:t>
      </w:r>
      <w:r>
        <w:t>было устное уточнение о возможном 40-летнем сроке службы продукции. В предоставленной официальной презентации задания и входной слайд требуют 30 лет; поэтому 40-летний анализ — отдельный дополнительный сценарий до подтверждения оргкомитетом.</w:t>
      </w:r>
    </w:p>
    <w:p>
      <w:pPr>
        <w:ind w:left="198"/>
      </w:pPr>
      <w:r>
        <w:rPr>
          <w:b/>
        </w:rPr>
        <w:t xml:space="preserve">Важно. </w:t>
      </w:r>
      <w:r>
        <w:t>Презентация прямо ограничивает обязательное исследование расходом электроэнергии в эксплуатации и эксплуатационными затратами. Производство материалов, изготовление и утилизация не входят в обязательный расчёт; нельзя выводить полный экологический эффект без LCA, а полную стоимость жизни поезда — без LCC. (Слайд 8.)</w:t>
      </w:r>
    </w:p>
    <w:p>
      <w:pPr>
        <w:pStyle w:val="Heading1"/>
      </w:pPr>
      <w:r>
        <w:t>3. Решение Parts 1–4: точные финансовые расчёты</w:t>
      </w:r>
    </w:p>
    <w:p>
      <w:pPr>
        <w:pStyle w:val="Heading2"/>
      </w:pPr>
      <w:r>
        <w:t>3.1. Объяснение формул простым языком</w:t>
      </w:r>
    </w:p>
    <w:p>
      <w:r>
        <w:rPr>
          <w:b/>
        </w:rPr>
        <w:t xml:space="preserve">Энергия: </w:t>
      </w:r>
      <w:r>
        <w:t>357 МВт·ч/год × 1 000 = 357 000 кВт·ч/год экономии на один поезд.</w:t>
      </w:r>
    </w:p>
    <w:p>
      <w:r>
        <w:rPr>
          <w:b/>
        </w:rPr>
        <w:t xml:space="preserve">Стоимость за год: </w:t>
      </w:r>
      <w:r>
        <w:t>357 000 кВт·ч × 1,2 PLN/кВт·ч = 428 400 PLN/год.</w:t>
      </w:r>
    </w:p>
    <w:p>
      <w:r>
        <w:rPr>
          <w:b/>
        </w:rPr>
        <w:t xml:space="preserve">При постоянном тарифе: </w:t>
      </w:r>
      <w:r>
        <w:t>совокупная экономия = 428 400 × количество лет × количество поездов.</w:t>
      </w:r>
    </w:p>
    <w:p>
      <w:r>
        <w:rPr>
          <w:b/>
        </w:rPr>
        <w:t xml:space="preserve">Срок окупаемости: </w:t>
      </w:r>
      <w:r>
        <w:t>400 000 / 428 400 = 0,934 года, или примерно 11,2 месяца. Предполагаем равномерное накопление экономии в течение года.</w:t>
      </w:r>
    </w:p>
    <w:p>
      <w:r>
        <w:rPr>
          <w:b/>
        </w:rPr>
        <w:t xml:space="preserve">Чистая дополнительная выгода: </w:t>
      </w:r>
      <w:r>
        <w:t>все сэкономленные расходы на электроэнергию минус разовая доплата 400 000 PLN за поезд (для 20 поездов — 8 000 000 PLN).</w:t>
      </w:r>
    </w:p>
    <w:p>
      <w:r>
        <w:rPr>
          <w:b/>
        </w:rPr>
        <w:t xml:space="preserve">Рост тарифов: </w:t>
      </w:r>
      <w:r>
        <w:t>в году t цена = 1,2 × (1,02)^(t−1), а годовая денежная экономия = 357 000 × цена года t. Все годы суммируются. В первом году остаётся исходный тариф 1,2.</w:t>
      </w:r>
    </w:p>
    <w:p>
      <w:pPr>
        <w:pStyle w:val="Heading2"/>
      </w:pPr>
      <w:r>
        <w:t>3.2. Основные результаты</w:t>
      </w:r>
    </w:p>
    <w:tbl>
      <w:tblPr>
        <w:tblStyle w:val="TableGrid"/>
        <w:tblW w:type="auto" w:w="0"/>
        <w:jc w:val="center"/>
        <w:tblLook w:firstColumn="1" w:firstRow="1" w:lastColumn="0" w:lastRow="0" w:noHBand="0" w:noVBand="1" w:val="04A0"/>
      </w:tblPr>
      <w:tblGrid>
        <w:gridCol w:w="1983"/>
        <w:gridCol w:w="1983"/>
        <w:gridCol w:w="1983"/>
        <w:gridCol w:w="1983"/>
        <w:gridCol w:w="1983"/>
      </w:tblGrid>
      <w:tr>
        <w:trPr>
          <w:tblHeader w:val="true"/>
          <w:cantSplit/>
        </w:trPr>
        <w:tc>
          <w:tcPr>
            <w:tcW w:type="dxa" w:w="2324"/>
            <w:vAlign w:val="center"/>
            <w:shd w:fill="E9EFF5"/>
          </w:tcPr>
          <w:p>
            <w:pPr>
              <w:spacing w:after="40" w:before="40"/>
            </w:pPr>
            <w:r>
              <w:rPr>
                <w:rFonts w:ascii="Times New Roman" w:hAnsi="Times New Roman"/>
                <w:b/>
                <w:sz w:val="16"/>
              </w:rPr>
              <w:t>Показатель</w:t>
            </w:r>
          </w:p>
        </w:tc>
        <w:tc>
          <w:tcPr>
            <w:tcW w:type="dxa" w:w="1616"/>
            <w:vAlign w:val="center"/>
            <w:shd w:fill="E9EFF5"/>
          </w:tcPr>
          <w:p>
            <w:pPr>
              <w:spacing w:after="40" w:before="40"/>
            </w:pPr>
            <w:r>
              <w:rPr>
                <w:rFonts w:ascii="Times New Roman" w:hAnsi="Times New Roman"/>
                <w:b/>
                <w:sz w:val="16"/>
              </w:rPr>
              <w:t>30 лет: тариф постоянный</w:t>
            </w:r>
          </w:p>
        </w:tc>
        <w:tc>
          <w:tcPr>
            <w:tcW w:type="dxa" w:w="1616"/>
            <w:vAlign w:val="center"/>
            <w:shd w:fill="E9EFF5"/>
          </w:tcPr>
          <w:p>
            <w:pPr>
              <w:spacing w:after="40" w:before="40"/>
            </w:pPr>
            <w:r>
              <w:rPr>
                <w:rFonts w:ascii="Times New Roman" w:hAnsi="Times New Roman"/>
                <w:b/>
                <w:sz w:val="16"/>
              </w:rPr>
              <w:t>30 лет: +2% ежегодно</w:t>
            </w:r>
          </w:p>
        </w:tc>
        <w:tc>
          <w:tcPr>
            <w:tcW w:type="dxa" w:w="1616"/>
            <w:vAlign w:val="center"/>
            <w:shd w:fill="E9EFF5"/>
          </w:tcPr>
          <w:p>
            <w:pPr>
              <w:spacing w:after="40" w:before="40"/>
            </w:pPr>
            <w:r>
              <w:rPr>
                <w:rFonts w:ascii="Times New Roman" w:hAnsi="Times New Roman"/>
                <w:b/>
                <w:sz w:val="16"/>
              </w:rPr>
              <w:t>40 лет: тариф постоянный</w:t>
            </w:r>
          </w:p>
        </w:tc>
        <w:tc>
          <w:tcPr>
            <w:tcW w:type="dxa" w:w="1616"/>
            <w:vAlign w:val="center"/>
            <w:shd w:fill="E9EFF5"/>
          </w:tcPr>
          <w:p>
            <w:pPr>
              <w:spacing w:after="40" w:before="40"/>
            </w:pPr>
            <w:r>
              <w:rPr>
                <w:rFonts w:ascii="Times New Roman" w:hAnsi="Times New Roman"/>
                <w:b/>
                <w:sz w:val="16"/>
              </w:rPr>
              <w:t>40 лет: +2% ежегодно</w:t>
            </w:r>
          </w:p>
        </w:tc>
      </w:tr>
      <w:tr>
        <w:trPr>
          <w:cantSplit/>
        </w:trPr>
        <w:tc>
          <w:tcPr>
            <w:tcW w:type="dxa" w:w="2324"/>
            <w:vAlign w:val="center"/>
          </w:tcPr>
          <w:p>
            <w:pPr>
              <w:spacing w:after="40" w:before="40"/>
            </w:pPr>
            <w:r>
              <w:rPr>
                <w:rFonts w:ascii="Times New Roman" w:hAnsi="Times New Roman"/>
                <w:sz w:val="16"/>
              </w:rPr>
              <w:t>Экономия энергии 1 поезда, МВт·ч</w:t>
            </w:r>
          </w:p>
        </w:tc>
        <w:tc>
          <w:tcPr>
            <w:tcW w:type="dxa" w:w="1616"/>
            <w:vAlign w:val="center"/>
          </w:tcPr>
          <w:p>
            <w:pPr>
              <w:spacing w:after="40" w:before="40"/>
            </w:pPr>
            <w:r>
              <w:rPr>
                <w:rFonts w:ascii="Times New Roman" w:hAnsi="Times New Roman"/>
                <w:sz w:val="16"/>
              </w:rPr>
              <w:t>10 710</w:t>
            </w:r>
          </w:p>
        </w:tc>
        <w:tc>
          <w:tcPr>
            <w:tcW w:type="dxa" w:w="1616"/>
            <w:vAlign w:val="center"/>
          </w:tcPr>
          <w:p>
            <w:pPr>
              <w:spacing w:after="40" w:before="40"/>
            </w:pPr>
            <w:r>
              <w:rPr>
                <w:rFonts w:ascii="Times New Roman" w:hAnsi="Times New Roman"/>
                <w:sz w:val="16"/>
              </w:rPr>
              <w:t>10 710</w:t>
            </w:r>
          </w:p>
        </w:tc>
        <w:tc>
          <w:tcPr>
            <w:tcW w:type="dxa" w:w="1616"/>
            <w:vAlign w:val="center"/>
          </w:tcPr>
          <w:p>
            <w:pPr>
              <w:spacing w:after="40" w:before="40"/>
            </w:pPr>
            <w:r>
              <w:rPr>
                <w:rFonts w:ascii="Times New Roman" w:hAnsi="Times New Roman"/>
                <w:sz w:val="16"/>
              </w:rPr>
              <w:t>14 280</w:t>
            </w:r>
          </w:p>
        </w:tc>
        <w:tc>
          <w:tcPr>
            <w:tcW w:type="dxa" w:w="1616"/>
            <w:vAlign w:val="center"/>
          </w:tcPr>
          <w:p>
            <w:pPr>
              <w:spacing w:after="40" w:before="40"/>
            </w:pPr>
            <w:r>
              <w:rPr>
                <w:rFonts w:ascii="Times New Roman" w:hAnsi="Times New Roman"/>
                <w:sz w:val="16"/>
              </w:rPr>
              <w:t>14 280</w:t>
            </w:r>
          </w:p>
        </w:tc>
      </w:tr>
      <w:tr>
        <w:trPr>
          <w:cantSplit/>
        </w:trPr>
        <w:tc>
          <w:tcPr>
            <w:tcW w:type="dxa" w:w="2324"/>
            <w:vAlign w:val="center"/>
          </w:tcPr>
          <w:p>
            <w:pPr>
              <w:spacing w:after="40" w:before="40"/>
            </w:pPr>
            <w:r>
              <w:rPr>
                <w:rFonts w:ascii="Times New Roman" w:hAnsi="Times New Roman"/>
                <w:sz w:val="16"/>
              </w:rPr>
              <w:t>Экономия денег 1 поезда, PLN</w:t>
            </w:r>
          </w:p>
        </w:tc>
        <w:tc>
          <w:tcPr>
            <w:tcW w:type="dxa" w:w="1616"/>
            <w:vAlign w:val="center"/>
          </w:tcPr>
          <w:p>
            <w:pPr>
              <w:spacing w:after="40" w:before="40"/>
            </w:pPr>
            <w:r>
              <w:rPr>
                <w:rFonts w:ascii="Times New Roman" w:hAnsi="Times New Roman"/>
                <w:sz w:val="16"/>
              </w:rPr>
              <w:t>12 852 000</w:t>
            </w:r>
          </w:p>
        </w:tc>
        <w:tc>
          <w:tcPr>
            <w:tcW w:type="dxa" w:w="1616"/>
            <w:vAlign w:val="center"/>
          </w:tcPr>
          <w:p>
            <w:pPr>
              <w:spacing w:after="40" w:before="40"/>
            </w:pPr>
            <w:r>
              <w:rPr>
                <w:rFonts w:ascii="Times New Roman" w:hAnsi="Times New Roman"/>
                <w:sz w:val="16"/>
              </w:rPr>
              <w:t>17 379 365</w:t>
            </w:r>
          </w:p>
        </w:tc>
        <w:tc>
          <w:tcPr>
            <w:tcW w:type="dxa" w:w="1616"/>
            <w:vAlign w:val="center"/>
          </w:tcPr>
          <w:p>
            <w:pPr>
              <w:spacing w:after="40" w:before="40"/>
            </w:pPr>
            <w:r>
              <w:rPr>
                <w:rFonts w:ascii="Times New Roman" w:hAnsi="Times New Roman"/>
                <w:sz w:val="16"/>
              </w:rPr>
              <w:t>17 136 000</w:t>
            </w:r>
          </w:p>
        </w:tc>
        <w:tc>
          <w:tcPr>
            <w:tcW w:type="dxa" w:w="1616"/>
            <w:vAlign w:val="center"/>
          </w:tcPr>
          <w:p>
            <w:pPr>
              <w:spacing w:after="40" w:before="40"/>
            </w:pPr>
            <w:r>
              <w:rPr>
                <w:rFonts w:ascii="Times New Roman" w:hAnsi="Times New Roman"/>
                <w:sz w:val="16"/>
              </w:rPr>
              <w:t>25 876 210</w:t>
            </w:r>
          </w:p>
        </w:tc>
      </w:tr>
      <w:tr>
        <w:trPr>
          <w:cantSplit/>
        </w:trPr>
        <w:tc>
          <w:tcPr>
            <w:tcW w:type="dxa" w:w="2324"/>
            <w:vAlign w:val="center"/>
          </w:tcPr>
          <w:p>
            <w:pPr>
              <w:spacing w:after="40" w:before="40"/>
            </w:pPr>
            <w:r>
              <w:rPr>
                <w:rFonts w:ascii="Times New Roman" w:hAnsi="Times New Roman"/>
                <w:sz w:val="16"/>
              </w:rPr>
              <w:t>Экономия денег 20 поездов, PLN</w:t>
            </w:r>
          </w:p>
        </w:tc>
        <w:tc>
          <w:tcPr>
            <w:tcW w:type="dxa" w:w="1616"/>
            <w:vAlign w:val="center"/>
          </w:tcPr>
          <w:p>
            <w:pPr>
              <w:spacing w:after="40" w:before="40"/>
            </w:pPr>
            <w:r>
              <w:rPr>
                <w:rFonts w:ascii="Times New Roman" w:hAnsi="Times New Roman"/>
                <w:sz w:val="16"/>
              </w:rPr>
              <w:t>257 040 000</w:t>
            </w:r>
          </w:p>
        </w:tc>
        <w:tc>
          <w:tcPr>
            <w:tcW w:type="dxa" w:w="1616"/>
            <w:vAlign w:val="center"/>
          </w:tcPr>
          <w:p>
            <w:pPr>
              <w:spacing w:after="40" w:before="40"/>
            </w:pPr>
            <w:r>
              <w:rPr>
                <w:rFonts w:ascii="Times New Roman" w:hAnsi="Times New Roman"/>
                <w:sz w:val="16"/>
              </w:rPr>
              <w:t>347 587 303</w:t>
            </w:r>
          </w:p>
        </w:tc>
        <w:tc>
          <w:tcPr>
            <w:tcW w:type="dxa" w:w="1616"/>
            <w:vAlign w:val="center"/>
          </w:tcPr>
          <w:p>
            <w:pPr>
              <w:spacing w:after="40" w:before="40"/>
            </w:pPr>
            <w:r>
              <w:rPr>
                <w:rFonts w:ascii="Times New Roman" w:hAnsi="Times New Roman"/>
                <w:sz w:val="16"/>
              </w:rPr>
              <w:t>342 720 000</w:t>
            </w:r>
          </w:p>
        </w:tc>
        <w:tc>
          <w:tcPr>
            <w:tcW w:type="dxa" w:w="1616"/>
            <w:vAlign w:val="center"/>
          </w:tcPr>
          <w:p>
            <w:pPr>
              <w:spacing w:after="40" w:before="40"/>
            </w:pPr>
            <w:r>
              <w:rPr>
                <w:rFonts w:ascii="Times New Roman" w:hAnsi="Times New Roman"/>
                <w:sz w:val="16"/>
              </w:rPr>
              <w:t>517 524 192</w:t>
            </w:r>
          </w:p>
        </w:tc>
      </w:tr>
      <w:tr>
        <w:trPr>
          <w:cantSplit/>
        </w:trPr>
        <w:tc>
          <w:tcPr>
            <w:tcW w:type="dxa" w:w="2324"/>
            <w:vAlign w:val="center"/>
          </w:tcPr>
          <w:p>
            <w:pPr>
              <w:spacing w:after="40" w:before="40"/>
            </w:pPr>
            <w:r>
              <w:rPr>
                <w:rFonts w:ascii="Times New Roman" w:hAnsi="Times New Roman"/>
                <w:sz w:val="16"/>
              </w:rPr>
              <w:t>ЧИСТАЯ выгода 1 поезда, PLN</w:t>
            </w:r>
          </w:p>
        </w:tc>
        <w:tc>
          <w:tcPr>
            <w:tcW w:type="dxa" w:w="1616"/>
            <w:vAlign w:val="center"/>
          </w:tcPr>
          <w:p>
            <w:pPr>
              <w:spacing w:after="40" w:before="40"/>
            </w:pPr>
            <w:r>
              <w:rPr>
                <w:rFonts w:ascii="Times New Roman" w:hAnsi="Times New Roman"/>
                <w:sz w:val="16"/>
              </w:rPr>
              <w:t>12 452 000</w:t>
            </w:r>
          </w:p>
        </w:tc>
        <w:tc>
          <w:tcPr>
            <w:tcW w:type="dxa" w:w="1616"/>
            <w:vAlign w:val="center"/>
          </w:tcPr>
          <w:p>
            <w:pPr>
              <w:spacing w:after="40" w:before="40"/>
            </w:pPr>
            <w:r>
              <w:rPr>
                <w:rFonts w:ascii="Times New Roman" w:hAnsi="Times New Roman"/>
                <w:sz w:val="16"/>
              </w:rPr>
              <w:t>16 979 365</w:t>
            </w:r>
          </w:p>
        </w:tc>
        <w:tc>
          <w:tcPr>
            <w:tcW w:type="dxa" w:w="1616"/>
            <w:vAlign w:val="center"/>
          </w:tcPr>
          <w:p>
            <w:pPr>
              <w:spacing w:after="40" w:before="40"/>
            </w:pPr>
            <w:r>
              <w:rPr>
                <w:rFonts w:ascii="Times New Roman" w:hAnsi="Times New Roman"/>
                <w:sz w:val="16"/>
              </w:rPr>
              <w:t>16 736 000</w:t>
            </w:r>
          </w:p>
        </w:tc>
        <w:tc>
          <w:tcPr>
            <w:tcW w:type="dxa" w:w="1616"/>
            <w:vAlign w:val="center"/>
          </w:tcPr>
          <w:p>
            <w:pPr>
              <w:spacing w:after="40" w:before="40"/>
            </w:pPr>
            <w:r>
              <w:rPr>
                <w:rFonts w:ascii="Times New Roman" w:hAnsi="Times New Roman"/>
                <w:sz w:val="16"/>
              </w:rPr>
              <w:t>25 476 210</w:t>
            </w:r>
          </w:p>
        </w:tc>
      </w:tr>
      <w:tr>
        <w:trPr>
          <w:cantSplit/>
        </w:trPr>
        <w:tc>
          <w:tcPr>
            <w:tcW w:type="dxa" w:w="2324"/>
            <w:vAlign w:val="center"/>
          </w:tcPr>
          <w:p>
            <w:pPr>
              <w:spacing w:after="40" w:before="40"/>
            </w:pPr>
            <w:r>
              <w:rPr>
                <w:rFonts w:ascii="Times New Roman" w:hAnsi="Times New Roman"/>
                <w:sz w:val="16"/>
              </w:rPr>
              <w:t>ЧИСТАЯ выгода 20 поездов, PLN</w:t>
            </w:r>
          </w:p>
        </w:tc>
        <w:tc>
          <w:tcPr>
            <w:tcW w:type="dxa" w:w="1616"/>
            <w:vAlign w:val="center"/>
          </w:tcPr>
          <w:p>
            <w:pPr>
              <w:spacing w:after="40" w:before="40"/>
            </w:pPr>
            <w:r>
              <w:rPr>
                <w:rFonts w:ascii="Times New Roman" w:hAnsi="Times New Roman"/>
                <w:sz w:val="16"/>
              </w:rPr>
              <w:t>249 040 000</w:t>
            </w:r>
          </w:p>
        </w:tc>
        <w:tc>
          <w:tcPr>
            <w:tcW w:type="dxa" w:w="1616"/>
            <w:vAlign w:val="center"/>
          </w:tcPr>
          <w:p>
            <w:pPr>
              <w:spacing w:after="40" w:before="40"/>
            </w:pPr>
            <w:r>
              <w:rPr>
                <w:rFonts w:ascii="Times New Roman" w:hAnsi="Times New Roman"/>
                <w:sz w:val="16"/>
              </w:rPr>
              <w:t>339 587 303</w:t>
            </w:r>
          </w:p>
        </w:tc>
        <w:tc>
          <w:tcPr>
            <w:tcW w:type="dxa" w:w="1616"/>
            <w:vAlign w:val="center"/>
          </w:tcPr>
          <w:p>
            <w:pPr>
              <w:spacing w:after="40" w:before="40"/>
            </w:pPr>
            <w:r>
              <w:rPr>
                <w:rFonts w:ascii="Times New Roman" w:hAnsi="Times New Roman"/>
                <w:sz w:val="16"/>
              </w:rPr>
              <w:t>334 720 000</w:t>
            </w:r>
          </w:p>
        </w:tc>
        <w:tc>
          <w:tcPr>
            <w:tcW w:type="dxa" w:w="1616"/>
            <w:vAlign w:val="center"/>
          </w:tcPr>
          <w:p>
            <w:pPr>
              <w:spacing w:after="40" w:before="40"/>
            </w:pPr>
            <w:r>
              <w:rPr>
                <w:rFonts w:ascii="Times New Roman" w:hAnsi="Times New Roman"/>
                <w:sz w:val="16"/>
              </w:rPr>
              <w:t>509 524 192</w:t>
            </w:r>
          </w:p>
        </w:tc>
      </w:tr>
    </w:tbl>
    <w:p>
      <w:pPr>
        <w:spacing w:after="20"/>
      </w:pPr>
    </w:p>
    <w:p>
      <w:r>
        <w:t>Дополнительно по Part 2: экономия электроэнергии для 20 поездов за 30 лет = 214 200 МВт·ч. Средняя годовая денежная экономия парка при неизменном тарифе = 8 568 000 PLN; при росте тарифа 2% — около 11 586 243 PLN в среднем за 30 лет.</w:t>
      </w:r>
    </w:p>
    <w:p>
      <w:r>
        <w:t>По Part 4: рост тарифа не меняет простой срок окупаемости в этой модели, поскольку доплата полностью покрывается экономией в первом году, ещё до первого повышения тарифа.</w:t>
      </w:r>
    </w:p>
    <w:p>
      <w:pPr>
        <w:pStyle w:val="Heading2"/>
      </w:pPr>
      <w:r>
        <w:t>3.3. Графики накопления финансовой выгоды</w:t>
      </w:r>
    </w:p>
    <w:p>
      <w:r>
        <w:drawing>
          <wp:inline xmlns:a="http://schemas.openxmlformats.org/drawingml/2006/main" xmlns:pic="http://schemas.openxmlformats.org/drawingml/2006/picture">
            <wp:extent cx="5868000" cy="2506545"/>
            <wp:docPr id="1" name="Picture 1"/>
            <wp:cNvGraphicFramePr>
              <a:graphicFrameLocks noChangeAspect="1"/>
            </wp:cNvGraphicFramePr>
            <a:graphic>
              <a:graphicData uri="http://schemas.openxmlformats.org/drawingml/2006/picture">
                <pic:pic>
                  <pic:nvPicPr>
                    <pic:cNvPr id="0" name="benefit_30.png"/>
                    <pic:cNvPicPr/>
                  </pic:nvPicPr>
                  <pic:blipFill>
                    <a:blip r:embed="rId10"/>
                    <a:stretch>
                      <a:fillRect/>
                    </a:stretch>
                  </pic:blipFill>
                  <pic:spPr>
                    <a:xfrm>
                      <a:off x="0" y="0"/>
                      <a:ext cx="5868000" cy="2506545"/>
                    </a:xfrm>
                    <a:prstGeom prst="rect"/>
                  </pic:spPr>
                </pic:pic>
              </a:graphicData>
            </a:graphic>
          </wp:inline>
        </w:drawing>
      </w:r>
    </w:p>
    <w:p>
      <w:pPr>
        <w:pStyle w:val="Caption"/>
      </w:pPr>
      <w:r>
        <w:t>Рисунок. Накопленная денежная экономия одного поезда после вычета 400 000 PLN. 30 лет.</w:t>
      </w:r>
    </w:p>
    <w:p>
      <w:r>
        <w:drawing>
          <wp:inline xmlns:a="http://schemas.openxmlformats.org/drawingml/2006/main" xmlns:pic="http://schemas.openxmlformats.org/drawingml/2006/picture">
            <wp:extent cx="5868000" cy="2506545"/>
            <wp:docPr id="2" name="Picture 2"/>
            <wp:cNvGraphicFramePr>
              <a:graphicFrameLocks noChangeAspect="1"/>
            </wp:cNvGraphicFramePr>
            <a:graphic>
              <a:graphicData uri="http://schemas.openxmlformats.org/drawingml/2006/picture">
                <pic:pic>
                  <pic:nvPicPr>
                    <pic:cNvPr id="0" name="benefit_40.png"/>
                    <pic:cNvPicPr/>
                  </pic:nvPicPr>
                  <pic:blipFill>
                    <a:blip r:embed="rId11"/>
                    <a:stretch>
                      <a:fillRect/>
                    </a:stretch>
                  </pic:blipFill>
                  <pic:spPr>
                    <a:xfrm>
                      <a:off x="0" y="0"/>
                      <a:ext cx="5868000" cy="2506545"/>
                    </a:xfrm>
                    <a:prstGeom prst="rect"/>
                  </pic:spPr>
                </pic:pic>
              </a:graphicData>
            </a:graphic>
          </wp:inline>
        </w:drawing>
      </w:r>
    </w:p>
    <w:p>
      <w:pPr>
        <w:pStyle w:val="Caption"/>
      </w:pPr>
      <w:r>
        <w:t>Рисунок. Накопленная денежная экономия одного поезда после вычета 400 000 PLN. 40 лет.</w:t>
      </w:r>
    </w:p>
    <w:p>
      <w:pPr>
        <w:pStyle w:val="Heading2"/>
      </w:pPr>
      <w:r>
        <w:t>3.4. Анализ устойчивости результата (не климатический прогноз)</w:t>
      </w:r>
    </w:p>
    <w:p>
      <w:r>
        <w:t>Для проверки устойчивости итогов можно условно менять заданную разницу энергопотребления между A и B на ±10%. Это только тест сценариев, а не измеренное влияние ветра или мороза.</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cantSplit/>
        </w:trPr>
        <w:tc>
          <w:tcPr>
            <w:tcW w:type="dxa" w:w="2778"/>
            <w:vAlign w:val="center"/>
            <w:shd w:fill="E9EFF5"/>
          </w:tcPr>
          <w:p>
            <w:pPr>
              <w:spacing w:after="40" w:before="40"/>
            </w:pPr>
            <w:r>
              <w:rPr>
                <w:rFonts w:ascii="Times New Roman" w:hAnsi="Times New Roman"/>
                <w:b/>
                <w:sz w:val="18"/>
              </w:rPr>
              <w:t>Сценарий</w:t>
            </w:r>
          </w:p>
        </w:tc>
        <w:tc>
          <w:tcPr>
            <w:tcW w:type="dxa" w:w="2041"/>
            <w:vAlign w:val="center"/>
            <w:shd w:fill="E9EFF5"/>
          </w:tcPr>
          <w:p>
            <w:pPr>
              <w:spacing w:after="40" w:before="40"/>
            </w:pPr>
            <w:r>
              <w:rPr>
                <w:rFonts w:ascii="Times New Roman" w:hAnsi="Times New Roman"/>
                <w:b/>
                <w:sz w:val="18"/>
              </w:rPr>
              <w:t>Экономия, МВт·ч/год</w:t>
            </w:r>
          </w:p>
        </w:tc>
        <w:tc>
          <w:tcPr>
            <w:tcW w:type="dxa" w:w="2041"/>
            <w:vAlign w:val="center"/>
            <w:shd w:fill="E9EFF5"/>
          </w:tcPr>
          <w:p>
            <w:pPr>
              <w:spacing w:after="40" w:before="40"/>
            </w:pPr>
            <w:r>
              <w:rPr>
                <w:rFonts w:ascii="Times New Roman" w:hAnsi="Times New Roman"/>
                <w:b/>
                <w:sz w:val="18"/>
              </w:rPr>
              <w:t>Экономия, PLN/год</w:t>
            </w:r>
          </w:p>
        </w:tc>
        <w:tc>
          <w:tcPr>
            <w:tcW w:type="dxa" w:w="1757"/>
            <w:vAlign w:val="center"/>
            <w:shd w:fill="E9EFF5"/>
          </w:tcPr>
          <w:p>
            <w:pPr>
              <w:spacing w:after="40" w:before="40"/>
            </w:pPr>
            <w:r>
              <w:rPr>
                <w:rFonts w:ascii="Times New Roman" w:hAnsi="Times New Roman"/>
                <w:b/>
                <w:sz w:val="18"/>
              </w:rPr>
              <w:t>Окупаемость</w:t>
            </w:r>
          </w:p>
        </w:tc>
      </w:tr>
      <w:tr>
        <w:trPr>
          <w:cantSplit/>
        </w:trPr>
        <w:tc>
          <w:tcPr>
            <w:tcW w:type="dxa" w:w="2778"/>
            <w:vAlign w:val="center"/>
          </w:tcPr>
          <w:p>
            <w:pPr>
              <w:spacing w:after="40" w:before="40"/>
            </w:pPr>
            <w:r>
              <w:rPr>
                <w:rFonts w:ascii="Times New Roman" w:hAnsi="Times New Roman"/>
                <w:sz w:val="18"/>
              </w:rPr>
              <w:t>На 10% меньше</w:t>
            </w:r>
          </w:p>
        </w:tc>
        <w:tc>
          <w:tcPr>
            <w:tcW w:type="dxa" w:w="2041"/>
            <w:vAlign w:val="center"/>
          </w:tcPr>
          <w:p>
            <w:pPr>
              <w:spacing w:after="40" w:before="40"/>
            </w:pPr>
            <w:r>
              <w:rPr>
                <w:rFonts w:ascii="Times New Roman" w:hAnsi="Times New Roman"/>
                <w:sz w:val="18"/>
              </w:rPr>
              <w:t>321,3</w:t>
            </w:r>
          </w:p>
        </w:tc>
        <w:tc>
          <w:tcPr>
            <w:tcW w:type="dxa" w:w="2041"/>
            <w:vAlign w:val="center"/>
          </w:tcPr>
          <w:p>
            <w:pPr>
              <w:spacing w:after="40" w:before="40"/>
            </w:pPr>
            <w:r>
              <w:rPr>
                <w:rFonts w:ascii="Times New Roman" w:hAnsi="Times New Roman"/>
                <w:sz w:val="18"/>
              </w:rPr>
              <w:t>385 560</w:t>
            </w:r>
          </w:p>
        </w:tc>
        <w:tc>
          <w:tcPr>
            <w:tcW w:type="dxa" w:w="1757"/>
            <w:vAlign w:val="center"/>
          </w:tcPr>
          <w:p>
            <w:pPr>
              <w:spacing w:after="40" w:before="40"/>
            </w:pPr>
            <w:r>
              <w:rPr>
                <w:rFonts w:ascii="Times New Roman" w:hAnsi="Times New Roman"/>
                <w:sz w:val="18"/>
              </w:rPr>
              <w:t>12,45 месяца</w:t>
            </w:r>
          </w:p>
        </w:tc>
      </w:tr>
      <w:tr>
        <w:trPr>
          <w:cantSplit/>
        </w:trPr>
        <w:tc>
          <w:tcPr>
            <w:tcW w:type="dxa" w:w="2778"/>
            <w:vAlign w:val="center"/>
          </w:tcPr>
          <w:p>
            <w:pPr>
              <w:spacing w:after="40" w:before="40"/>
            </w:pPr>
            <w:r>
              <w:rPr>
                <w:rFonts w:ascii="Times New Roman" w:hAnsi="Times New Roman"/>
                <w:sz w:val="18"/>
              </w:rPr>
              <w:t>База (слайд Stadler)</w:t>
            </w:r>
          </w:p>
        </w:tc>
        <w:tc>
          <w:tcPr>
            <w:tcW w:type="dxa" w:w="2041"/>
            <w:vAlign w:val="center"/>
          </w:tcPr>
          <w:p>
            <w:pPr>
              <w:spacing w:after="40" w:before="40"/>
            </w:pPr>
            <w:r>
              <w:rPr>
                <w:rFonts w:ascii="Times New Roman" w:hAnsi="Times New Roman"/>
                <w:sz w:val="18"/>
              </w:rPr>
              <w:t>357,0</w:t>
            </w:r>
          </w:p>
        </w:tc>
        <w:tc>
          <w:tcPr>
            <w:tcW w:type="dxa" w:w="2041"/>
            <w:vAlign w:val="center"/>
          </w:tcPr>
          <w:p>
            <w:pPr>
              <w:spacing w:after="40" w:before="40"/>
            </w:pPr>
            <w:r>
              <w:rPr>
                <w:rFonts w:ascii="Times New Roman" w:hAnsi="Times New Roman"/>
                <w:sz w:val="18"/>
              </w:rPr>
              <w:t>428 400</w:t>
            </w:r>
          </w:p>
        </w:tc>
        <w:tc>
          <w:tcPr>
            <w:tcW w:type="dxa" w:w="1757"/>
            <w:vAlign w:val="center"/>
          </w:tcPr>
          <w:p>
            <w:pPr>
              <w:spacing w:after="40" w:before="40"/>
            </w:pPr>
            <w:r>
              <w:rPr>
                <w:rFonts w:ascii="Times New Roman" w:hAnsi="Times New Roman"/>
                <w:sz w:val="18"/>
              </w:rPr>
              <w:t>11,20 месяца</w:t>
            </w:r>
          </w:p>
        </w:tc>
      </w:tr>
      <w:tr>
        <w:trPr>
          <w:cantSplit/>
        </w:trPr>
        <w:tc>
          <w:tcPr>
            <w:tcW w:type="dxa" w:w="2778"/>
            <w:vAlign w:val="center"/>
          </w:tcPr>
          <w:p>
            <w:pPr>
              <w:spacing w:after="40" w:before="40"/>
            </w:pPr>
            <w:r>
              <w:rPr>
                <w:rFonts w:ascii="Times New Roman" w:hAnsi="Times New Roman"/>
                <w:sz w:val="18"/>
              </w:rPr>
              <w:t>На 10% больше</w:t>
            </w:r>
          </w:p>
        </w:tc>
        <w:tc>
          <w:tcPr>
            <w:tcW w:type="dxa" w:w="2041"/>
            <w:vAlign w:val="center"/>
          </w:tcPr>
          <w:p>
            <w:pPr>
              <w:spacing w:after="40" w:before="40"/>
            </w:pPr>
            <w:r>
              <w:rPr>
                <w:rFonts w:ascii="Times New Roman" w:hAnsi="Times New Roman"/>
                <w:sz w:val="18"/>
              </w:rPr>
              <w:t>392,7</w:t>
            </w:r>
          </w:p>
        </w:tc>
        <w:tc>
          <w:tcPr>
            <w:tcW w:type="dxa" w:w="2041"/>
            <w:vAlign w:val="center"/>
          </w:tcPr>
          <w:p>
            <w:pPr>
              <w:spacing w:after="40" w:before="40"/>
            </w:pPr>
            <w:r>
              <w:rPr>
                <w:rFonts w:ascii="Times New Roman" w:hAnsi="Times New Roman"/>
                <w:sz w:val="18"/>
              </w:rPr>
              <w:t>471 240</w:t>
            </w:r>
          </w:p>
        </w:tc>
        <w:tc>
          <w:tcPr>
            <w:tcW w:type="dxa" w:w="1757"/>
            <w:vAlign w:val="center"/>
          </w:tcPr>
          <w:p>
            <w:pPr>
              <w:spacing w:after="40" w:before="40"/>
            </w:pPr>
            <w:r>
              <w:rPr>
                <w:rFonts w:ascii="Times New Roman" w:hAnsi="Times New Roman"/>
                <w:sz w:val="18"/>
              </w:rPr>
              <w:t>10,19 месяца</w:t>
            </w:r>
          </w:p>
        </w:tc>
      </w:tr>
    </w:tbl>
    <w:p>
      <w:pPr>
        <w:spacing w:after="20"/>
      </w:pPr>
    </w:p>
    <w:p>
      <w:r>
        <w:t>Даже при условном снижении сравнительной экономии на 10% доплата окупается примерно за 12,45 месяца. Важно: сценарий −10% не означает, что зима уменьшит экономию именно на 10%.</w:t>
      </w:r>
    </w:p>
    <w:p>
      <w:pPr>
        <w:pStyle w:val="Heading1"/>
      </w:pPr>
      <w:r>
        <w:t>4. Дополнительная экономика: NPV, стоимость жизненного цикла, ограничения</w:t>
      </w:r>
    </w:p>
    <w:p>
      <w:pPr>
        <w:pStyle w:val="Heading2"/>
      </w:pPr>
      <w:r>
        <w:t>4.1. Что такое NPV и почему он полезен (необязательно)</w:t>
      </w:r>
    </w:p>
    <w:p>
      <w:r>
        <w:t>NPV (Net Present Value) — чистая приведённая стоимость. В отличие от простого срока окупаемости, учитывает, что деньги через 10–30 лет стоят меньше денег сегодня. Каждый будущий ежегодный денежный поток делят на (1 + ставка дисконтирования)^номер года, затем вычитают дополнительные 400 000 PLN.</w:t>
      </w:r>
    </w:p>
    <w:p>
      <w:r>
        <w:t>Ни презентация, ни задание НЕ требуют обязательного расчёта NPV. Ниже — исключительно иллюстрация для более сильного экономического обоснования.</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cantSplit/>
        </w:trPr>
        <w:tc>
          <w:tcPr>
            <w:tcW w:type="dxa" w:w="1928"/>
            <w:vAlign w:val="center"/>
            <w:shd w:fill="E9EFF5"/>
          </w:tcPr>
          <w:p>
            <w:pPr>
              <w:spacing w:after="40" w:before="40"/>
            </w:pPr>
            <w:r>
              <w:rPr>
                <w:rFonts w:ascii="Times New Roman" w:hAnsi="Times New Roman"/>
                <w:b/>
                <w:sz w:val="18"/>
              </w:rPr>
              <w:t>Ставка (пример)</w:t>
            </w:r>
          </w:p>
        </w:tc>
        <w:tc>
          <w:tcPr>
            <w:tcW w:type="dxa" w:w="2324"/>
            <w:vAlign w:val="center"/>
            <w:shd w:fill="E9EFF5"/>
          </w:tcPr>
          <w:p>
            <w:pPr>
              <w:spacing w:after="40" w:before="40"/>
            </w:pPr>
            <w:r>
              <w:rPr>
                <w:rFonts w:ascii="Times New Roman" w:hAnsi="Times New Roman"/>
                <w:b/>
                <w:sz w:val="18"/>
              </w:rPr>
              <w:t>30 лет, тариф фиксирован: NPV</w:t>
            </w:r>
          </w:p>
        </w:tc>
        <w:tc>
          <w:tcPr>
            <w:tcW w:type="dxa" w:w="2324"/>
            <w:vAlign w:val="center"/>
            <w:shd w:fill="E9EFF5"/>
          </w:tcPr>
          <w:p>
            <w:pPr>
              <w:spacing w:after="40" w:before="40"/>
            </w:pPr>
            <w:r>
              <w:rPr>
                <w:rFonts w:ascii="Times New Roman" w:hAnsi="Times New Roman"/>
                <w:b/>
                <w:sz w:val="18"/>
              </w:rPr>
              <w:t>30 лет, рост 2%: NPV</w:t>
            </w:r>
          </w:p>
        </w:tc>
        <w:tc>
          <w:tcPr>
            <w:tcW w:type="dxa" w:w="2381"/>
            <w:vAlign w:val="center"/>
            <w:shd w:fill="E9EFF5"/>
          </w:tcPr>
          <w:p>
            <w:pPr>
              <w:spacing w:after="40" w:before="40"/>
            </w:pPr>
            <w:r>
              <w:rPr>
                <w:rFonts w:ascii="Times New Roman" w:hAnsi="Times New Roman"/>
                <w:b/>
                <w:sz w:val="18"/>
              </w:rPr>
              <w:t>40 лет, рост 2%: NPV</w:t>
            </w:r>
          </w:p>
        </w:tc>
      </w:tr>
      <w:tr>
        <w:trPr>
          <w:cantSplit/>
        </w:trPr>
        <w:tc>
          <w:tcPr>
            <w:tcW w:type="dxa" w:w="1928"/>
            <w:vAlign w:val="center"/>
          </w:tcPr>
          <w:p>
            <w:pPr>
              <w:spacing w:after="40" w:before="40"/>
            </w:pPr>
            <w:r>
              <w:rPr>
                <w:rFonts w:ascii="Times New Roman" w:hAnsi="Times New Roman"/>
                <w:sz w:val="18"/>
              </w:rPr>
              <w:t>5%</w:t>
            </w:r>
          </w:p>
        </w:tc>
        <w:tc>
          <w:tcPr>
            <w:tcW w:type="dxa" w:w="2324"/>
            <w:vAlign w:val="center"/>
          </w:tcPr>
          <w:p>
            <w:pPr>
              <w:spacing w:after="40" w:before="40"/>
            </w:pPr>
            <w:r>
              <w:rPr>
                <w:rFonts w:ascii="Times New Roman" w:hAnsi="Times New Roman"/>
                <w:sz w:val="18"/>
              </w:rPr>
              <w:t>6 185 558 PLN</w:t>
            </w:r>
          </w:p>
        </w:tc>
        <w:tc>
          <w:tcPr>
            <w:tcW w:type="dxa" w:w="2324"/>
            <w:vAlign w:val="center"/>
          </w:tcPr>
          <w:p>
            <w:pPr>
              <w:spacing w:after="40" w:before="40"/>
            </w:pPr>
            <w:r>
              <w:rPr>
                <w:rFonts w:ascii="Times New Roman" w:hAnsi="Times New Roman"/>
                <w:sz w:val="18"/>
              </w:rPr>
              <w:t>7 895 135 PLN</w:t>
            </w:r>
          </w:p>
        </w:tc>
        <w:tc>
          <w:tcPr>
            <w:tcW w:type="dxa" w:w="2381"/>
            <w:vAlign w:val="center"/>
          </w:tcPr>
          <w:p>
            <w:pPr>
              <w:spacing w:after="40" w:before="40"/>
            </w:pPr>
            <w:r>
              <w:rPr>
                <w:rFonts w:ascii="Times New Roman" w:hAnsi="Times New Roman"/>
                <w:sz w:val="18"/>
              </w:rPr>
              <w:t>9 401 185 PLN</w:t>
            </w:r>
          </w:p>
        </w:tc>
      </w:tr>
      <w:tr>
        <w:trPr>
          <w:cantSplit/>
        </w:trPr>
        <w:tc>
          <w:tcPr>
            <w:tcW w:type="dxa" w:w="1928"/>
            <w:vAlign w:val="center"/>
          </w:tcPr>
          <w:p>
            <w:pPr>
              <w:spacing w:after="40" w:before="40"/>
            </w:pPr>
            <w:r>
              <w:rPr>
                <w:rFonts w:ascii="Times New Roman" w:hAnsi="Times New Roman"/>
                <w:sz w:val="18"/>
              </w:rPr>
              <w:t>10%</w:t>
            </w:r>
          </w:p>
        </w:tc>
        <w:tc>
          <w:tcPr>
            <w:tcW w:type="dxa" w:w="2324"/>
            <w:vAlign w:val="center"/>
          </w:tcPr>
          <w:p>
            <w:pPr>
              <w:spacing w:after="40" w:before="40"/>
            </w:pPr>
            <w:r>
              <w:rPr>
                <w:rFonts w:ascii="Times New Roman" w:hAnsi="Times New Roman"/>
                <w:sz w:val="18"/>
              </w:rPr>
              <w:t>3 638 490 PLN</w:t>
            </w:r>
          </w:p>
        </w:tc>
        <w:tc>
          <w:tcPr>
            <w:tcW w:type="dxa" w:w="2324"/>
            <w:vAlign w:val="center"/>
          </w:tcPr>
          <w:p>
            <w:pPr>
              <w:spacing w:after="40" w:before="40"/>
            </w:pPr>
            <w:r>
              <w:rPr>
                <w:rFonts w:ascii="Times New Roman" w:hAnsi="Times New Roman"/>
                <w:sz w:val="18"/>
              </w:rPr>
              <w:t>4 399 116 PLN</w:t>
            </w:r>
          </w:p>
        </w:tc>
        <w:tc>
          <w:tcPr>
            <w:tcW w:type="dxa" w:w="2381"/>
            <w:vAlign w:val="center"/>
          </w:tcPr>
          <w:p>
            <w:pPr>
              <w:spacing w:after="40" w:before="40"/>
            </w:pPr>
            <w:r>
              <w:rPr>
                <w:rFonts w:ascii="Times New Roman" w:hAnsi="Times New Roman"/>
                <w:sz w:val="18"/>
              </w:rPr>
              <w:t>4 693 748 PLN</w:t>
            </w:r>
          </w:p>
        </w:tc>
      </w:tr>
    </w:tbl>
    <w:p>
      <w:pPr>
        <w:spacing w:after="20"/>
      </w:pPr>
    </w:p>
    <w:p>
      <w:r>
        <w:t>В демонстрационных сценариях NPV положителен, но эти цифры не включают ремонт, финансирование, стоимость производства, остаточную стоимость, налоги и прочие реальные различия. Ставки 5% и 10% взяты для примера, не назначены Stadler.</w:t>
      </w:r>
    </w:p>
    <w:p>
      <w:pPr>
        <w:pStyle w:val="Heading2"/>
      </w:pPr>
      <w:r>
        <w:t>4.2. Важное различие: «проект выгоден по электричеству» и «переход полностью выгоден»</w:t>
      </w:r>
    </w:p>
    <w:p>
      <w:r>
        <w:t>На исходных данных алюминиевый поезд уверенно выигрывает именно по эксплуатационной электроэнергии. Но полный выбор материала требует данных о цене сырья, поставках, сварке, браке, обслуживании, сроке службы, ремонте, остаточной стоимости и возможных экологических эффектах. Их в слайдах нет — поэтому объявлять полную экономическую победу алюминия было бы некорректно.</w:t>
      </w:r>
    </w:p>
    <w:p>
      <w:r>
        <w:t>Правильная формулировка для защиты: «Алюминиевый вариант выгоднее по стоимости электроэнергии при условиях данного кейса. Полную техническую и экономическую целесообразность перехода необходимо подтвердить дополнительным анализом производственных и жизненных затрат».</w:t>
      </w:r>
    </w:p>
    <w:p>
      <w:pPr>
        <w:pStyle w:val="Heading1"/>
      </w:pPr>
      <w:r>
        <w:t>5. Казахстан: климат, маршруты и сезонность</w:t>
      </w:r>
    </w:p>
    <w:p>
      <w:pPr>
        <w:pStyle w:val="Heading2"/>
      </w:pPr>
      <w:r>
        <w:t>5.1. Какие факторы могут изменить расход электроэнергии</w:t>
      </w:r>
    </w:p>
    <w:tbl>
      <w:tblPr>
        <w:tblStyle w:val="TableGrid"/>
        <w:tblW w:type="auto" w:w="0"/>
        <w:jc w:val="center"/>
        <w:tblLook w:firstColumn="1" w:firstRow="1" w:lastColumn="0" w:lastRow="0" w:noHBand="0" w:noVBand="1" w:val="04A0"/>
      </w:tblPr>
      <w:tblGrid>
        <w:gridCol w:w="3305"/>
        <w:gridCol w:w="3305"/>
        <w:gridCol w:w="3305"/>
      </w:tblGrid>
      <w:tr>
        <w:trPr>
          <w:tblHeader w:val="true"/>
          <w:cantSplit/>
        </w:trPr>
        <w:tc>
          <w:tcPr>
            <w:tcW w:type="dxa" w:w="1701"/>
            <w:vAlign w:val="center"/>
            <w:shd w:fill="E9EFF5"/>
          </w:tcPr>
          <w:p>
            <w:pPr>
              <w:spacing w:after="40" w:before="40"/>
            </w:pPr>
            <w:r>
              <w:rPr>
                <w:rFonts w:ascii="Times New Roman" w:hAnsi="Times New Roman"/>
                <w:b/>
                <w:sz w:val="17"/>
              </w:rPr>
              <w:t>Фактор</w:t>
            </w:r>
          </w:p>
        </w:tc>
        <w:tc>
          <w:tcPr>
            <w:tcW w:type="dxa" w:w="3515"/>
            <w:vAlign w:val="center"/>
            <w:shd w:fill="E9EFF5"/>
          </w:tcPr>
          <w:p>
            <w:pPr>
              <w:spacing w:after="40" w:before="40"/>
            </w:pPr>
            <w:r>
              <w:rPr>
                <w:rFonts w:ascii="Times New Roman" w:hAnsi="Times New Roman"/>
                <w:b/>
                <w:sz w:val="17"/>
              </w:rPr>
              <w:t>Что физически происходит</w:t>
            </w:r>
          </w:p>
        </w:tc>
        <w:tc>
          <w:tcPr>
            <w:tcW w:type="dxa" w:w="3402"/>
            <w:vAlign w:val="center"/>
            <w:shd w:fill="E9EFF5"/>
          </w:tcPr>
          <w:p>
            <w:pPr>
              <w:spacing w:after="40" w:before="40"/>
            </w:pPr>
            <w:r>
              <w:rPr>
                <w:rFonts w:ascii="Times New Roman" w:hAnsi="Times New Roman"/>
                <w:b/>
                <w:sz w:val="17"/>
              </w:rPr>
              <w:t>Что нужно для точного учёта</w:t>
            </w:r>
          </w:p>
        </w:tc>
      </w:tr>
      <w:tr>
        <w:trPr>
          <w:cantSplit/>
        </w:trPr>
        <w:tc>
          <w:tcPr>
            <w:tcW w:type="dxa" w:w="1701"/>
            <w:vAlign w:val="center"/>
          </w:tcPr>
          <w:p>
            <w:pPr>
              <w:spacing w:after="40" w:before="40"/>
            </w:pPr>
            <w:r>
              <w:rPr>
                <w:rFonts w:ascii="Times New Roman" w:hAnsi="Times New Roman"/>
                <w:sz w:val="17"/>
              </w:rPr>
              <w:t>Суровые зимы (например, −40 °C)</w:t>
            </w:r>
          </w:p>
        </w:tc>
        <w:tc>
          <w:tcPr>
            <w:tcW w:type="dxa" w:w="3515"/>
            <w:vAlign w:val="center"/>
          </w:tcPr>
          <w:p>
            <w:pPr>
              <w:spacing w:after="40" w:before="40"/>
            </w:pPr>
            <w:r>
              <w:rPr>
                <w:rFonts w:ascii="Times New Roman" w:hAnsi="Times New Roman"/>
                <w:sz w:val="17"/>
              </w:rPr>
              <w:t>Дополнительное отопление, антиобледенение, теплопотери, снег и загрязнение пути</w:t>
            </w:r>
          </w:p>
        </w:tc>
        <w:tc>
          <w:tcPr>
            <w:tcW w:type="dxa" w:w="3402"/>
            <w:vAlign w:val="center"/>
          </w:tcPr>
          <w:p>
            <w:pPr>
              <w:spacing w:after="40" w:before="40"/>
            </w:pPr>
            <w:r>
              <w:rPr>
                <w:rFonts w:ascii="Times New Roman" w:hAnsi="Times New Roman"/>
                <w:sz w:val="17"/>
              </w:rPr>
              <w:t>Потребление HVAC и обогрева по месяцам для A/B; профиль зимнего движения</w:t>
            </w:r>
          </w:p>
        </w:tc>
      </w:tr>
      <w:tr>
        <w:trPr>
          <w:cantSplit/>
        </w:trPr>
        <w:tc>
          <w:tcPr>
            <w:tcW w:type="dxa" w:w="1701"/>
            <w:vAlign w:val="center"/>
          </w:tcPr>
          <w:p>
            <w:pPr>
              <w:spacing w:after="40" w:before="40"/>
            </w:pPr>
            <w:r>
              <w:rPr>
                <w:rFonts w:ascii="Times New Roman" w:hAnsi="Times New Roman"/>
                <w:sz w:val="17"/>
              </w:rPr>
              <w:t>Жаркое лето</w:t>
            </w:r>
          </w:p>
        </w:tc>
        <w:tc>
          <w:tcPr>
            <w:tcW w:type="dxa" w:w="3515"/>
            <w:vAlign w:val="center"/>
          </w:tcPr>
          <w:p>
            <w:pPr>
              <w:spacing w:after="40" w:before="40"/>
            </w:pPr>
            <w:r>
              <w:rPr>
                <w:rFonts w:ascii="Times New Roman" w:hAnsi="Times New Roman"/>
                <w:sz w:val="17"/>
              </w:rPr>
              <w:t>Рост электричества на кондиционирование и охлаждение</w:t>
            </w:r>
          </w:p>
        </w:tc>
        <w:tc>
          <w:tcPr>
            <w:tcW w:type="dxa" w:w="3402"/>
            <w:vAlign w:val="center"/>
          </w:tcPr>
          <w:p>
            <w:pPr>
              <w:spacing w:after="40" w:before="40"/>
            </w:pPr>
            <w:r>
              <w:rPr>
                <w:rFonts w:ascii="Times New Roman" w:hAnsi="Times New Roman"/>
                <w:sz w:val="17"/>
              </w:rPr>
              <w:t>Реальное потребление HVAC при разных температурах</w:t>
            </w:r>
          </w:p>
        </w:tc>
      </w:tr>
      <w:tr>
        <w:trPr>
          <w:cantSplit/>
        </w:trPr>
        <w:tc>
          <w:tcPr>
            <w:tcW w:type="dxa" w:w="1701"/>
            <w:vAlign w:val="center"/>
          </w:tcPr>
          <w:p>
            <w:pPr>
              <w:spacing w:after="40" w:before="40"/>
            </w:pPr>
            <w:r>
              <w:rPr>
                <w:rFonts w:ascii="Times New Roman" w:hAnsi="Times New Roman"/>
                <w:sz w:val="17"/>
              </w:rPr>
              <w:t>Сильные ветры Астаны</w:t>
            </w:r>
          </w:p>
        </w:tc>
        <w:tc>
          <w:tcPr>
            <w:tcW w:type="dxa" w:w="3515"/>
            <w:vAlign w:val="center"/>
          </w:tcPr>
          <w:p>
            <w:pPr>
              <w:spacing w:after="40" w:before="40"/>
            </w:pPr>
            <w:r>
              <w:rPr>
                <w:rFonts w:ascii="Times New Roman" w:hAnsi="Times New Roman"/>
                <w:sz w:val="17"/>
              </w:rPr>
              <w:t>Встречный поток увеличивает аэродинамическое сопротивление; попутный может снизить</w:t>
            </w:r>
          </w:p>
        </w:tc>
        <w:tc>
          <w:tcPr>
            <w:tcW w:type="dxa" w:w="3402"/>
            <w:vAlign w:val="center"/>
          </w:tcPr>
          <w:p>
            <w:pPr>
              <w:spacing w:after="40" w:before="40"/>
            </w:pPr>
            <w:r>
              <w:rPr>
                <w:rFonts w:ascii="Times New Roman" w:hAnsi="Times New Roman"/>
                <w:sz w:val="17"/>
              </w:rPr>
              <w:t>Роза ветров по маршруту, направление движения, скорость, аэродинамика</w:t>
            </w:r>
          </w:p>
        </w:tc>
      </w:tr>
      <w:tr>
        <w:trPr>
          <w:cantSplit/>
        </w:trPr>
        <w:tc>
          <w:tcPr>
            <w:tcW w:type="dxa" w:w="1701"/>
            <w:vAlign w:val="center"/>
          </w:tcPr>
          <w:p>
            <w:pPr>
              <w:spacing w:after="40" w:before="40"/>
            </w:pPr>
            <w:r>
              <w:rPr>
                <w:rFonts w:ascii="Times New Roman" w:hAnsi="Times New Roman"/>
                <w:sz w:val="17"/>
              </w:rPr>
              <w:t>Количество остановок</w:t>
            </w:r>
          </w:p>
        </w:tc>
        <w:tc>
          <w:tcPr>
            <w:tcW w:type="dxa" w:w="3515"/>
            <w:vAlign w:val="center"/>
          </w:tcPr>
          <w:p>
            <w:pPr>
              <w:spacing w:after="40" w:before="40"/>
            </w:pPr>
            <w:r>
              <w:rPr>
                <w:rFonts w:ascii="Times New Roman" w:hAnsi="Times New Roman"/>
                <w:sz w:val="17"/>
              </w:rPr>
              <w:t>Разгоны тратят энергию; рекуперация может часть вернуть</w:t>
            </w:r>
          </w:p>
        </w:tc>
        <w:tc>
          <w:tcPr>
            <w:tcW w:type="dxa" w:w="3402"/>
            <w:vAlign w:val="center"/>
          </w:tcPr>
          <w:p>
            <w:pPr>
              <w:spacing w:after="40" w:before="40"/>
            </w:pPr>
            <w:r>
              <w:rPr>
                <w:rFonts w:ascii="Times New Roman" w:hAnsi="Times New Roman"/>
                <w:sz w:val="17"/>
              </w:rPr>
              <w:t>График скорости, интервалы, эффективность рекуперации</w:t>
            </w:r>
          </w:p>
        </w:tc>
      </w:tr>
      <w:tr>
        <w:trPr>
          <w:cantSplit/>
        </w:trPr>
        <w:tc>
          <w:tcPr>
            <w:tcW w:type="dxa" w:w="1701"/>
            <w:vAlign w:val="center"/>
          </w:tcPr>
          <w:p>
            <w:pPr>
              <w:spacing w:after="40" w:before="40"/>
            </w:pPr>
            <w:r>
              <w:rPr>
                <w:rFonts w:ascii="Times New Roman" w:hAnsi="Times New Roman"/>
                <w:sz w:val="17"/>
              </w:rPr>
              <w:t>Пассажирская нагрузка</w:t>
            </w:r>
          </w:p>
        </w:tc>
        <w:tc>
          <w:tcPr>
            <w:tcW w:type="dxa" w:w="3515"/>
            <w:vAlign w:val="center"/>
          </w:tcPr>
          <w:p>
            <w:pPr>
              <w:spacing w:after="40" w:before="40"/>
            </w:pPr>
            <w:r>
              <w:rPr>
                <w:rFonts w:ascii="Times New Roman" w:hAnsi="Times New Roman"/>
                <w:sz w:val="17"/>
              </w:rPr>
              <w:t>Меняет общую массу и энергию разгона</w:t>
            </w:r>
          </w:p>
        </w:tc>
        <w:tc>
          <w:tcPr>
            <w:tcW w:type="dxa" w:w="3402"/>
            <w:vAlign w:val="center"/>
          </w:tcPr>
          <w:p>
            <w:pPr>
              <w:spacing w:after="40" w:before="40"/>
            </w:pPr>
            <w:r>
              <w:rPr>
                <w:rFonts w:ascii="Times New Roman" w:hAnsi="Times New Roman"/>
                <w:sz w:val="17"/>
              </w:rPr>
              <w:t>Сезонные данные по заполнению</w:t>
            </w:r>
          </w:p>
        </w:tc>
      </w:tr>
      <w:tr>
        <w:trPr>
          <w:cantSplit/>
        </w:trPr>
        <w:tc>
          <w:tcPr>
            <w:tcW w:type="dxa" w:w="1701"/>
            <w:vAlign w:val="center"/>
          </w:tcPr>
          <w:p>
            <w:pPr>
              <w:spacing w:after="40" w:before="40"/>
            </w:pPr>
            <w:r>
              <w:rPr>
                <w:rFonts w:ascii="Times New Roman" w:hAnsi="Times New Roman"/>
                <w:sz w:val="17"/>
              </w:rPr>
              <w:t>Рельеф и состояние пути</w:t>
            </w:r>
          </w:p>
        </w:tc>
        <w:tc>
          <w:tcPr>
            <w:tcW w:type="dxa" w:w="3515"/>
            <w:vAlign w:val="center"/>
          </w:tcPr>
          <w:p>
            <w:pPr>
              <w:spacing w:after="40" w:before="40"/>
            </w:pPr>
            <w:r>
              <w:rPr>
                <w:rFonts w:ascii="Times New Roman" w:hAnsi="Times New Roman"/>
                <w:sz w:val="17"/>
              </w:rPr>
              <w:t>Подъёмы, кривые и состояние покрытия меняют тяговые потери</w:t>
            </w:r>
          </w:p>
        </w:tc>
        <w:tc>
          <w:tcPr>
            <w:tcW w:type="dxa" w:w="3402"/>
            <w:vAlign w:val="center"/>
          </w:tcPr>
          <w:p>
            <w:pPr>
              <w:spacing w:after="40" w:before="40"/>
            </w:pPr>
            <w:r>
              <w:rPr>
                <w:rFonts w:ascii="Times New Roman" w:hAnsi="Times New Roman"/>
                <w:sz w:val="17"/>
              </w:rPr>
              <w:t>Профиль маршрута и фактические режимы</w:t>
            </w:r>
          </w:p>
        </w:tc>
      </w:tr>
      <w:tr>
        <w:trPr>
          <w:cantSplit/>
        </w:trPr>
        <w:tc>
          <w:tcPr>
            <w:tcW w:type="dxa" w:w="1701"/>
            <w:vAlign w:val="center"/>
          </w:tcPr>
          <w:p>
            <w:pPr>
              <w:spacing w:after="40" w:before="40"/>
            </w:pPr>
            <w:r>
              <w:rPr>
                <w:rFonts w:ascii="Times New Roman" w:hAnsi="Times New Roman"/>
                <w:sz w:val="17"/>
              </w:rPr>
              <w:t>Температурные циклы и реагенты</w:t>
            </w:r>
          </w:p>
        </w:tc>
        <w:tc>
          <w:tcPr>
            <w:tcW w:type="dxa" w:w="3515"/>
            <w:vAlign w:val="center"/>
          </w:tcPr>
          <w:p>
            <w:pPr>
              <w:spacing w:after="40" w:before="40"/>
            </w:pPr>
            <w:r>
              <w:rPr>
                <w:rFonts w:ascii="Times New Roman" w:hAnsi="Times New Roman"/>
                <w:sz w:val="17"/>
              </w:rPr>
              <w:t>Могут влиять на коррозию и требования к обслуживанию</w:t>
            </w:r>
          </w:p>
        </w:tc>
        <w:tc>
          <w:tcPr>
            <w:tcW w:type="dxa" w:w="3402"/>
            <w:vAlign w:val="center"/>
          </w:tcPr>
          <w:p>
            <w:pPr>
              <w:spacing w:after="40" w:before="40"/>
            </w:pPr>
            <w:r>
              <w:rPr>
                <w:rFonts w:ascii="Times New Roman" w:hAnsi="Times New Roman"/>
                <w:sz w:val="17"/>
              </w:rPr>
              <w:t>Марки сплавов, испытания, условия и история ремонтов</w:t>
            </w:r>
          </w:p>
        </w:tc>
      </w:tr>
    </w:tbl>
    <w:p>
      <w:pPr>
        <w:spacing w:after="20"/>
      </w:pPr>
    </w:p>
    <w:p>
      <w:pPr>
        <w:pStyle w:val="Heading2"/>
      </w:pPr>
      <w:r>
        <w:t>5.2. Как не ошибиться с климатической поправкой</w:t>
      </w:r>
    </w:p>
    <w:p>
      <w:pPr>
        <w:pStyle w:val="ListBullet"/>
      </w:pPr>
      <w:r>
        <w:t>Нельзя прибавлять к 357 МВт·ч произвольные «+20% из-за мороза» или «−10% из-за ветра»: исходные 357 МВт·ч могут уже частично учитывать сезонные условия.</w:t>
      </w:r>
    </w:p>
    <w:p>
      <w:pPr>
        <w:pStyle w:val="ListBullet"/>
      </w:pPr>
      <w:r>
        <w:t>Обогрев и кондиционирование влияют на оба состава, а их разница по HVAC неизвестна; меньшая масса автоматически не означает меньшие затраты на отопление.</w:t>
      </w:r>
    </w:p>
    <w:p>
      <w:pPr>
        <w:pStyle w:val="ListBullet"/>
      </w:pPr>
      <w:r>
        <w:t>Предлагаемый корректный подход: заданные 357 МВт·ч оставить базой, а климат показать через отдельные допущения (диапазон сценариев) и чувствительность итогов к изменению именно РАЗНИЦЫ расхода A и B.</w:t>
      </w:r>
    </w:p>
    <w:p>
      <w:pPr>
        <w:pStyle w:val="ListBullet"/>
      </w:pPr>
      <w:r>
        <w:t>Если предоставят только агрегированные данные: достаточно годовых/месячных оценок по HVAC, пробегу и относительной экономии. Сырые телеметрические датасеты необязательны.</w:t>
      </w:r>
    </w:p>
    <w:p>
      <w:pPr>
        <w:pStyle w:val="Heading2"/>
      </w:pPr>
      <w:r>
        <w:t>5.3. Формулировка климатического вывода</w:t>
      </w:r>
    </w:p>
    <w:p>
      <w:r>
        <w:t>Климат Казахстана нельзя рассматривать только как недостаток алюминия. Низкие температуры, ветер, снег и летняя жара создают эксплуатационные требования к конструкции и системам обоих поездов. Техническая пригодность определяется конкретными материалами, конструкцией, испытаниями и климатическим исполнением, а экономическая — сравнительным потреблением энергии и стоимостью обслуживания.</w:t>
      </w:r>
    </w:p>
    <w:p>
      <w:pPr>
        <w:pStyle w:val="Heading1"/>
      </w:pPr>
      <w:r>
        <w:t>6. Материалы, сварка, локализация в Астане и гелий</w:t>
      </w:r>
    </w:p>
    <w:p>
      <w:pPr>
        <w:pStyle w:val="Heading2"/>
      </w:pPr>
      <w:r>
        <w:t>6.1. Классификация ISO 15608:2025 / DIN EN ISO 15608</w:t>
      </w:r>
    </w:p>
    <w:p>
      <w:r>
        <w:t>Стандарт ISO 15608 группирует металлические материалы для целей сварки; он НЕ присваивает конкретной марке поезда автоматическую гарантию морозостойкости и НЕ определяет стоимость кузова. На обсуждении показывали группы 22 и 23 (алюминий), подгруппы 1.2 и 2.1 (сталь). Эти обозначения нужно считать предложенными инженерными категориями до подтверждения фактических марок Stadler.</w:t>
      </w:r>
    </w:p>
    <w:tbl>
      <w:tblPr>
        <w:tblStyle w:val="TableGrid"/>
        <w:tblW w:type="auto" w:w="0"/>
        <w:jc w:val="center"/>
        <w:tblLook w:firstColumn="1" w:firstRow="1" w:lastColumn="0" w:lastRow="0" w:noHBand="0" w:noVBand="1" w:val="04A0"/>
      </w:tblPr>
      <w:tblGrid>
        <w:gridCol w:w="4957"/>
        <w:gridCol w:w="4957"/>
      </w:tblGrid>
      <w:tr>
        <w:trPr>
          <w:tblHeader w:val="true"/>
          <w:cantSplit/>
        </w:trPr>
        <w:tc>
          <w:tcPr>
            <w:tcW w:type="dxa" w:w="2098"/>
            <w:vAlign w:val="center"/>
            <w:shd w:fill="E9EFF5"/>
          </w:tcPr>
          <w:p>
            <w:pPr>
              <w:spacing w:after="40" w:before="40"/>
            </w:pPr>
            <w:r>
              <w:rPr>
                <w:rFonts w:ascii="Times New Roman" w:hAnsi="Times New Roman"/>
                <w:b/>
                <w:sz w:val="18"/>
              </w:rPr>
              <w:t>Класс по ISO 15608</w:t>
            </w:r>
          </w:p>
        </w:tc>
        <w:tc>
          <w:tcPr>
            <w:tcW w:type="dxa" w:w="6576"/>
            <w:vAlign w:val="center"/>
            <w:shd w:fill="E9EFF5"/>
          </w:tcPr>
          <w:p>
            <w:pPr>
              <w:spacing w:after="40" w:before="40"/>
            </w:pPr>
            <w:r>
              <w:rPr>
                <w:rFonts w:ascii="Times New Roman" w:hAnsi="Times New Roman"/>
                <w:b/>
                <w:sz w:val="18"/>
              </w:rPr>
              <w:t>Значение для сравнительного анализа</w:t>
            </w:r>
          </w:p>
        </w:tc>
      </w:tr>
      <w:tr>
        <w:trPr>
          <w:cantSplit/>
        </w:trPr>
        <w:tc>
          <w:tcPr>
            <w:tcW w:type="dxa" w:w="2098"/>
            <w:vAlign w:val="center"/>
          </w:tcPr>
          <w:p>
            <w:pPr>
              <w:spacing w:after="40" w:before="40"/>
            </w:pPr>
            <w:r>
              <w:rPr>
                <w:rFonts w:ascii="Times New Roman" w:hAnsi="Times New Roman"/>
                <w:sz w:val="18"/>
              </w:rPr>
              <w:t>Алюминий: 22</w:t>
            </w:r>
          </w:p>
        </w:tc>
        <w:tc>
          <w:tcPr>
            <w:tcW w:type="dxa" w:w="6576"/>
            <w:vAlign w:val="center"/>
          </w:tcPr>
          <w:p>
            <w:pPr>
              <w:spacing w:after="40" w:before="40"/>
            </w:pPr>
            <w:r>
              <w:rPr>
                <w:rFonts w:ascii="Times New Roman" w:hAnsi="Times New Roman"/>
                <w:sz w:val="18"/>
              </w:rPr>
              <w:t>Неупрочняемые термической обработкой сплавы; в том числе группы Al–Mn и Al–Mg.</w:t>
            </w:r>
          </w:p>
        </w:tc>
      </w:tr>
      <w:tr>
        <w:trPr>
          <w:cantSplit/>
        </w:trPr>
        <w:tc>
          <w:tcPr>
            <w:tcW w:type="dxa" w:w="2098"/>
            <w:vAlign w:val="center"/>
          </w:tcPr>
          <w:p>
            <w:pPr>
              <w:spacing w:after="40" w:before="40"/>
            </w:pPr>
            <w:r>
              <w:rPr>
                <w:rFonts w:ascii="Times New Roman" w:hAnsi="Times New Roman"/>
                <w:sz w:val="18"/>
              </w:rPr>
              <w:t>Алюминий: 23</w:t>
            </w:r>
          </w:p>
        </w:tc>
        <w:tc>
          <w:tcPr>
            <w:tcW w:type="dxa" w:w="6576"/>
            <w:vAlign w:val="center"/>
          </w:tcPr>
          <w:p>
            <w:pPr>
              <w:spacing w:after="40" w:before="40"/>
            </w:pPr>
            <w:r>
              <w:rPr>
                <w:rFonts w:ascii="Times New Roman" w:hAnsi="Times New Roman"/>
                <w:sz w:val="18"/>
              </w:rPr>
              <w:t>Упрочняемые термической обработкой сплавы; например, Al–Mg–Si и Al–Zn–Mg.</w:t>
            </w:r>
          </w:p>
        </w:tc>
      </w:tr>
      <w:tr>
        <w:trPr>
          <w:cantSplit/>
        </w:trPr>
        <w:tc>
          <w:tcPr>
            <w:tcW w:type="dxa" w:w="2098"/>
            <w:vAlign w:val="center"/>
          </w:tcPr>
          <w:p>
            <w:pPr>
              <w:spacing w:after="40" w:before="40"/>
            </w:pPr>
            <w:r>
              <w:rPr>
                <w:rFonts w:ascii="Times New Roman" w:hAnsi="Times New Roman"/>
                <w:sz w:val="18"/>
              </w:rPr>
              <w:t>Сталь: 1.2</w:t>
            </w:r>
          </w:p>
        </w:tc>
        <w:tc>
          <w:tcPr>
            <w:tcW w:type="dxa" w:w="6576"/>
            <w:vAlign w:val="center"/>
          </w:tcPr>
          <w:p>
            <w:pPr>
              <w:spacing w:after="40" w:before="40"/>
            </w:pPr>
            <w:r>
              <w:rPr>
                <w:rFonts w:ascii="Times New Roman" w:hAnsi="Times New Roman"/>
                <w:sz w:val="18"/>
              </w:rPr>
              <w:t>Стали группы 1 с минимальным пределом текучести более 275 до 360 МПа включительно.</w:t>
            </w:r>
          </w:p>
        </w:tc>
      </w:tr>
      <w:tr>
        <w:trPr>
          <w:cantSplit/>
        </w:trPr>
        <w:tc>
          <w:tcPr>
            <w:tcW w:type="dxa" w:w="2098"/>
            <w:vAlign w:val="center"/>
          </w:tcPr>
          <w:p>
            <w:pPr>
              <w:spacing w:after="40" w:before="40"/>
            </w:pPr>
            <w:r>
              <w:rPr>
                <w:rFonts w:ascii="Times New Roman" w:hAnsi="Times New Roman"/>
                <w:sz w:val="18"/>
              </w:rPr>
              <w:t>Сталь: 2.1</w:t>
            </w:r>
          </w:p>
        </w:tc>
        <w:tc>
          <w:tcPr>
            <w:tcW w:type="dxa" w:w="6576"/>
            <w:vAlign w:val="center"/>
          </w:tcPr>
          <w:p>
            <w:pPr>
              <w:spacing w:after="40" w:before="40"/>
            </w:pPr>
            <w:r>
              <w:rPr>
                <w:rFonts w:ascii="Times New Roman" w:hAnsi="Times New Roman"/>
                <w:sz w:val="18"/>
              </w:rPr>
              <w:t>Термомеханически обработанные мелкозернистые стали с минимальным пределом текучести более 360 до 460 МПа включительно.</w:t>
            </w:r>
          </w:p>
        </w:tc>
      </w:tr>
    </w:tbl>
    <w:p>
      <w:pPr>
        <w:spacing w:after="20"/>
      </w:pPr>
    </w:p>
    <w:p>
      <w:r>
        <w:t>Для выбора реального сплава потребуются точная марка (например, EN AW-xxxx / Sxxx), свойства сварных соединений, предел текучести и прочность при отрицательных температурах, циклическая усталость, коррозионная стойкость и параметры ремонта.</w:t>
      </w:r>
    </w:p>
    <w:p>
      <w:r>
        <w:rPr>
          <w:b/>
        </w:rPr>
        <w:t xml:space="preserve">Связанный стандарт EN 15085: </w:t>
      </w:r>
      <w:r>
        <w:t>задаёт требования к сварке железнодорожного подвижного состава и элементов конструкции. Для анализа себестоимости производства важны квалификация сварочных процедур, контроль качества и ремонтопригодность.</w:t>
      </w:r>
    </w:p>
    <w:p>
      <w:pPr>
        <w:pStyle w:val="Heading2"/>
      </w:pPr>
      <w:r>
        <w:t>6.2. Локализация и пять производственных участков</w:t>
      </w:r>
    </w:p>
    <w:p>
      <w:r>
        <w:t>По устным словам представителей, производство Stadler локализовано в Астане и организовано на пяти участках. Официальная презентация независимо подтверждает наличие завода площадью 31 000 м² в Astana Industrial Park, но не перечисляет эти пять участков и не утверждает, что 100% материалов местного происхождения.</w:t>
      </w:r>
    </w:p>
    <w:p>
      <w:r>
        <w:t>Релевантные факторы для более широкого бизнес-кейса: импорт профилей и сплавов, доступность сварочного оборудования, цена квалифицированного труда, логистика, локальные ремонтные мощности, ограничения поставщиков, производственный брак и валютные риски.</w:t>
      </w:r>
    </w:p>
    <w:p>
      <w:pPr>
        <w:pStyle w:val="Heading2"/>
      </w:pPr>
      <w:r>
        <w:t>6.3. Гелий как возможный производственный фактор</w:t>
      </w:r>
    </w:p>
    <w:p>
      <w:r>
        <w:t>При сварке алюминия часто используют аргон, а в некоторых технологических процессах — аргон-гелиевые смеси. Если Stadler действительно применяет гелий, стоимость импорта и стабильность снабжения могут влиять на себестоимость. Но ни факт применения именно гелия на заводе Stadler, ни его расход, ни отсутствие внутреннего производства гелия не подтверждены предоставленным кейсом.</w:t>
      </w:r>
    </w:p>
    <w:p>
      <w:r>
        <w:t>Учитывать газ в обязательной модели расходов на электроэнергию нельзя: презентация исключает производственные процессы. Это потенциальный дополнительный вопрос к производителю, а не доказанный минус алюминия.</w:t>
      </w:r>
    </w:p>
    <w:p>
      <w:pPr>
        <w:pStyle w:val="Heading1"/>
      </w:pPr>
      <w:r>
        <w:t>7. Опыт Astana LRT и научные публикации: что они дают кейсу</w:t>
      </w:r>
    </w:p>
    <w:p>
      <w:pPr>
        <w:pStyle w:val="Heading2"/>
      </w:pPr>
      <w:r>
        <w:t>7.1. Astana LRT — что подтверждено и чего нет</w:t>
      </w:r>
    </w:p>
    <w:p>
      <w:r>
        <w:t>В официальных сообщениях акимата Астаны по данным CTS говорится, что вагоны Astana LRT производит китайская CRRC Tangshan и элементы их кузова изготавливаются и свариваются из алюминиевого сплава. Также сообщалось об адаптации оборудования к климату Астаны (обогрев лобового стекла, кондиционирование).</w:t>
      </w:r>
    </w:p>
    <w:p>
      <w:r>
        <w:t>Этот факт показывает, что алюминиевые конструкции применяются для рельсового транспорта в Казахстане. Но не является публичным сравнительным исследованием, доказавшим, что алюминиевые кузова лучше стальных именно для Stadler FLIRT, и не заменяет фактическое технико-экономическое обоснование выбора для LRT.</w:t>
      </w:r>
    </w:p>
    <w:p>
      <w:r>
        <w:t>В открытых просмотренных публикациях не найден отдельный Material Selection Report / раздел ТЭО Astana LRT с прямым сравнением стали и алюминия. Запрос обоснования CTS уже отправлен; до ответа ссылаться на несуществующий документ нельзя.</w:t>
      </w:r>
    </w:p>
    <w:p>
      <w:pPr>
        <w:pStyle w:val="Heading2"/>
      </w:pPr>
      <w:r>
        <w:t>7.2. Источники и для чего они нужны</w:t>
      </w:r>
    </w:p>
    <w:p>
      <w:r>
        <w:rPr>
          <w:b/>
        </w:rPr>
        <w:t>[R1] Официальный сайт акимата Астаны / CTS (2025)</w:t>
      </w:r>
      <w:r>
        <w:t xml:space="preserve"> — Факт изготовления алюминиевых кузовов Astana LRT и климатических решений. НЕ обосновывает выбор материала сравнительным расчётом. </w:t>
      </w:r>
      <w:hyperlink r:id="rId12">
        <w:r>
          <w:rPr>
            <w:color w:val="215D92"/>
            <w:u w:val="single"/>
          </w:rPr>
          <w:t>Открыть источник</w:t>
        </w:r>
      </w:hyperlink>
    </w:p>
    <w:p>
      <w:r>
        <w:rPr>
          <w:b/>
        </w:rPr>
        <w:t>[R2] Liu Hongyu, Liu Yu, Zhang Qinggang (CRRC Tangshan), Urban Mass Transit, 2023</w:t>
      </w:r>
      <w:r>
        <w:t xml:space="preserve"> — Научный пример оптимизации массы низкопольного LRT с моделированием прочности. Гибридный карбон+алюминий снижал массу более чем на 15% относительно полностью алюминиевого прототипа в данном исследовании; это НЕ Astana LRT. </w:t>
      </w:r>
      <w:hyperlink r:id="rId13">
        <w:r>
          <w:rPr>
            <w:color w:val="215D92"/>
            <w:u w:val="single"/>
          </w:rPr>
          <w:t>Открыть источник</w:t>
        </w:r>
      </w:hyperlink>
    </w:p>
    <w:p>
      <w:r>
        <w:rPr>
          <w:b/>
        </w:rPr>
        <w:t>[R3] Wang, An, Bai, Liu, Yu, IOP, 2021</w:t>
      </w:r>
      <w:r>
        <w:t xml:space="preserve"> — Оптимизация алюминиевого кузова Shanghai Metro Line 16 и сравнение LCC материалов. В таблице исследования полный LCC алюминиевого варианта оказался выше стального при меньших энергозатратах — полезный контраргумент к принципу «легче = всегда дешевле». </w:t>
      </w:r>
      <w:hyperlink r:id="rId14">
        <w:r>
          <w:rPr>
            <w:color w:val="215D92"/>
            <w:u w:val="single"/>
          </w:rPr>
          <w:t>Открыть источник</w:t>
        </w:r>
      </w:hyperlink>
    </w:p>
    <w:p>
      <w:r>
        <w:rPr>
          <w:b/>
        </w:rPr>
        <w:t>[R4] Su Ke, Su Yongzhang, Liu Yongqiang et al., 2025</w:t>
      </w:r>
      <w:r>
        <w:t xml:space="preserve"> — Как китайские производители развивали и локализовали производство алюминиевых кузовов метро. Полезно для раздела о производственных технологиях и цепочках поставок, не для точных расчётов Stadler. </w:t>
      </w:r>
      <w:hyperlink r:id="rId15">
        <w:r>
          <w:rPr>
            <w:color w:val="215D92"/>
            <w:u w:val="single"/>
          </w:rPr>
          <w:t>Открыть источник</w:t>
        </w:r>
      </w:hyperlink>
    </w:p>
    <w:p>
      <w:r>
        <w:rPr>
          <w:b/>
        </w:rPr>
        <w:t>[R5] Sun Xiaoguang et al., IntechOpen, 2021</w:t>
      </w:r>
      <w:r>
        <w:t xml:space="preserve"> — Обзор алюминиевых сплавов для железнодорожной техники: масса, коррозия, производство, сварка, уязвимости. Открытая глава, объясняющая технические плюсы и ограничения. </w:t>
      </w:r>
      <w:hyperlink r:id="rId16">
        <w:r>
          <w:rPr>
            <w:color w:val="215D92"/>
            <w:u w:val="single"/>
          </w:rPr>
          <w:t>Открыть источник</w:t>
        </w:r>
      </w:hyperlink>
    </w:p>
    <w:p>
      <w:r>
        <w:rPr>
          <w:b/>
        </w:rPr>
        <w:t>[R6] ISO 15608:2025</w:t>
      </w:r>
      <w:r>
        <w:t xml:space="preserve"> — Официальное описание системы групп материалов для сварки (сталь и алюминий), не готовый список применяемых Stadler марок. Полный текст стандарта может быть платным. </w:t>
      </w:r>
      <w:hyperlink r:id="rId17">
        <w:r>
          <w:rPr>
            <w:color w:val="215D92"/>
            <w:u w:val="single"/>
          </w:rPr>
          <w:t>Открыть источник</w:t>
        </w:r>
      </w:hyperlink>
    </w:p>
    <w:p>
      <w:r>
        <w:rPr>
          <w:b/>
        </w:rPr>
        <w:t>[R7] BS EN 15085 (BSI)</w:t>
      </w:r>
      <w:r>
        <w:t xml:space="preserve"> — Серия стандартов по сварке железнодорожного транспорта, включая проектирование, производство и контроль. Полные тексты некоторых частей платные. </w:t>
      </w:r>
      <w:hyperlink r:id="rId18">
        <w:r>
          <w:rPr>
            <w:color w:val="215D92"/>
            <w:u w:val="single"/>
          </w:rPr>
          <w:t>Открыть источник</w:t>
        </w:r>
      </w:hyperlink>
    </w:p>
    <w:p>
      <w:r>
        <w:t>Для защиты можно использовать R1 как пример Казахстана, R2 и R5 как инженерную поддержку облегчения конструкции, R3 как предупреждение о полном LCC, R4 для локализации, R6–R7 для корректной терминологии и требований к сварке. Источники не содержат проверенных параметров 357 МВт·ч и 400 000 PLN — эти числа относятся исключительно к слайду Stadler.</w:t>
      </w:r>
    </w:p>
    <w:p>
      <w:pPr>
        <w:pStyle w:val="Heading1"/>
      </w:pPr>
      <w:r>
        <w:t>8. Какие вопросы задать организаторам Stadler</w:t>
      </w:r>
    </w:p>
    <w:p>
      <w:r>
        <w:t>Датасеты запрашивать необязательно. Самое полезное — получить 5–10 коротких подтверждений, после которых расчёты и выводы станут значительно точнее.</w:t>
      </w:r>
    </w:p>
    <w:p>
      <w:pPr>
        <w:pStyle w:val="Heading2"/>
      </w:pPr>
      <w:r>
        <w:t>8.1. Приоритет: 7 вопросов, которые реально меняют решение</w:t>
      </w:r>
    </w:p>
    <w:p>
      <w:r>
        <w:rPr>
          <w:b/>
        </w:rPr>
        <w:t>1. Указанные 357 МВт·ч в год уже учитывают отопление, кондиционирование, ветер и сезонные условия или получены при стандартном режиме?</w:t>
      </w:r>
    </w:p>
    <w:p>
      <w:pPr>
        <w:ind w:left="283"/>
      </w:pPr>
      <w:r>
        <w:rPr>
          <w:i/>
        </w:rPr>
        <w:t>EN: Does the 357 MWh annual energy saving already include heating, cooling, wind and seasonal effects, or is it based on standard operating conditions?</w:t>
      </w:r>
    </w:p>
    <w:p>
      <w:r>
        <w:rPr>
          <w:b/>
        </w:rPr>
        <w:t>2. Какой срок брать как основной: ровно 30 лет по презентации или 40 лет, о которых говорили на выступлении?</w:t>
      </w:r>
    </w:p>
    <w:p>
      <w:pPr>
        <w:ind w:left="283"/>
      </w:pPr>
      <w:r>
        <w:rPr>
          <w:i/>
        </w:rPr>
        <w:t>EN: Should the main evaluation use the 30-year period stated in the slides, or the 40-year life mentioned during the presentation?</w:t>
      </w:r>
    </w:p>
    <w:p>
      <w:r>
        <w:rPr>
          <w:b/>
        </w:rPr>
        <w:t>3. Разница 35 тонн обусловлена только материалом кузова или в двух поездах отличаются и другие технические компоненты?</w:t>
      </w:r>
    </w:p>
    <w:p>
      <w:pPr>
        <w:ind w:left="283"/>
      </w:pPr>
      <w:r>
        <w:rPr>
          <w:i/>
        </w:rPr>
        <w:t>EN: Is the 35-tonne weight difference solely due to carbody materials, or do other design components differ?</w:t>
      </w:r>
    </w:p>
    <w:p>
      <w:r>
        <w:rPr>
          <w:b/>
        </w:rPr>
        <w:t>4. Разрешено ли добавить анализ NPV и производственных затрат как расширение, не смешивая его с обязательными расчётами?</w:t>
      </w:r>
    </w:p>
    <w:p>
      <w:pPr>
        <w:ind w:left="283"/>
      </w:pPr>
      <w:r>
        <w:rPr>
          <w:i/>
        </w:rPr>
        <w:t>EN: May we add NPV and manufacturing-cost sensitivity as an optional extension, separately from the mandatory operating-energy analysis?</w:t>
      </w:r>
    </w:p>
    <w:p>
      <w:r>
        <w:rPr>
          <w:b/>
        </w:rPr>
        <w:t>5. Какие конкретные марки алюминия и стали используются или предполагаются (ISO 15608: группы 22/23, 1.2/2.1)?</w:t>
      </w:r>
    </w:p>
    <w:p>
      <w:pPr>
        <w:ind w:left="283"/>
      </w:pPr>
      <w:r>
        <w:rPr>
          <w:i/>
        </w:rPr>
        <w:t>EN: Which exact aluminum and steel grades are used or assumed, including their ISO 15608 groups?</w:t>
      </w:r>
    </w:p>
    <w:p>
      <w:r>
        <w:rPr>
          <w:b/>
        </w:rPr>
        <w:t>6. Можете ли дать без датасетов хотя бы примерные месячные расходы HVAC или сезонный коэффициент энергопотребления для обоих вариантов?</w:t>
      </w:r>
    </w:p>
    <w:p>
      <w:pPr>
        <w:ind w:left="283"/>
      </w:pPr>
      <w:r>
        <w:rPr>
          <w:i/>
        </w:rPr>
        <w:t>EN: Could you share even approximate monthly HVAC energy use or seasonal energy coefficients for both options, without raw datasets?</w:t>
      </w:r>
    </w:p>
    <w:p>
      <w:r>
        <w:rPr>
          <w:b/>
        </w:rPr>
        <w:t>7. Какие критерии важнее при оценке — математическая точность, применимость в Казахстане, инженерное обоснование или интерактивная модель?</w:t>
      </w:r>
    </w:p>
    <w:p>
      <w:pPr>
        <w:ind w:left="283"/>
      </w:pPr>
      <w:r>
        <w:rPr>
          <w:i/>
        </w:rPr>
        <w:t>EN: How will you weigh calculation accuracy, Kazakhstan-specific applicability, engineering justification and an interactive model?</w:t>
      </w:r>
    </w:p>
    <w:p>
      <w:pPr>
        <w:pStyle w:val="Heading2"/>
      </w:pPr>
      <w:r>
        <w:t>8.2. Дополнительные вопросы при наличии времени</w:t>
      </w:r>
    </w:p>
    <w:p>
      <w:pPr>
        <w:pStyle w:val="ListBullet"/>
      </w:pPr>
      <w:r>
        <w:t>Есть ли доступные агрегированные цифры по ремонту/коррозии алюминиевых и стальных кузовов за срок службы?</w:t>
      </w:r>
    </w:p>
    <w:p>
      <w:pPr>
        <w:pStyle w:val="ListBullet"/>
      </w:pPr>
      <w:r>
        <w:t>Насколько полно локализован процесс в Астане и какие операции выполняются на пяти участках?</w:t>
      </w:r>
    </w:p>
    <w:p>
      <w:pPr>
        <w:pStyle w:val="ListBullet"/>
      </w:pPr>
      <w:r>
        <w:t>Используются ли аргон-гелиевые смеси при сварке алюминия и какова их роль в себестоимости?</w:t>
      </w:r>
    </w:p>
    <w:p>
      <w:pPr>
        <w:pStyle w:val="ListBullet"/>
      </w:pPr>
      <w:r>
        <w:t>Есть ли установленный компанией дисконт (discount rate) или будет достаточно простого payback?</w:t>
      </w:r>
    </w:p>
    <w:p>
      <w:pPr>
        <w:pStyle w:val="ListBullet"/>
      </w:pPr>
      <w:r>
        <w:t>В каком маршруте/режиме получена экономия 357 МВт·ч: 15 остановок за одну поездку, фиксированное расстояние или другой цикл?</w:t>
      </w:r>
    </w:p>
    <w:p>
      <w:pPr>
        <w:pStyle w:val="ListBullet"/>
      </w:pPr>
      <w:r>
        <w:t>Допустимо ли использовать открытые данные по погоде Астаны и явно маркированные сценарные допущения вместо закрытых данных?</w:t>
      </w:r>
    </w:p>
    <w:p>
      <w:pPr>
        <w:pStyle w:val="ListBullet"/>
      </w:pPr>
      <w:r>
        <w:t>Какая дополнительная экономия нужна компании, чтобы оправдать изменение технологии сварки и обучения работников?</w:t>
      </w:r>
    </w:p>
    <w:p>
      <w:pPr>
        <w:pStyle w:val="ListBullet"/>
      </w:pPr>
      <w:r>
        <w:t>Есть ли внутреннее или публичное Material Selection Report для аналогичных кузовов, которое можно процитировать без конфиденциальных данных?</w:t>
      </w:r>
    </w:p>
    <w:p>
      <w:pPr>
        <w:ind w:left="198"/>
      </w:pPr>
      <w:r>
        <w:rPr>
          <w:b/>
        </w:rPr>
        <w:t xml:space="preserve">Важно. </w:t>
      </w:r>
      <w:r>
        <w:t>Не тратить время на старые вопросы «357 МВт·ч — это разница или экономия каждого?» и «валюта USD или PLN?»: исправленный слайд однозначно отвечает: это разница A против B и тариф 1,2 PLN/кВт·ч для обоих.</w:t>
      </w:r>
    </w:p>
    <w:p>
      <w:pPr>
        <w:pStyle w:val="Heading1"/>
      </w:pPr>
      <w:r>
        <w:t>9. Практический план команды БЕЗ готового датасета</w:t>
      </w:r>
    </w:p>
    <w:p>
      <w:r>
        <w:rPr>
          <w:b/>
        </w:rPr>
        <w:t xml:space="preserve">Шаг 1 — обязательное ядро. </w:t>
      </w:r>
      <w:r>
        <w:t>Создать таблицу исходных данных и формульные расчёты Parts 1–4 на 30 лет. Перепроверить 357 МВт·ч и 400 000 PLN в каждой формуле.</w:t>
      </w:r>
    </w:p>
    <w:p>
      <w:r>
        <w:rPr>
          <w:b/>
        </w:rPr>
        <w:t xml:space="preserve">Шаг 2 — финансовая демонстрация. </w:t>
      </w:r>
      <w:r>
        <w:t>Построить наглядные графики накопления выгоды: постоянный тариф vs рост 2%, один поезд vs 20 поездов, выделить момент окупаемости.</w:t>
      </w:r>
    </w:p>
    <w:p>
      <w:r>
        <w:rPr>
          <w:b/>
        </w:rPr>
        <w:t xml:space="preserve">Шаг 3 — ответ на Part 5. </w:t>
      </w:r>
      <w:r>
        <w:t>На каждый из пяти аналитических вопросов дать отдельный обоснованный ответ; обозначить границу между операционными расходами и полным LCC.</w:t>
      </w:r>
    </w:p>
    <w:p>
      <w:r>
        <w:rPr>
          <w:b/>
        </w:rPr>
        <w:t xml:space="preserve">Шаг 4 — Казахстан. </w:t>
      </w:r>
      <w:r>
        <w:t>Добавить матрицу рисков по климату, энергии HVAC, ветру, локализации, технологиям сварки и материалам. Не выдавать вымышленные коэффициенты за фактические.</w:t>
      </w:r>
    </w:p>
    <w:p>
      <w:r>
        <w:rPr>
          <w:b/>
        </w:rPr>
        <w:t xml:space="preserve">Шаг 5 — исследовательский блок. </w:t>
      </w:r>
      <w:r>
        <w:t>Сослаться на CTS и 2–3 рецензируемые/публикуемые исследования, но не переносить чужие проценты энергосбережения в расчёт Stadler.</w:t>
      </w:r>
    </w:p>
    <w:p>
      <w:r>
        <w:rPr>
          <w:b/>
        </w:rPr>
        <w:t xml:space="preserve">Шаг 6 — интерактивность (по желанию). </w:t>
      </w:r>
      <w:r>
        <w:t>Excel с редактируемыми значениями и графиками или простой Streamlit-калькулятор по заданным параметрам. Большая нейросеть и реальные телеметрические данные не требуются.</w:t>
      </w:r>
    </w:p>
    <w:p>
      <w:pPr>
        <w:pStyle w:val="Heading1"/>
      </w:pPr>
      <w:r>
        <w:t>10. Готовые ответы и итоговый вывод для защиты</w:t>
      </w:r>
    </w:p>
    <w:p>
      <w:pPr>
        <w:pStyle w:val="Heading2"/>
      </w:pPr>
      <w:r>
        <w:t>Вопрос 1. Главные выводы</w:t>
      </w:r>
    </w:p>
    <w:p>
      <w:r>
        <w:t>По данным кейса поезд A легче на 35 тонн, расходует на 357 МВт·ч меньше электроэнергии в год, экономит 428 400 PLN ежегодно при тарифе 1,2 PLN/кВт·ч. Доплата 400 000 PLN окупается примерно за 11,2 месяца. На 30-летнем горизонте валовая экономия одного состава составляет 12,852 млн PLN при неизменном тарифе, или 17,379 млн PLN при росте тарифа на 2%; чистая выгода после доплаты — 12,452 и 16,979 млн PLN соответственно.</w:t>
      </w:r>
    </w:p>
    <w:p>
      <w:pPr>
        <w:pStyle w:val="Heading2"/>
      </w:pPr>
      <w:r>
        <w:t>Вопрос 2. Нужно ли учитывать жизненные расходы в тендере?</w:t>
      </w:r>
    </w:p>
    <w:p>
      <w:r>
        <w:t>Да. Выбирать поставщика только по цене покупки неверно: даже более дорогой поезд может иметь меньшие эксплуатационные расходы. Но для полноценного тендерного решения требуются ремонт, доступность запчастей, простоев, остаточная стоимость и затраты на протяжении всего жизненного цикла. В нашем кейсе данные ограничены электричеством.</w:t>
      </w:r>
    </w:p>
    <w:p>
      <w:pPr>
        <w:pStyle w:val="Heading2"/>
      </w:pPr>
      <w:r>
        <w:t>Вопрос 3. Применимость к Казахстану</w:t>
      </w:r>
    </w:p>
    <w:p>
      <w:r>
        <w:t>Базовая модель — иллюстративный пятивагонный FLIRT; точный маршрут, реальные тарифы и климатическая нагрузка казахстанской эксплуатации не представлены. Поэтому экономические числа можно использовать как расчётные результаты задания, но не выдавать за подтверждённый бизнес-план действующего маршрута Казахстана. В местном расширении важны пробег, ветровой режим, температура, сервис, стоимость материалов и доступность ремонтной базы.</w:t>
      </w:r>
    </w:p>
    <w:p>
      <w:pPr>
        <w:pStyle w:val="Heading2"/>
      </w:pPr>
      <w:r>
        <w:t>Вопрос 4. Что может увеличивать или снижать расход энергии?</w:t>
      </w:r>
    </w:p>
    <w:p>
      <w:r>
        <w:t>Увеличивают расход: экстремальный холод (отопление), жара (кондиционирование), встречные ветры, снег/обледенение, частые разгоны, тяжёлая загрузка и сложный профиль пути. Снижать расход могут облегчение конструкции, эффективная рекуперация, разумный график движения, хорошее состояние пути, улучшенная теплоизоляция и эффективные HVAC-системы. Эффекты нужно проверять для обоих поездов, иначе сравнение некорректно.</w:t>
      </w:r>
    </w:p>
    <w:p>
      <w:pPr>
        <w:pStyle w:val="Heading2"/>
      </w:pPr>
      <w:r>
        <w:t>Вопрос 5. Каких данных не хватает?</w:t>
      </w:r>
    </w:p>
    <w:p>
      <w:r>
        <w:t>У производителя: точные марки сплавов, подтверждение расчётного режима 357 МВт·ч, масса кузова отдельно от состава, потребление HVAC, цена жизненного ремонта и требования к сварке. У заказчика: реальные маршруты, климат и ветер по направлениям, пробег и число остановок, графики загрузки, фактический тариф и бюджетные/дисконтные параметры. Достаточно даже агрегированной таблицы по сезонам — необязательно иметь датасет с датчиков.</w:t>
      </w:r>
    </w:p>
    <w:p>
      <w:pPr>
        <w:pStyle w:val="Heading2"/>
      </w:pPr>
      <w:r>
        <w:t>Главный вопрос всего расширенного проекта</w:t>
      </w:r>
    </w:p>
    <w:p>
      <w:r>
        <w:rPr>
          <w:b/>
        </w:rPr>
        <w:t>«Экономически и технически оправдан ли переход от стальных кузовов поездов к алюминиевым в условиях Казахстана?»</w:t>
      </w:r>
    </w:p>
    <w:p>
      <w:r>
        <w:t>Уже можно доказать: при заданных Stadler условиях алюминиевый вариант очень выгоден по электричеству. Пока нельзя доказать: что полный переход предпочтителен по всем затратам, сварке, локализации, ремонту и экологии. Необходимо отдельно проверить эти факторы и не выходить за рамки обязательных исходных данных.</w:t>
      </w:r>
    </w:p>
    <w:p>
      <w:r>
        <w:t>Сильная финальная позиция команды: «Мы подтвердили экономию по оригинальному заданию и подготовили расширенную систему проверки, при каких климатических, производственных и финансовых условиях решение остаётся выгодным для Казахстана».</w:t>
      </w:r>
    </w:p>
    <w:p>
      <w:r>
        <w:br w:type="page"/>
      </w:r>
    </w:p>
    <w:p>
      <w:pPr>
        <w:pStyle w:val="Heading1"/>
      </w:pPr>
      <w:r>
        <w:t>11. Памятка: что подтверждено, а что ещё требует ответа</w:t>
      </w:r>
    </w:p>
    <w:tbl>
      <w:tblPr>
        <w:tblStyle w:val="TableGrid"/>
        <w:tblW w:type="auto" w:w="0"/>
        <w:jc w:val="center"/>
        <w:tblLook w:firstColumn="1" w:firstRow="1" w:lastColumn="0" w:lastRow="0" w:noHBand="0" w:noVBand="1" w:val="04A0"/>
      </w:tblPr>
      <w:tblGrid>
        <w:gridCol w:w="4957"/>
        <w:gridCol w:w="4957"/>
      </w:tblGrid>
      <w:tr>
        <w:trPr>
          <w:tblHeader w:val="true"/>
          <w:cantSplit/>
        </w:trPr>
        <w:tc>
          <w:tcPr>
            <w:tcW w:type="dxa" w:w="2381"/>
            <w:vAlign w:val="center"/>
            <w:shd w:fill="E9EFF5"/>
          </w:tcPr>
          <w:p>
            <w:pPr>
              <w:spacing w:after="40" w:before="40"/>
            </w:pPr>
            <w:r>
              <w:rPr>
                <w:rFonts w:ascii="Times New Roman" w:hAnsi="Times New Roman"/>
                <w:b/>
                <w:sz w:val="18"/>
              </w:rPr>
              <w:t>Статус</w:t>
            </w:r>
          </w:p>
        </w:tc>
        <w:tc>
          <w:tcPr>
            <w:tcW w:type="dxa" w:w="6236"/>
            <w:vAlign w:val="center"/>
            <w:shd w:fill="E9EFF5"/>
          </w:tcPr>
          <w:p>
            <w:pPr>
              <w:spacing w:after="40" w:before="40"/>
            </w:pPr>
            <w:r>
              <w:rPr>
                <w:rFonts w:ascii="Times New Roman" w:hAnsi="Times New Roman"/>
                <w:b/>
                <w:sz w:val="18"/>
              </w:rPr>
              <w:t>Факт / утверждение</w:t>
            </w:r>
          </w:p>
        </w:tc>
      </w:tr>
      <w:tr>
        <w:trPr>
          <w:cantSplit/>
        </w:trPr>
        <w:tc>
          <w:tcPr>
            <w:tcW w:type="dxa" w:w="2381"/>
            <w:vAlign w:val="center"/>
          </w:tcPr>
          <w:p>
            <w:pPr>
              <w:spacing w:after="40" w:before="40"/>
            </w:pPr>
            <w:r>
              <w:rPr>
                <w:rFonts w:ascii="Times New Roman" w:hAnsi="Times New Roman"/>
                <w:sz w:val="18"/>
              </w:rPr>
              <w:t>Подтверждено презентацией</w:t>
            </w:r>
          </w:p>
        </w:tc>
        <w:tc>
          <w:tcPr>
            <w:tcW w:type="dxa" w:w="6236"/>
            <w:vAlign w:val="center"/>
          </w:tcPr>
          <w:p>
            <w:pPr>
              <w:spacing w:after="40" w:before="40"/>
            </w:pPr>
            <w:r>
              <w:rPr>
                <w:rFonts w:ascii="Times New Roman" w:hAnsi="Times New Roman"/>
                <w:sz w:val="18"/>
              </w:rPr>
              <w:t>357 МВт·ч/год разницы; 1,2 PLN/кВт·ч; доплата 400 000 PLN; 30 лет; 20 поездов; рост тарифа 2%.</w:t>
            </w:r>
          </w:p>
        </w:tc>
      </w:tr>
      <w:tr>
        <w:trPr>
          <w:cantSplit/>
        </w:trPr>
        <w:tc>
          <w:tcPr>
            <w:tcW w:type="dxa" w:w="2381"/>
            <w:vAlign w:val="center"/>
          </w:tcPr>
          <w:p>
            <w:pPr>
              <w:spacing w:after="40" w:before="40"/>
            </w:pPr>
            <w:r>
              <w:rPr>
                <w:rFonts w:ascii="Times New Roman" w:hAnsi="Times New Roman"/>
                <w:sz w:val="18"/>
              </w:rPr>
              <w:t>Получено из наших формул</w:t>
            </w:r>
          </w:p>
        </w:tc>
        <w:tc>
          <w:tcPr>
            <w:tcW w:type="dxa" w:w="6236"/>
            <w:vAlign w:val="center"/>
          </w:tcPr>
          <w:p>
            <w:pPr>
              <w:spacing w:after="40" w:before="40"/>
            </w:pPr>
            <w:r>
              <w:rPr>
                <w:rFonts w:ascii="Times New Roman" w:hAnsi="Times New Roman"/>
                <w:sz w:val="18"/>
              </w:rPr>
              <w:t>428 400 PLN/год, 11,2 месяца окупаемости, расчёты за 30/40 лет, графики и опциональные NPV.</w:t>
            </w:r>
          </w:p>
        </w:tc>
      </w:tr>
      <w:tr>
        <w:trPr>
          <w:cantSplit/>
        </w:trPr>
        <w:tc>
          <w:tcPr>
            <w:tcW w:type="dxa" w:w="2381"/>
            <w:vAlign w:val="center"/>
          </w:tcPr>
          <w:p>
            <w:pPr>
              <w:spacing w:after="40" w:before="40"/>
            </w:pPr>
            <w:r>
              <w:rPr>
                <w:rFonts w:ascii="Times New Roman" w:hAnsi="Times New Roman"/>
                <w:sz w:val="18"/>
              </w:rPr>
              <w:t>Устно сообщил участник</w:t>
            </w:r>
          </w:p>
        </w:tc>
        <w:tc>
          <w:tcPr>
            <w:tcW w:type="dxa" w:w="6236"/>
            <w:vAlign w:val="center"/>
          </w:tcPr>
          <w:p>
            <w:pPr>
              <w:spacing w:after="40" w:before="40"/>
            </w:pPr>
            <w:r>
              <w:rPr>
                <w:rFonts w:ascii="Times New Roman" w:hAnsi="Times New Roman"/>
                <w:sz w:val="18"/>
              </w:rPr>
              <w:t>40 лет как срок продукции; пять производственных участков и локализация в Астане; группы материалов ISO 15608, обсуждавшиеся на встрече.</w:t>
            </w:r>
          </w:p>
        </w:tc>
      </w:tr>
      <w:tr>
        <w:trPr>
          <w:cantSplit/>
        </w:trPr>
        <w:tc>
          <w:tcPr>
            <w:tcW w:type="dxa" w:w="2381"/>
            <w:vAlign w:val="center"/>
          </w:tcPr>
          <w:p>
            <w:pPr>
              <w:spacing w:after="40" w:before="40"/>
            </w:pPr>
            <w:r>
              <w:rPr>
                <w:rFonts w:ascii="Times New Roman" w:hAnsi="Times New Roman"/>
                <w:sz w:val="18"/>
              </w:rPr>
              <w:t>Проверено сторонними источниками</w:t>
            </w:r>
          </w:p>
        </w:tc>
        <w:tc>
          <w:tcPr>
            <w:tcW w:type="dxa" w:w="6236"/>
            <w:vAlign w:val="center"/>
          </w:tcPr>
          <w:p>
            <w:pPr>
              <w:spacing w:after="40" w:before="40"/>
            </w:pPr>
            <w:r>
              <w:rPr>
                <w:rFonts w:ascii="Times New Roman" w:hAnsi="Times New Roman"/>
                <w:sz w:val="18"/>
              </w:rPr>
              <w:t>Использование алюминиевого кузова в Astana LRT; исследовательские статьи о алюминиевых кузовах и сварке.</w:t>
            </w:r>
          </w:p>
        </w:tc>
      </w:tr>
      <w:tr>
        <w:trPr>
          <w:cantSplit/>
        </w:trPr>
        <w:tc>
          <w:tcPr>
            <w:tcW w:type="dxa" w:w="2381"/>
            <w:vAlign w:val="center"/>
          </w:tcPr>
          <w:p>
            <w:pPr>
              <w:spacing w:after="40" w:before="40"/>
            </w:pPr>
            <w:r>
              <w:rPr>
                <w:rFonts w:ascii="Times New Roman" w:hAnsi="Times New Roman"/>
                <w:sz w:val="18"/>
              </w:rPr>
              <w:t>Не подтверждено</w:t>
            </w:r>
          </w:p>
        </w:tc>
        <w:tc>
          <w:tcPr>
            <w:tcW w:type="dxa" w:w="6236"/>
            <w:vAlign w:val="center"/>
          </w:tcPr>
          <w:p>
            <w:pPr>
              <w:spacing w:after="40" w:before="40"/>
            </w:pPr>
            <w:r>
              <w:rPr>
                <w:rFonts w:ascii="Times New Roman" w:hAnsi="Times New Roman"/>
                <w:sz w:val="18"/>
              </w:rPr>
              <w:t>Точные марки Stadler, применение гелия на их заводе, реальные сезонные коэффициенты и полный LCC перехода на алюминий.</w:t>
            </w:r>
          </w:p>
        </w:tc>
      </w:tr>
    </w:tbl>
    <w:p>
      <w:pPr>
        <w:spacing w:after="20"/>
      </w:pPr>
    </w:p>
    <w:p>
      <w:r>
        <w:t>Материал предназначен для подготовки команды к хакатону и уточняется по ответам организаторов. Никакие неуказанные в официальной презентации значения не должны подаваться как данные Stadler.</w:t>
      </w:r>
    </w:p>
    <w:p>
      <w:pPr>
        <w:pStyle w:val="Heading1"/>
      </w:pPr>
      <w:r>
        <w:t>12. Финальный чек-лист перед сдачей</w:t>
      </w:r>
    </w:p>
    <w:p>
      <w:pPr>
        <w:pStyle w:val="ListBullet"/>
      </w:pPr>
      <w:r>
        <w:t>Все пять частей задания выполнены; каждый вопрос Part 5 имеет отдельный ответ.</w:t>
      </w:r>
    </w:p>
    <w:p>
      <w:pPr>
        <w:pStyle w:val="ListBullet"/>
      </w:pPr>
      <w:r>
        <w:t>Есть итоговые суммы для 1 и 20 поездов, а также явное различие валовой и чистой экономии.</w:t>
      </w:r>
    </w:p>
    <w:p>
      <w:pPr>
        <w:pStyle w:val="ListBullet"/>
      </w:pPr>
      <w:r>
        <w:t>На графиках показаны постоянный тариф и тариф +2% ежегодно, указан год начала роста.</w:t>
      </w:r>
    </w:p>
    <w:p>
      <w:pPr>
        <w:pStyle w:val="ListBullet"/>
      </w:pPr>
      <w:r>
        <w:t>Основной горизонт 30 лет, сценарий 40 лет подписан как дополнительный.</w:t>
      </w:r>
    </w:p>
    <w:p>
      <w:pPr>
        <w:pStyle w:val="ListBullet"/>
      </w:pPr>
      <w:r>
        <w:t>Ни температура, ни ветер не превращены в «реальные коэффициенты» без данных.</w:t>
      </w:r>
    </w:p>
    <w:p>
      <w:pPr>
        <w:pStyle w:val="ListBullet"/>
      </w:pPr>
      <w:r>
        <w:t>Чужие научные результаты не приписаны Stadler и не подставлены в числовой кейс.</w:t>
      </w:r>
    </w:p>
    <w:p>
      <w:pPr>
        <w:pStyle w:val="ListBullet"/>
      </w:pPr>
      <w:r>
        <w:t>Источник всех нормативных групп: ISO 15608, а конкретные марки материалов требуют подтверждения.</w:t>
      </w:r>
    </w:p>
    <w:p>
      <w:pPr>
        <w:pStyle w:val="ListBullet"/>
      </w:pPr>
      <w:r>
        <w:t>Есть список вопросов организаторам и явно обозначены данные, которых не хватает.</w:t>
      </w:r>
    </w:p>
    <w:p>
      <w:pPr>
        <w:pStyle w:val="ListBullet"/>
      </w:pPr>
      <w:r>
        <w:t>В презентации не заявляется, что полный LCC или экологический эффект доказан без LCA/LCC.</w:t>
      </w:r>
    </w:p>
    <w:p>
      <w:pPr>
        <w:pStyle w:val="ListBullet"/>
      </w:pPr>
      <w:r>
        <w:t>Финальная рекомендация сформулирована условно, а не как безусловный переход всего Казахстана на алюминий.</w:t>
      </w:r>
    </w:p>
    <w:p>
      <w:pPr>
        <w:pStyle w:val="Heading1"/>
      </w:pPr>
      <w:r>
        <w:t>13. Короткий текст для финального слайда защиты</w:t>
      </w:r>
    </w:p>
    <w:p>
      <w:r>
        <w:t>«При заданных Stadler условиях алюминиевый состав на 35 тонн легче стального и экономит 357 МВт·ч ежегодно. Это даёт 428 400 PLN годовой экономии и простой срок окупаемости около 11,2 месяца. За 30 лет чистая дополнительная выгода одного состава составляет 12,452 млн PLN при постоянном тарифе или 16,979 млн PLN при росте цен на электроэнергию на 2% ежегодно. Для реального перехода в Казахстане мы отдельно оценили риски климата, сварки, локализации и полноты жизненных затрат; для окончательного решения необходимы данные производителя и заказчика».</w:t>
      </w:r>
    </w:p>
    <w:sectPr w:rsidR="00FC693F" w:rsidRPr="0006063C" w:rsidSect="00034616">
      <w:footerReference w:type="default" r:id="rId9"/>
      <w:pgSz w:w="12240" w:h="15840"/>
      <w:pgMar w:top="1077"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Stadler Kazakhstan | IEEE Hackathon  •  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64" w:lineRule="auto"/>
    </w:pPr>
    <w:rPr>
      <w:rFonts w:ascii="Times New Roman" w:hAnsi="Times New Roman" w:eastAsia="Times New Roman"/>
      <w:color w:val="19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eastAsia="Times New Roman"/>
      <w:b/>
      <w:bCs/>
      <w:color w:val="19314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9314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1931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Times New Roman" w:hAnsi="Times New Roman" w:eastAsia="Times New Roman"/>
      <w:b/>
      <w:color w:val="19314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gov.kz/org/astana/press/news/details/947036?lang=ru" TargetMode="External"/><Relationship Id="rId13" Type="http://schemas.openxmlformats.org/officeDocument/2006/relationships/hyperlink" Target="https://umt1998.tongji.edu.cn/en/article/doi/10.16037/j.1007-869x.2023.08.050" TargetMode="External"/><Relationship Id="rId14" Type="http://schemas.openxmlformats.org/officeDocument/2006/relationships/hyperlink" Target="https://doi.org/10.1088/1755-1315/791/1/012082" TargetMode="External"/><Relationship Id="rId15" Type="http://schemas.openxmlformats.org/officeDocument/2006/relationships/hyperlink" Target="https://edl.csrzic.com/en/article/doi/10.13890/j.issn.1000-128X.2025.02.003/" TargetMode="External"/><Relationship Id="rId16" Type="http://schemas.openxmlformats.org/officeDocument/2006/relationships/hyperlink" Target="https://www.intechopen.com/chapters/75650" TargetMode="External"/><Relationship Id="rId17" Type="http://schemas.openxmlformats.org/officeDocument/2006/relationships/hyperlink" Target="https://www.iso.org/standard/88796.html" TargetMode="External"/><Relationship Id="rId18" Type="http://schemas.openxmlformats.org/officeDocument/2006/relationships/hyperlink" Target="https://landingpage.bsigroup.com/LandingPage/Series?UPI=BS+EN+150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Stadler Kazakhstan: IEEE Hackathon — задания, расчёты, исследования и вопросы</dc:title>
  <dc:subject>Разбор задания Stadler Kazakhstan; условия Казахстана; источники</dc:subject>
  <dc:creator>Рабочие материалы для команды IEEE Hackathon</dc:creator>
  <cp:keywords/>
  <dc:description>generated by python-docx</dc:description>
  <cp:lastModifiedBy/>
  <cp:revision>1</cp:revision>
  <dcterms:created xsi:type="dcterms:W3CDTF">2013-12-23T23:15:00Z</dcterms:created>
  <dcterms:modified xsi:type="dcterms:W3CDTF">2013-12-23T23:15:00Z</dcterms:modified>
  <cp:category/>
</cp:coreProperties>
</file>