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701D" w14:textId="77777777" w:rsidR="00AC542D" w:rsidRPr="00327806" w:rsidRDefault="00AC542D" w:rsidP="00327806">
      <w:pPr>
        <w:suppressAutoHyphens w:val="0"/>
        <w:spacing w:before="100" w:beforeAutospacing="1"/>
        <w:jc w:val="center"/>
        <w:outlineLvl w:val="2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Анализ Декомпозиции: Демографический Профиль России на 2025 год</w:t>
      </w:r>
    </w:p>
    <w:p w14:paraId="0F0AFFFC" w14:textId="77777777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noProof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 wp14:anchorId="778AB36E" wp14:editId="1F1286FD">
            <wp:extent cx="6096000" cy="483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DEEE" w14:textId="655F2B3F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Объект исследования</w:t>
      </w:r>
      <w:proofErr w:type="gramStart"/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В качестве</w:t>
      </w:r>
      <w:proofErr w:type="gramEnd"/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исходных данных для анализа выступает диаграмма возрастно-половой структуры населения Российской Федерации, актуальная на 1 января 2025 года.</w:t>
      </w:r>
    </w:p>
    <w:p w14:paraId="09941480" w14:textId="12863A11" w:rsidR="00AC542D" w:rsidRPr="00327806" w:rsidRDefault="00AC542D" w:rsidP="00AC542D">
      <w:pPr>
        <w:suppressAutoHyphens w:val="0"/>
        <w:spacing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</w:p>
    <w:p w14:paraId="10E32348" w14:textId="77777777" w:rsidR="00AC542D" w:rsidRPr="00327806" w:rsidRDefault="00AC542D" w:rsidP="00AC542D">
      <w:pPr>
        <w:suppressAutoHyphens w:val="0"/>
        <w:spacing w:before="100" w:beforeAutospacing="1"/>
        <w:outlineLvl w:val="3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="Segoe UI Emoji" w:eastAsia="Times New Roman" w:hAnsi="Segoe UI Emoji" w:cs="Segoe UI Emoji"/>
          <w:b/>
          <w:bCs/>
          <w:color w:val="1B1C1D"/>
          <w:kern w:val="0"/>
          <w:sz w:val="28"/>
          <w:szCs w:val="28"/>
          <w:lang w:eastAsia="ru-RU" w:bidi="ar-SA"/>
        </w:rPr>
        <w:t>🔹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  <w:t xml:space="preserve">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Параметр (показатель) разбиения</w:t>
      </w:r>
    </w:p>
    <w:p w14:paraId="74CD3E25" w14:textId="77777777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Ключевым параметром для сегментации в данной диаграмме является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абсолютная численность населения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>. В отличие от процентного соотношения, здесь используется количественный показатель (число людей) для каждой отдельной возрастно-половой группы.</w:t>
      </w:r>
    </w:p>
    <w:p w14:paraId="00D60C1A" w14:textId="426E69DB" w:rsidR="00AC542D" w:rsidRPr="00327806" w:rsidRDefault="00AC542D" w:rsidP="00AC542D">
      <w:pPr>
        <w:suppressAutoHyphens w:val="0"/>
        <w:spacing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</w:p>
    <w:p w14:paraId="2E9B0242" w14:textId="77777777" w:rsidR="00AC542D" w:rsidRPr="00327806" w:rsidRDefault="00AC542D" w:rsidP="00AC542D">
      <w:pPr>
        <w:suppressAutoHyphens w:val="0"/>
        <w:spacing w:before="100" w:beforeAutospacing="1"/>
        <w:outlineLvl w:val="3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="Segoe UI Emoji" w:eastAsia="Times New Roman" w:hAnsi="Segoe UI Emoji" w:cs="Segoe UI Emoji"/>
          <w:b/>
          <w:bCs/>
          <w:color w:val="1B1C1D"/>
          <w:kern w:val="0"/>
          <w:sz w:val="28"/>
          <w:szCs w:val="28"/>
          <w:lang w:eastAsia="ru-RU" w:bidi="ar-SA"/>
        </w:rPr>
        <w:t>🔹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  <w:t xml:space="preserve">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Миссия (цель) построения диаграммы</w:t>
      </w:r>
    </w:p>
    <w:p w14:paraId="0BB27C64" w14:textId="77777777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Создание подобной визуализации преследует стратегическую цель — получить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наглядный демографический срез общества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для глубокого анализа и прогнозирования. Задачи, которые она решает:</w:t>
      </w:r>
    </w:p>
    <w:p w14:paraId="595AC236" w14:textId="77777777" w:rsidR="00AC542D" w:rsidRPr="00327806" w:rsidRDefault="00AC542D" w:rsidP="00AC542D">
      <w:pPr>
        <w:numPr>
          <w:ilvl w:val="0"/>
          <w:numId w:val="7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lastRenderedPageBreak/>
        <w:t>Диагностика: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Мгновенная оценка демографического "здоровья" нации, выявление диспропорций, таких как гендерный дисбаланс в старших возрастах или "демографические ямы".</w:t>
      </w:r>
    </w:p>
    <w:p w14:paraId="09D96474" w14:textId="77777777" w:rsidR="00AC542D" w:rsidRPr="00327806" w:rsidRDefault="00AC542D" w:rsidP="00AC542D">
      <w:pPr>
        <w:numPr>
          <w:ilvl w:val="0"/>
          <w:numId w:val="7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Прогностика: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Формирование основы для построения моделей будущего развития населения, предсказание нагрузки на социальные институты.</w:t>
      </w:r>
    </w:p>
    <w:p w14:paraId="73EF753A" w14:textId="77777777" w:rsidR="00AC542D" w:rsidRPr="00327806" w:rsidRDefault="00AC542D" w:rsidP="00AC542D">
      <w:pPr>
        <w:numPr>
          <w:ilvl w:val="0"/>
          <w:numId w:val="7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Планирование: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Информационное обеспечение для принятия стратегических решений в экономике, здравоохранении и системе социального обеспечения.</w:t>
      </w:r>
    </w:p>
    <w:p w14:paraId="44713006" w14:textId="20DFD293" w:rsidR="00AC542D" w:rsidRPr="00327806" w:rsidRDefault="00AC542D" w:rsidP="00AC542D">
      <w:pPr>
        <w:suppressAutoHyphens w:val="0"/>
        <w:spacing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</w:p>
    <w:p w14:paraId="454C3D0E" w14:textId="77777777" w:rsidR="00AC542D" w:rsidRPr="00327806" w:rsidRDefault="00AC542D" w:rsidP="00AC542D">
      <w:pPr>
        <w:suppressAutoHyphens w:val="0"/>
        <w:spacing w:before="100" w:beforeAutospacing="1"/>
        <w:outlineLvl w:val="3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="Segoe UI Emoji" w:eastAsia="Times New Roman" w:hAnsi="Segoe UI Emoji" w:cs="Segoe UI Emoji"/>
          <w:b/>
          <w:bCs/>
          <w:color w:val="1B1C1D"/>
          <w:kern w:val="0"/>
          <w:sz w:val="28"/>
          <w:szCs w:val="28"/>
          <w:lang w:eastAsia="ru-RU" w:bidi="ar-SA"/>
        </w:rPr>
        <w:t>🔹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  <w:t xml:space="preserve">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Тип применяемой декомпозиции</w:t>
      </w:r>
    </w:p>
    <w:p w14:paraId="18CF2AFD" w14:textId="77777777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Применяется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структурный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подход к декомпозиции. Этот метод выбран потому, что он предполагает разделение единой системы (населения страны) на её фундаментальные компоненты (группы по полу и возрасту) без анализа их временной динамики или функциональных связей. Мы видим статичный "моментальный снимок" структуры.</w:t>
      </w:r>
    </w:p>
    <w:p w14:paraId="5EB0EAC6" w14:textId="459E06FA" w:rsidR="00AC542D" w:rsidRPr="00327806" w:rsidRDefault="00AC542D" w:rsidP="00AC542D">
      <w:pPr>
        <w:suppressAutoHyphens w:val="0"/>
        <w:spacing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</w:p>
    <w:p w14:paraId="442B96FB" w14:textId="77777777" w:rsidR="00AC542D" w:rsidRPr="00327806" w:rsidRDefault="00AC542D" w:rsidP="00AC542D">
      <w:pPr>
        <w:suppressAutoHyphens w:val="0"/>
        <w:spacing w:before="100" w:beforeAutospacing="1"/>
        <w:outlineLvl w:val="3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="Segoe UI Emoji" w:eastAsia="Times New Roman" w:hAnsi="Segoe UI Emoji" w:cs="Segoe UI Emoji"/>
          <w:b/>
          <w:bCs/>
          <w:color w:val="1B1C1D"/>
          <w:kern w:val="0"/>
          <w:sz w:val="28"/>
          <w:szCs w:val="28"/>
          <w:lang w:eastAsia="ru-RU" w:bidi="ar-SA"/>
        </w:rPr>
        <w:t>🔹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  <w:t xml:space="preserve">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Иерархия и критерии декомпозиции</w:t>
      </w:r>
    </w:p>
    <w:p w14:paraId="574BE7FC" w14:textId="77777777" w:rsidR="00AC542D" w:rsidRPr="00327806" w:rsidRDefault="00AC542D" w:rsidP="00AC542D">
      <w:p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Структура диаграммы имеет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два уровня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детализации.</w:t>
      </w:r>
    </w:p>
    <w:p w14:paraId="160F8F5B" w14:textId="77777777" w:rsidR="00AC542D" w:rsidRPr="00327806" w:rsidRDefault="00AC542D" w:rsidP="00AC542D">
      <w:pPr>
        <w:numPr>
          <w:ilvl w:val="0"/>
          <w:numId w:val="8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Первый уровень: Гендерный признак</w:t>
      </w:r>
    </w:p>
    <w:p w14:paraId="6DFB639B" w14:textId="77777777" w:rsidR="00AC542D" w:rsidRPr="00327806" w:rsidRDefault="00AC542D" w:rsidP="00AC542D">
      <w:pPr>
        <w:numPr>
          <w:ilvl w:val="1"/>
          <w:numId w:val="8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i/>
          <w:i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Критерий: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Вся популяция разделяется на две фундаментальные когорты по признаку пола: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мужская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(слева) и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женская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(справа).</w:t>
      </w:r>
    </w:p>
    <w:p w14:paraId="6029316F" w14:textId="77777777" w:rsidR="00AC542D" w:rsidRPr="00327806" w:rsidRDefault="00AC542D" w:rsidP="00AC542D">
      <w:pPr>
        <w:numPr>
          <w:ilvl w:val="0"/>
          <w:numId w:val="8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Второй уровень: Возрастная категория</w:t>
      </w:r>
    </w:p>
    <w:p w14:paraId="275A608B" w14:textId="77777777" w:rsidR="00AC542D" w:rsidRPr="00327806" w:rsidRDefault="00AC542D" w:rsidP="00AC542D">
      <w:pPr>
        <w:numPr>
          <w:ilvl w:val="1"/>
          <w:numId w:val="8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i/>
          <w:i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Критерий: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Каждая гендерная когорта подвергается дальнейшему дроблению по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возрастным интервалам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. В данной диаграмме критерием служит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год рождения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>, что позволяет сгруппировать людей в возрастные категории с высокой точностью.</w:t>
      </w:r>
    </w:p>
    <w:p w14:paraId="51367994" w14:textId="5A7E79CA" w:rsidR="00AC542D" w:rsidRPr="00327806" w:rsidRDefault="00AC542D" w:rsidP="00AC542D">
      <w:pPr>
        <w:suppressAutoHyphens w:val="0"/>
        <w:spacing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</w:p>
    <w:p w14:paraId="31E30EBD" w14:textId="77777777" w:rsidR="00AC542D" w:rsidRPr="00327806" w:rsidRDefault="00AC542D" w:rsidP="00AC542D">
      <w:pPr>
        <w:suppressAutoHyphens w:val="0"/>
        <w:spacing w:before="100" w:beforeAutospacing="1"/>
        <w:outlineLvl w:val="3"/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="Segoe UI Emoji" w:eastAsia="Times New Roman" w:hAnsi="Segoe UI Emoji" w:cs="Segoe UI Emoji"/>
          <w:b/>
          <w:bCs/>
          <w:color w:val="1B1C1D"/>
          <w:kern w:val="0"/>
          <w:sz w:val="28"/>
          <w:szCs w:val="28"/>
          <w:lang w:eastAsia="ru-RU" w:bidi="ar-SA"/>
        </w:rPr>
        <w:t>🔹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lang w:eastAsia="ru-RU" w:bidi="ar-SA"/>
        </w:rPr>
        <w:t xml:space="preserve">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Алгоритм (порядок) построения диаграммы</w:t>
      </w:r>
    </w:p>
    <w:p w14:paraId="6EB938AE" w14:textId="77777777" w:rsidR="00AC542D" w:rsidRPr="00327806" w:rsidRDefault="00AC542D" w:rsidP="00AC542D">
      <w:pPr>
        <w:suppressAutoHyphens w:val="0"/>
        <w:spacing w:before="100" w:beforeAutospacing="1" w:after="120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>Процесс создания такой диаграммы можно описать следующими шагами:</w:t>
      </w:r>
    </w:p>
    <w:p w14:paraId="52C06B1D" w14:textId="77777777" w:rsidR="00AC542D" w:rsidRPr="00327806" w:rsidRDefault="00AC542D" w:rsidP="00AC542D">
      <w:pPr>
        <w:numPr>
          <w:ilvl w:val="0"/>
          <w:numId w:val="9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Подготовка статистической базы</w:t>
      </w:r>
      <w:proofErr w:type="gramStart"/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Аккумулируются</w:t>
      </w:r>
      <w:proofErr w:type="gramEnd"/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данные государственной статистики о количестве граждан с разделением по каждому году рождения и по полу.</w:t>
      </w:r>
    </w:p>
    <w:p w14:paraId="3ADA13C6" w14:textId="77777777" w:rsidR="00AC542D" w:rsidRPr="00327806" w:rsidRDefault="00AC542D" w:rsidP="00AC542D">
      <w:pPr>
        <w:numPr>
          <w:ilvl w:val="0"/>
          <w:numId w:val="9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Проектирование архитектуры графика:</w:t>
      </w:r>
    </w:p>
    <w:p w14:paraId="5B355D68" w14:textId="77777777" w:rsidR="00AC542D" w:rsidRPr="00327806" w:rsidRDefault="00AC542D" w:rsidP="00AC542D">
      <w:pPr>
        <w:numPr>
          <w:ilvl w:val="1"/>
          <w:numId w:val="9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lastRenderedPageBreak/>
        <w:t xml:space="preserve">Формируется центральная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вертикальная ось стратификации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>, на которой размещаются возрастные категории (или годы рождения) от младших внизу к старшим наверху.</w:t>
      </w:r>
    </w:p>
    <w:p w14:paraId="294D4DC0" w14:textId="77777777" w:rsidR="00AC542D" w:rsidRPr="00327806" w:rsidRDefault="00AC542D" w:rsidP="00AC542D">
      <w:pPr>
        <w:numPr>
          <w:ilvl w:val="1"/>
          <w:numId w:val="9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От центра в обе стороны расходится </w:t>
      </w: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горизонтальная ось численности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>, градуированная в абсолютных значениях (количестве людей).</w:t>
      </w:r>
    </w:p>
    <w:p w14:paraId="15AC98F7" w14:textId="77777777" w:rsidR="00AC542D" w:rsidRPr="00327806" w:rsidRDefault="00AC542D" w:rsidP="00AC542D">
      <w:pPr>
        <w:numPr>
          <w:ilvl w:val="0"/>
          <w:numId w:val="9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Билатеральное зонирование: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Пространство графика чётко делится на две функциональные зоны: левая — для отображения мужского населения, правая — для женского.</w:t>
      </w:r>
    </w:p>
    <w:p w14:paraId="309F0361" w14:textId="25E6B853" w:rsidR="004C2D31" w:rsidRPr="00327806" w:rsidRDefault="00AC542D" w:rsidP="00D30120">
      <w:pPr>
        <w:numPr>
          <w:ilvl w:val="0"/>
          <w:numId w:val="9"/>
        </w:numPr>
        <w:suppressAutoHyphens w:val="0"/>
        <w:spacing w:before="100" w:beforeAutospacing="1" w:afterAutospacing="1"/>
        <w:rPr>
          <w:rFonts w:asciiTheme="minorHAnsi" w:hAnsiTheme="minorHAnsi" w:cstheme="minorHAnsi"/>
          <w:color w:val="000000"/>
          <w:sz w:val="28"/>
          <w:szCs w:val="28"/>
        </w:rPr>
      </w:pPr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Визуализация сегментов</w:t>
      </w:r>
      <w:proofErr w:type="gramStart"/>
      <w:r w:rsidRPr="00327806">
        <w:rPr>
          <w:rFonts w:asciiTheme="minorHAnsi" w:eastAsia="Times New Roman" w:hAnsiTheme="minorHAnsi" w:cstheme="minorHAnsi"/>
          <w:b/>
          <w:bCs/>
          <w:color w:val="1B1C1D"/>
          <w:kern w:val="0"/>
          <w:sz w:val="28"/>
          <w:szCs w:val="28"/>
          <w:bdr w:val="none" w:sz="0" w:space="0" w:color="auto" w:frame="1"/>
          <w:lang w:eastAsia="ru-RU" w:bidi="ar-SA"/>
        </w:rPr>
        <w:t>:</w:t>
      </w:r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Для</w:t>
      </w:r>
      <w:proofErr w:type="gramEnd"/>
      <w:r w:rsidRPr="00327806">
        <w:rPr>
          <w:rFonts w:asciiTheme="minorHAnsi" w:eastAsia="Times New Roman" w:hAnsiTheme="minorHAnsi" w:cstheme="minorHAnsi"/>
          <w:color w:val="1B1C1D"/>
          <w:kern w:val="0"/>
          <w:sz w:val="28"/>
          <w:szCs w:val="28"/>
          <w:lang w:eastAsia="ru-RU" w:bidi="ar-SA"/>
        </w:rPr>
        <w:t xml:space="preserve"> каждого возрастного среза (года рождения) от центральной оси в соответствующую сторону (влево для мужчин, вправо для женщин) строится горизонтальный столбец. Его длина строго пропорциональна числу людей в этом сегменте.</w:t>
      </w:r>
    </w:p>
    <w:sectPr w:rsidR="004C2D31" w:rsidRPr="0032780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33E"/>
    <w:multiLevelType w:val="multilevel"/>
    <w:tmpl w:val="BE80C7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D36696"/>
    <w:multiLevelType w:val="multilevel"/>
    <w:tmpl w:val="8ED8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878A0"/>
    <w:multiLevelType w:val="multilevel"/>
    <w:tmpl w:val="B4DA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E1255"/>
    <w:multiLevelType w:val="multilevel"/>
    <w:tmpl w:val="078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B0CE7"/>
    <w:multiLevelType w:val="multilevel"/>
    <w:tmpl w:val="4A8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F1913"/>
    <w:multiLevelType w:val="multilevel"/>
    <w:tmpl w:val="4FC8F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8536D17"/>
    <w:multiLevelType w:val="multilevel"/>
    <w:tmpl w:val="D158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84A8A"/>
    <w:multiLevelType w:val="multilevel"/>
    <w:tmpl w:val="9BC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31"/>
    <w:rsid w:val="000D4F86"/>
    <w:rsid w:val="00327806"/>
    <w:rsid w:val="004C2D31"/>
    <w:rsid w:val="00A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8537"/>
  <w15:docId w15:val="{312FB809-4F77-483A-95B1-8B9EC99E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4F86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0D4F86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0D4F86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0D4F86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b">
    <w:name w:val="Normal (Web)"/>
    <w:basedOn w:val="a"/>
    <w:uiPriority w:val="99"/>
    <w:semiHidden/>
    <w:unhideWhenUsed/>
    <w:rsid w:val="000D4F8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7</cp:revision>
  <dcterms:created xsi:type="dcterms:W3CDTF">2025-03-25T20:05:00Z</dcterms:created>
  <dcterms:modified xsi:type="dcterms:W3CDTF">2025-09-07T08:19:00Z</dcterms:modified>
  <dc:language>ru-RU</dc:language>
</cp:coreProperties>
</file>