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alibri" w:hAnsi="Calibri" w:eastAsia="Calibri"/>
          <w:b/>
          <w:i w:val="0"/>
          <w:color w:val="1A365D"/>
          <w:sz w:val="36"/>
        </w:rPr>
        <w:t>AMANI MEDINI</w:t>
      </w:r>
    </w:p>
    <w:p>
      <w:pPr>
        <w:spacing w:before="0" w:after="40" w:line="240" w:lineRule="auto"/>
        <w:jc w:val="center"/>
      </w:pPr>
      <w:r>
        <w:rPr>
          <w:rFonts w:ascii="Calibri" w:hAnsi="Calibri" w:eastAsia="Calibri"/>
          <w:b w:val="0"/>
          <w:i w:val="0"/>
          <w:color w:val="2D3748"/>
          <w:sz w:val="22"/>
        </w:rPr>
        <w:t>Data Analyst</w:t>
      </w:r>
    </w:p>
    <w:p>
      <w:pPr>
        <w:spacing w:before="0" w:after="120" w:line="240" w:lineRule="auto"/>
        <w:jc w:val="center"/>
      </w:pPr>
      <w:r>
        <w:rPr>
          <w:rFonts w:ascii="Calibri" w:hAnsi="Calibri" w:eastAsia="Calibri"/>
          <w:b w:val="0"/>
          <w:i w:val="0"/>
          <w:color w:val="1A202C"/>
          <w:sz w:val="16"/>
        </w:rPr>
        <w:t>amani.benslah.medini@gmail.com  |  +216 92495755  |  Ariana, Tunisie  |  LinkedIn: linkedin.com/in/amani-medini-9a0791149</w:t>
      </w:r>
    </w:p>
    <w:p>
      <w:pPr>
        <w:spacing w:before="160" w:after="40" w:line="240" w:lineRule="auto"/>
        <w:pBdr>
          <w:bottom w:val="single" w:sz="12" w:space="1" w:color="2C5282"/>
        </w:pBdr>
      </w:pPr>
      <w:r>
        <w:rPr>
          <w:rFonts w:ascii="Calibri" w:hAnsi="Calibri" w:eastAsia="Calibri"/>
          <w:b/>
          <w:i w:val="0"/>
          <w:color w:val="1A365D"/>
          <w:sz w:val="22"/>
        </w:rPr>
        <w:t>Profil</w:t>
      </w:r>
    </w:p>
    <w:p>
      <w:pPr>
        <w:spacing w:before="0" w:after="80" w:line="264" w:lineRule="auto"/>
        <w:jc w:val="both"/>
      </w:pPr>
      <w:r>
        <w:rPr>
          <w:rFonts w:ascii="Calibri" w:hAnsi="Calibri" w:eastAsia="Calibri"/>
          <w:b w:val="0"/>
          <w:i w:val="0"/>
          <w:color w:val="1A202C"/>
          <w:sz w:val="18"/>
        </w:rPr>
        <w:t>Data Analyst rigoureuse avec plus de 3 ans d'expérience dans l'analyse de jeux de données techniques complexes en environnements d'ingénierie à haute fiabilité, complétée par une Formation Data &amp; Business Intelligence (SQL avancé, analytique Python et BI retail). Compétente en SQL (jointures, CTE, fonctions fenêtre), Python (pandas, NumPy), Power BI, validation de grands volumes de données, reporting KPI, et traduction des résultats en insights actionnables pour des parties prenantes transverses.</w:t>
      </w:r>
    </w:p>
    <w:p>
      <w:pPr>
        <w:spacing w:before="160" w:after="40" w:line="240" w:lineRule="auto"/>
        <w:pBdr>
          <w:bottom w:val="single" w:sz="12" w:space="1" w:color="2C5282"/>
        </w:pBdr>
      </w:pPr>
      <w:r>
        <w:rPr>
          <w:rFonts w:ascii="Calibri" w:hAnsi="Calibri" w:eastAsia="Calibri"/>
          <w:b/>
          <w:i w:val="0"/>
          <w:color w:val="1A365D"/>
          <w:sz w:val="22"/>
        </w:rPr>
        <w:t>Compétences techniques</w:t>
      </w:r>
    </w:p>
    <w:p>
      <w:pPr>
        <w:spacing w:before="0" w:after="20" w:line="264" w:lineRule="auto"/>
      </w:pPr>
      <w:r>
        <w:rPr>
          <w:rFonts w:ascii="Calibri" w:hAnsi="Calibri" w:eastAsia="Calibri"/>
          <w:b/>
          <w:i w:val="0"/>
          <w:color w:val="1A202C"/>
          <w:sz w:val="18"/>
        </w:rPr>
        <w:t xml:space="preserve">Langages &amp; requêtage : </w:t>
      </w:r>
      <w:r>
        <w:rPr>
          <w:rFonts w:ascii="Calibri" w:hAnsi="Calibri" w:eastAsia="Calibri"/>
          <w:b w:val="0"/>
          <w:i w:val="0"/>
          <w:color w:val="1A202C"/>
          <w:sz w:val="18"/>
        </w:rPr>
        <w:t>SQL (jointures, sous-requêtes, CTE, fonctions fenêtre, vues, procédures stockées), Python (pandas, NumPy)</w:t>
      </w:r>
    </w:p>
    <w:p>
      <w:pPr>
        <w:spacing w:before="0" w:after="20" w:line="264" w:lineRule="auto"/>
      </w:pPr>
      <w:r>
        <w:rPr>
          <w:rFonts w:ascii="Calibri" w:hAnsi="Calibri" w:eastAsia="Calibri"/>
          <w:b/>
          <w:i w:val="0"/>
          <w:color w:val="1A202C"/>
          <w:sz w:val="18"/>
        </w:rPr>
        <w:t xml:space="preserve">Visualisation &amp; BI : </w:t>
      </w:r>
      <w:r>
        <w:rPr>
          <w:rFonts w:ascii="Calibri" w:hAnsi="Calibri" w:eastAsia="Calibri"/>
          <w:b w:val="0"/>
          <w:i w:val="0"/>
          <w:color w:val="1A202C"/>
          <w:sz w:val="18"/>
        </w:rPr>
        <w:t>Power BI, Matplotlib, Seaborn, Plotly, Dash ; tableaux de bord KPI, reporting SQL et analyses pivot</w:t>
      </w:r>
    </w:p>
    <w:p>
      <w:pPr>
        <w:spacing w:before="0" w:after="20" w:line="264" w:lineRule="auto"/>
      </w:pPr>
      <w:r>
        <w:rPr>
          <w:rFonts w:ascii="Calibri" w:hAnsi="Calibri" w:eastAsia="Calibri"/>
          <w:b/>
          <w:i w:val="0"/>
          <w:color w:val="1A202C"/>
          <w:sz w:val="18"/>
        </w:rPr>
        <w:t xml:space="preserve">Outils &amp; plateformes : </w:t>
      </w:r>
      <w:r>
        <w:rPr>
          <w:rFonts w:ascii="Calibri" w:hAnsi="Calibri" w:eastAsia="Calibri"/>
          <w:b w:val="0"/>
          <w:i w:val="0"/>
          <w:color w:val="1A202C"/>
          <w:sz w:val="18"/>
        </w:rPr>
        <w:t>Jupyter, SQL Server, PostgreSQL, Git, JIRA, INCA (calibration &amp; diagnostics de données)</w:t>
      </w:r>
    </w:p>
    <w:p>
      <w:pPr>
        <w:spacing w:before="0" w:after="20" w:line="264" w:lineRule="auto"/>
      </w:pPr>
      <w:r>
        <w:rPr>
          <w:rFonts w:ascii="Calibri" w:hAnsi="Calibri" w:eastAsia="Calibri"/>
          <w:b/>
          <w:i w:val="0"/>
          <w:color w:val="1A202C"/>
          <w:sz w:val="18"/>
        </w:rPr>
        <w:t xml:space="preserve">Méthodes analytiques : </w:t>
      </w:r>
      <w:r>
        <w:rPr>
          <w:rFonts w:ascii="Calibri" w:hAnsi="Calibri" w:eastAsia="Calibri"/>
          <w:b w:val="0"/>
          <w:i w:val="0"/>
          <w:color w:val="1A202C"/>
          <w:sz w:val="18"/>
        </w:rPr>
        <w:t>Nettoyage &amp; validation des données, EDA, segmentation RFM, séries temporelles (YTD/MTD), feature engineering, analyse statistique (corrélation, tests d'hypothèses, régression), analyse de causes racines &amp; tendances de défauts, reporting &amp; documentation</w:t>
      </w:r>
    </w:p>
    <w:p>
      <w:pPr>
        <w:spacing w:before="160" w:after="40" w:line="240" w:lineRule="auto"/>
        <w:pBdr>
          <w:bottom w:val="single" w:sz="12" w:space="1" w:color="2C5282"/>
        </w:pBdr>
      </w:pPr>
      <w:r>
        <w:rPr>
          <w:rFonts w:ascii="Calibri" w:hAnsi="Calibri" w:eastAsia="Calibri"/>
          <w:b/>
          <w:i w:val="0"/>
          <w:color w:val="1A365D"/>
          <w:sz w:val="22"/>
        </w:rPr>
        <w:t>Expérience professionnelle</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5046"/>
        <w:gridCol w:w="5046"/>
      </w:tblGrid>
      <w:tr>
        <w:tc>
          <w:tcPr>
            <w:tcW w:type="dxa" w:w="6803"/>
          </w:tcPr>
          <w:p>
            <w:pPr>
              <w:spacing w:before="80" w:after="20" w:line="240" w:lineRule="auto"/>
            </w:pPr>
            <w:r>
              <w:rPr>
                <w:rFonts w:ascii="Calibri" w:hAnsi="Calibri" w:eastAsia="Calibri"/>
                <w:b/>
                <w:i w:val="0"/>
                <w:color w:val="1A202C"/>
                <w:sz w:val="19"/>
              </w:rPr>
              <w:t>Testeuse logiciel E-Powertrain - KPIT Engineering</w:t>
            </w:r>
          </w:p>
        </w:tc>
        <w:tc>
          <w:tcPr>
            <w:tcW w:type="dxa" w:w="2835"/>
          </w:tcPr>
          <w:p>
            <w:pPr>
              <w:spacing w:before="80" w:after="20" w:line="240" w:lineRule="auto"/>
              <w:jc w:val="right"/>
            </w:pPr>
            <w:r>
              <w:rPr>
                <w:rFonts w:ascii="Calibri" w:hAnsi="Calibri" w:eastAsia="Calibri"/>
                <w:b w:val="0"/>
                <w:i/>
                <w:color w:val="2D3748"/>
                <w:sz w:val="18"/>
              </w:rPr>
              <w:t>Avr. 2025 - Déc. 2025</w:t>
            </w:r>
          </w:p>
        </w:tc>
      </w:tr>
    </w:tbl>
    <w:p>
      <w:pPr>
        <w:pStyle w:val="ListBullet"/>
        <w:spacing w:before="0" w:after="20" w:line="264" w:lineRule="auto"/>
      </w:pPr>
      <w:r>
        <w:rPr>
          <w:rFonts w:ascii="Calibri" w:hAnsi="Calibri" w:eastAsia="Calibri"/>
          <w:b w:val="0"/>
          <w:i w:val="0"/>
          <w:color w:val="1A202C"/>
          <w:sz w:val="17"/>
        </w:rPr>
        <w:t>Analyse et validation de jeux de données de tests Hardware-in-the-Loop (HiL) à grande échelle pour ECU, BMS et boîtiers relais, identification des tendances de performance et des anomalies système.</w:t>
      </w:r>
    </w:p>
    <w:p>
      <w:pPr>
        <w:pStyle w:val="ListBullet"/>
        <w:spacing w:before="0" w:after="20" w:line="264" w:lineRule="auto"/>
      </w:pPr>
      <w:r>
        <w:rPr>
          <w:rFonts w:ascii="Calibri" w:hAnsi="Calibri" w:eastAsia="Calibri"/>
          <w:b w:val="0"/>
          <w:i w:val="0"/>
          <w:color w:val="1A202C"/>
          <w:sz w:val="17"/>
        </w:rPr>
        <w:t>Automatisation des workflows de collecte de données et de suivi des défauts dans JIRA, amélioration de la traçabilité et réduction des délais d'analyse.</w:t>
      </w:r>
    </w:p>
    <w:p>
      <w:pPr>
        <w:pStyle w:val="ListBullet"/>
        <w:spacing w:before="0" w:after="20" w:line="264" w:lineRule="auto"/>
      </w:pPr>
      <w:r>
        <w:rPr>
          <w:rFonts w:ascii="Calibri" w:hAnsi="Calibri" w:eastAsia="Calibri"/>
          <w:b w:val="0"/>
          <w:i w:val="0"/>
          <w:color w:val="1A202C"/>
          <w:sz w:val="17"/>
        </w:rPr>
        <w:t>Extraction, nettoyage et interprétation de données de calibration et de diagnostic avec INCA pour soutenir l'optimisation des paramètres et le reporting.</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5046"/>
        <w:gridCol w:w="5046"/>
      </w:tblGrid>
      <w:tr>
        <w:tc>
          <w:tcPr>
            <w:tcW w:type="dxa" w:w="6803"/>
          </w:tcPr>
          <w:p>
            <w:pPr>
              <w:spacing w:before="80" w:after="20" w:line="240" w:lineRule="auto"/>
            </w:pPr>
            <w:r>
              <w:rPr>
                <w:rFonts w:ascii="Calibri" w:hAnsi="Calibri" w:eastAsia="Calibri"/>
                <w:b/>
                <w:i w:val="0"/>
                <w:color w:val="1A202C"/>
                <w:sz w:val="19"/>
              </w:rPr>
              <w:t>Testeuse logiciel automobile - Capgemini Engineering</w:t>
            </w:r>
          </w:p>
        </w:tc>
        <w:tc>
          <w:tcPr>
            <w:tcW w:type="dxa" w:w="2835"/>
          </w:tcPr>
          <w:p>
            <w:pPr>
              <w:spacing w:before="80" w:after="20" w:line="240" w:lineRule="auto"/>
              <w:jc w:val="right"/>
            </w:pPr>
            <w:r>
              <w:rPr>
                <w:rFonts w:ascii="Calibri" w:hAnsi="Calibri" w:eastAsia="Calibri"/>
                <w:b w:val="0"/>
                <w:i/>
                <w:color w:val="2D3748"/>
                <w:sz w:val="18"/>
              </w:rPr>
              <w:t>Sept. 2022 - Mars 2025</w:t>
            </w:r>
          </w:p>
        </w:tc>
      </w:tr>
    </w:tbl>
    <w:p>
      <w:pPr>
        <w:pStyle w:val="ListBullet"/>
        <w:spacing w:before="0" w:after="20" w:line="264" w:lineRule="auto"/>
      </w:pPr>
      <w:r>
        <w:rPr>
          <w:rFonts w:ascii="Calibri" w:hAnsi="Calibri" w:eastAsia="Calibri"/>
          <w:b w:val="0"/>
          <w:i w:val="0"/>
          <w:color w:val="1A202C"/>
          <w:sz w:val="17"/>
        </w:rPr>
        <w:t>Développement de scripts Python d'automatisation pour générer et analyser les résultats de tests des systèmes E/E véhicule (plateformes BMW Gen6, G2X), amélioration de la précision des données et de la fiabilité du reporting.</w:t>
      </w:r>
    </w:p>
    <w:p>
      <w:pPr>
        <w:pStyle w:val="ListBullet"/>
        <w:spacing w:before="0" w:after="20" w:line="264" w:lineRule="auto"/>
      </w:pPr>
      <w:r>
        <w:rPr>
          <w:rFonts w:ascii="Calibri" w:hAnsi="Calibri" w:eastAsia="Calibri"/>
          <w:b w:val="0"/>
          <w:i w:val="0"/>
          <w:color w:val="1A202C"/>
          <w:sz w:val="17"/>
        </w:rPr>
        <w:t>Consolidation et analyse de jeux de données de validation couvrant BMS, câblage, ECU et réseaux CAN, transformation des résultats bruts en rapports clairs et actionnables pour les équipes d'ingénierie.</w:t>
      </w:r>
    </w:p>
    <w:p>
      <w:pPr>
        <w:pStyle w:val="ListBullet"/>
        <w:spacing w:before="0" w:after="20" w:line="264" w:lineRule="auto"/>
      </w:pPr>
      <w:r>
        <w:rPr>
          <w:rFonts w:ascii="Calibri" w:hAnsi="Calibri" w:eastAsia="Calibri"/>
          <w:b w:val="0"/>
          <w:i w:val="0"/>
          <w:color w:val="1A202C"/>
          <w:sz w:val="17"/>
        </w:rPr>
        <w:t>Suivi et reporting des métriques de défauts et de couverture de tests dans JIRA, appui aux décisions data-driven entre équipes hardware, software et systèmes.</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5046"/>
        <w:gridCol w:w="5046"/>
      </w:tblGrid>
      <w:tr>
        <w:tc>
          <w:tcPr>
            <w:tcW w:type="dxa" w:w="6803"/>
          </w:tcPr>
          <w:p>
            <w:pPr>
              <w:spacing w:before="80" w:after="20" w:line="240" w:lineRule="auto"/>
            </w:pPr>
            <w:r>
              <w:rPr>
                <w:rFonts w:ascii="Calibri" w:hAnsi="Calibri" w:eastAsia="Calibri"/>
                <w:b/>
                <w:i w:val="0"/>
                <w:color w:val="1A202C"/>
                <w:sz w:val="19"/>
              </w:rPr>
              <w:t>Product Owner - UTIK</w:t>
            </w:r>
          </w:p>
        </w:tc>
        <w:tc>
          <w:tcPr>
            <w:tcW w:type="dxa" w:w="2835"/>
          </w:tcPr>
          <w:p>
            <w:pPr>
              <w:spacing w:before="80" w:after="20" w:line="240" w:lineRule="auto"/>
              <w:jc w:val="right"/>
            </w:pPr>
            <w:r>
              <w:rPr>
                <w:rFonts w:ascii="Calibri" w:hAnsi="Calibri" w:eastAsia="Calibri"/>
                <w:b w:val="0"/>
                <w:i/>
                <w:color w:val="2D3748"/>
                <w:sz w:val="18"/>
              </w:rPr>
              <w:t>Mars 2021 - Juin 2022</w:t>
            </w:r>
          </w:p>
        </w:tc>
      </w:tr>
    </w:tbl>
    <w:p>
      <w:pPr>
        <w:pStyle w:val="ListBullet"/>
        <w:spacing w:before="0" w:after="20" w:line="264" w:lineRule="auto"/>
      </w:pPr>
      <w:r>
        <w:rPr>
          <w:rFonts w:ascii="Calibri" w:hAnsi="Calibri" w:eastAsia="Calibri"/>
          <w:b w:val="0"/>
          <w:i w:val="0"/>
          <w:color w:val="1A202C"/>
          <w:sz w:val="17"/>
        </w:rPr>
        <w:t>Analyse des besoins produit et des retours des parties prenantes pour définir des spécifications fonctionnelles structurées et data-informed.</w:t>
      </w:r>
    </w:p>
    <w:p>
      <w:pPr>
        <w:pStyle w:val="ListBullet"/>
        <w:spacing w:before="0" w:after="20" w:line="264" w:lineRule="auto"/>
      </w:pPr>
      <w:r>
        <w:rPr>
          <w:rFonts w:ascii="Calibri" w:hAnsi="Calibri" w:eastAsia="Calibri"/>
          <w:b w:val="0"/>
          <w:i w:val="0"/>
          <w:color w:val="1A202C"/>
          <w:sz w:val="17"/>
        </w:rPr>
        <w:t>Priorisation du backlog produit à partir de données sur le risque technique, les dépendances système et les jalons de livraison.</w:t>
      </w:r>
    </w:p>
    <w:p>
      <w:pPr>
        <w:pStyle w:val="ListBullet"/>
        <w:spacing w:before="0" w:after="20" w:line="264" w:lineRule="auto"/>
      </w:pPr>
      <w:r>
        <w:rPr>
          <w:rFonts w:ascii="Calibri" w:hAnsi="Calibri" w:eastAsia="Calibri"/>
          <w:b w:val="0"/>
          <w:i w:val="0"/>
          <w:color w:val="1A202C"/>
          <w:sz w:val="17"/>
        </w:rPr>
        <w:t>Coordination d'équipes transverses pour aligner les livrables data avec les objectifs métier.</w:t>
      </w:r>
    </w:p>
    <w:p>
      <w:pPr>
        <w:spacing w:before="160" w:after="40" w:line="240" w:lineRule="auto"/>
        <w:pBdr>
          <w:bottom w:val="single" w:sz="12" w:space="1" w:color="2C5282"/>
        </w:pBdr>
      </w:pPr>
      <w:r>
        <w:rPr>
          <w:rFonts w:ascii="Calibri" w:hAnsi="Calibri" w:eastAsia="Calibri"/>
          <w:b/>
          <w:i w:val="0"/>
          <w:color w:val="1A365D"/>
          <w:sz w:val="22"/>
        </w:rPr>
        <w:t>Formation</w:t>
      </w:r>
    </w:p>
    <w:p>
      <w:pPr>
        <w:spacing w:before="0" w:after="20" w:line="264" w:lineRule="auto"/>
      </w:pPr>
      <w:r>
        <w:rPr>
          <w:rFonts w:ascii="Calibri" w:hAnsi="Calibri" w:eastAsia="Calibri"/>
          <w:b/>
          <w:i w:val="0"/>
          <w:color w:val="1A202C"/>
          <w:sz w:val="18"/>
        </w:rPr>
        <w:t>Master en Électronique - Microélectronique et Instrumentation</w:t>
      </w:r>
    </w:p>
    <w:p>
      <w:pPr>
        <w:spacing w:before="0" w:after="40" w:line="264" w:lineRule="auto"/>
      </w:pPr>
      <w:r>
        <w:rPr>
          <w:rFonts w:ascii="Calibri" w:hAnsi="Calibri" w:eastAsia="Calibri"/>
          <w:b w:val="0"/>
          <w:i w:val="0"/>
          <w:color w:val="1A202C"/>
          <w:sz w:val="18"/>
        </w:rPr>
        <w:t>Université de Monastir, Tunisie | Sept. 2019 - Juin 2022</w:t>
      </w:r>
    </w:p>
    <w:p>
      <w:pPr>
        <w:spacing w:before="160" w:after="40" w:line="240" w:lineRule="auto"/>
        <w:pBdr>
          <w:bottom w:val="single" w:sz="12" w:space="1" w:color="2C5282"/>
        </w:pBdr>
      </w:pPr>
      <w:r>
        <w:rPr>
          <w:rFonts w:ascii="Calibri" w:hAnsi="Calibri" w:eastAsia="Calibri"/>
          <w:b/>
          <w:i w:val="0"/>
          <w:color w:val="1A365D"/>
          <w:sz w:val="22"/>
        </w:rPr>
        <w:t>Certifications</w:t>
      </w:r>
    </w:p>
    <w:p>
      <w:pPr>
        <w:pStyle w:val="ListBullet"/>
        <w:spacing w:before="0" w:after="20" w:line="264" w:lineRule="auto"/>
      </w:pPr>
      <w:r>
        <w:rPr>
          <w:rFonts w:ascii="Calibri" w:hAnsi="Calibri" w:eastAsia="Calibri"/>
          <w:b/>
          <w:i w:val="0"/>
          <w:color w:val="1A202C"/>
          <w:sz w:val="17"/>
        </w:rPr>
        <w:t>Formation Data &amp; Business Intelligence</w:t>
      </w:r>
      <w:r>
        <w:rPr>
          <w:rFonts w:ascii="Calibri" w:hAnsi="Calibri" w:eastAsia="Calibri"/>
          <w:b w:val="0"/>
          <w:i w:val="0"/>
          <w:color w:val="1A202C"/>
          <w:sz w:val="17"/>
        </w:rPr>
        <w:t xml:space="preserve"> - Manel Hamdi (2026) : modélisation relationnelle &amp; SQL, SQL avancé (fonctions fenêtre, CTE, vues, procédures stockées), Python (NumPy, pandas), nettoyage &amp; transformation des données, analyse RFM &amp; séries temporelles, statistiques, visualisation Matplotlib/Seaborn ; projet fil rouge retail (Vente, Produit, Client, Magasin)</w:t>
      </w:r>
    </w:p>
    <w:p>
      <w:pPr>
        <w:pStyle w:val="ListBullet"/>
        <w:spacing w:before="0" w:after="20" w:line="264" w:lineRule="auto"/>
      </w:pPr>
      <w:r>
        <w:rPr>
          <w:rFonts w:ascii="Calibri" w:hAnsi="Calibri" w:eastAsia="Calibri"/>
          <w:b w:val="0"/>
          <w:i w:val="0"/>
          <w:color w:val="1A202C"/>
          <w:sz w:val="17"/>
        </w:rPr>
        <w:t>Women Developer Academy (WDA) - Women Techmakers (2024)</w:t>
      </w:r>
    </w:p>
    <w:p>
      <w:pPr>
        <w:pStyle w:val="ListBullet"/>
        <w:spacing w:before="0" w:after="20" w:line="264" w:lineRule="auto"/>
      </w:pPr>
      <w:r>
        <w:rPr>
          <w:rFonts w:ascii="Calibri" w:hAnsi="Calibri" w:eastAsia="Calibri"/>
          <w:b w:val="0"/>
          <w:i w:val="0"/>
          <w:color w:val="1A202C"/>
          <w:sz w:val="17"/>
        </w:rPr>
        <w:t>Google Cloud Data Analytics Certificate - Google (Coursera)</w:t>
      </w:r>
    </w:p>
    <w:p>
      <w:pPr>
        <w:pStyle w:val="ListBullet"/>
        <w:spacing w:before="0" w:after="20" w:line="264" w:lineRule="auto"/>
      </w:pPr>
      <w:r>
        <w:rPr>
          <w:rFonts w:ascii="Calibri" w:hAnsi="Calibri" w:eastAsia="Calibri"/>
          <w:b w:val="0"/>
          <w:i w:val="0"/>
          <w:color w:val="1A202C"/>
          <w:sz w:val="17"/>
        </w:rPr>
        <w:t>Google Cloud Professional Data Engineer Certification - Google (Coursera)</w:t>
      </w:r>
    </w:p>
    <w:p>
      <w:pPr>
        <w:pStyle w:val="ListBullet"/>
        <w:spacing w:before="0" w:after="20" w:line="264" w:lineRule="auto"/>
      </w:pPr>
      <w:r>
        <w:rPr>
          <w:rFonts w:ascii="Calibri" w:hAnsi="Calibri" w:eastAsia="Calibri"/>
          <w:b w:val="0"/>
          <w:i w:val="0"/>
          <w:color w:val="1A202C"/>
          <w:sz w:val="17"/>
        </w:rPr>
        <w:t>Google Project Management Professional Certificate (v2) - Google (Coursera)</w:t>
      </w:r>
    </w:p>
    <w:p>
      <w:pPr>
        <w:spacing w:before="160" w:after="40" w:line="240" w:lineRule="auto"/>
        <w:pBdr>
          <w:bottom w:val="single" w:sz="12" w:space="1" w:color="2C5282"/>
        </w:pBdr>
      </w:pPr>
      <w:r>
        <w:rPr>
          <w:rFonts w:ascii="Calibri" w:hAnsi="Calibri" w:eastAsia="Calibri"/>
          <w:b/>
          <w:i w:val="0"/>
          <w:color w:val="1A365D"/>
          <w:sz w:val="22"/>
        </w:rPr>
        <w:t>Informations complémentaires</w:t>
      </w:r>
    </w:p>
    <w:p>
      <w:pPr>
        <w:spacing w:before="0" w:after="20" w:line="264" w:lineRule="auto"/>
      </w:pPr>
      <w:r>
        <w:rPr>
          <w:rFonts w:ascii="Calibri" w:hAnsi="Calibri" w:eastAsia="Calibri"/>
          <w:b/>
          <w:i w:val="0"/>
          <w:color w:val="1A202C"/>
          <w:sz w:val="17"/>
        </w:rPr>
        <w:t xml:space="preserve">Langues : </w:t>
      </w:r>
      <w:r>
        <w:rPr>
          <w:rFonts w:ascii="Calibri" w:hAnsi="Calibri" w:eastAsia="Calibri"/>
          <w:b w:val="0"/>
          <w:i w:val="0"/>
          <w:color w:val="1A202C"/>
          <w:sz w:val="17"/>
        </w:rPr>
        <w:t>Arabe (langue maternelle), Anglais (capacité professionnelle limitée), Français (capacité professionnelle limitée), Allemand (notions de base)</w:t>
      </w:r>
    </w:p>
    <w:p>
      <w:pPr>
        <w:spacing w:before="0" w:after="20" w:line="264" w:lineRule="auto"/>
      </w:pPr>
      <w:r>
        <w:rPr>
          <w:rFonts w:ascii="Calibri" w:hAnsi="Calibri" w:eastAsia="Calibri"/>
          <w:b/>
          <w:i w:val="0"/>
          <w:color w:val="1A202C"/>
          <w:sz w:val="17"/>
        </w:rPr>
        <w:t xml:space="preserve">Distinctions : </w:t>
      </w:r>
      <w:r>
        <w:rPr>
          <w:rFonts w:ascii="Calibri" w:hAnsi="Calibri" w:eastAsia="Calibri"/>
          <w:b w:val="0"/>
          <w:i w:val="0"/>
          <w:color w:val="1A202C"/>
          <w:sz w:val="17"/>
        </w:rPr>
        <w:t>Top 10 AI Artathon Qualified Team - Global AI Summit, Riyad (2020) ; Intervenante Capgemini Tech Talk (2024)</w:t>
      </w:r>
    </w:p>
    <w:p>
      <w:pPr>
        <w:spacing w:before="0" w:after="20" w:line="264" w:lineRule="auto"/>
      </w:pPr>
      <w:r>
        <w:rPr>
          <w:rFonts w:ascii="Calibri" w:hAnsi="Calibri" w:eastAsia="Calibri"/>
          <w:b/>
          <w:i w:val="0"/>
          <w:color w:val="1A202C"/>
          <w:sz w:val="17"/>
        </w:rPr>
        <w:t xml:space="preserve">Communauté : </w:t>
      </w:r>
      <w:r>
        <w:rPr>
          <w:rFonts w:ascii="Calibri" w:hAnsi="Calibri" w:eastAsia="Calibri"/>
          <w:b w:val="0"/>
          <w:i w:val="0"/>
          <w:color w:val="1A202C"/>
          <w:sz w:val="17"/>
        </w:rPr>
        <w:t>Ambassadrice Google Women Techmakers (2019-Présent) ; Fondatrice &amp; Leader Figma Community - Friends of Figma, Tunis (2023-Présent) ; Co-organisatrice GDG (2019-Présent) ; Technovation WTM Media Council (2026-Présent) ; Intervenante - DevFest &amp; GDG MENAT Summit 2025</w:t>
      </w:r>
    </w:p>
    <w:sectPr w:rsidR="00FC693F" w:rsidRPr="0006063C" w:rsidSect="00034616">
      <w:pgSz w:w="11906" w:h="16838"/>
      <w:pgMar w:top="680" w:right="907" w:bottom="56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