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after="120"/>
        <w:jc w:val="center"/>
      </w:pPr>
      <w:r>
        <w:rPr>
          <w:rFonts w:ascii="Arial" w:cs="Arial" w:eastAsia="Arial" w:hAnsi="Arial"/>
          <w:b/>
          <w:bCs/>
          <w:color w:val="1B3A6B"/>
          <w:sz w:val="72"/>
          <w:szCs w:val="72"/>
        </w:rPr>
        <w:t xml:space="preserve">TSRN</w:t>
      </w:r>
    </w:p>
    <w:p>
      <w:pPr>
        <w:spacing w:before="0" w:after="80"/>
        <w:jc w:val="center"/>
      </w:pPr>
      <w:r>
        <w:rPr>
          <w:rFonts w:ascii="Arial" w:cs="Arial" w:eastAsia="Arial" w:hAnsi="Arial"/>
          <w:b/>
          <w:bCs/>
          <w:color w:val="0F6E56"/>
          <w:sz w:val="34"/>
          <w:szCs w:val="34"/>
        </w:rPr>
        <w:t xml:space="preserve">Tropical Sheaf Renormalization Networks</w:t>
      </w:r>
    </w:p>
    <w:p>
      <w:pPr>
        <w:spacing w:before="0" w:after="80"/>
        <w:jc w:val="center"/>
      </w:pPr>
      <w:r>
        <w:rPr>
          <w:rFonts w:ascii="Arial" w:cs="Arial" w:eastAsia="Arial" w:hAnsi="Arial"/>
          <w:i/>
          <w:iCs/>
          <w:color w:val="444441"/>
          <w:sz w:val="26"/>
          <w:szCs w:val="26"/>
        </w:rPr>
        <w:t xml:space="preserve">A New Architecture Beyond the Transformer</w:t>
      </w:r>
    </w:p>
    <w:p>
      <w:pPr>
        <w:spacing w:before="240" w:after="240"/>
      </w:pPr>
      <w:r>
        <w:t xml:space="preserve"/>
      </w:r>
    </w:p>
    <w:p>
      <w:pPr>
        <w:spacing w:before="0" w:after="60"/>
        <w:jc w:val="center"/>
      </w:pPr>
      <w:r>
        <w:rPr>
          <w:rFonts w:ascii="Georgia" w:cs="Georgia" w:eastAsia="Georgia" w:hAnsi="Georgia"/>
          <w:color w:val="444441"/>
          <w:sz w:val="20"/>
          <w:szCs w:val="20"/>
        </w:rPr>
        <w:t xml:space="preserve">Preliminary Research Report  ·  March 2026</w:t>
      </w:r>
    </w:p>
    <w:p>
      <w:pPr>
        <w:spacing w:before="0" w:after="60"/>
        <w:jc w:val="center"/>
      </w:pPr>
      <w:r>
        <w:rPr>
          <w:rFonts w:ascii="Georgia" w:cs="Georgia" w:eastAsia="Georgia" w:hAnsi="Georgia"/>
          <w:i/>
          <w:iCs/>
          <w:color w:val="444441"/>
          <w:sz w:val="20"/>
          <w:szCs w:val="20"/>
        </w:rPr>
        <w:t xml:space="preserve">Proof-of-Concept Edition</w:t>
      </w:r>
    </w:p>
    <w:p>
      <w:pPr>
        <w:spacing w:before="360" w:after="3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thick" w:color="1B3A6B" w:sz="12"/>
              <w:bottom w:val="single" w:color="1B3A6B" w:sz="4"/>
              <w:right w:val="single" w:color="1B3A6B" w:sz="4"/>
            </w:tcBorders>
            <w:shd w:fill="EDF2FB" w:val="clear"/>
            <w:tcMar>
              <w:top w:type="dxa" w:w="140"/>
              <w:left w:type="dxa" w:w="200"/>
              <w:bottom w:type="dxa" w:w="140"/>
              <w:right w:type="dxa" w:w="200"/>
            </w:tcMar>
          </w:tcPr>
          <w:p>
            <w:pPr>
              <w:spacing w:before="0" w:after="120"/>
              <w:jc w:val="left"/>
            </w:pPr>
            <w:r>
              <w:rPr>
                <w:rFonts w:ascii="Arial" w:cs="Arial" w:eastAsia="Arial" w:hAnsi="Arial"/>
                <w:b/>
                <w:bCs/>
                <w:color w:val="1B3A6B"/>
                <w:sz w:val="22"/>
                <w:szCs w:val="22"/>
              </w:rPr>
              <w:t xml:space="preserve">Abstract</w:t>
            </w:r>
          </w:p>
          <w:p>
            <w:pPr>
              <w:spacing w:before="120" w:after="120" w:line="276" w:lineRule="auto"/>
              <w:jc w:val="both"/>
            </w:pPr>
            <w:r>
              <w:rPr>
                <w:rFonts w:ascii="Georgia" w:cs="Georgia" w:eastAsia="Georgia" w:hAnsi="Georgia"/>
                <w:sz w:val="22"/>
                <w:szCs w:val="22"/>
              </w:rPr>
              <w:t xml:space="preserve">The transformer architecture has dominated artificial intelligence for nearly a decade. Its central mechanism — attention — is mathematically elegant but computationally brutal, requiring every token to compare itself against every other token at a cost that grows as the square of the sequence length. We propose a fundamentally different architecture, the Tropical Sheaf Renormalization Network (TSRN), which replaces the transformer's core operations with five mathematically grounded alternatives drawn from areas of mathematics that have rarely, if ever, been applied to neural networks: tropical geometry, sheaf theory, the renormalization group from physics, Clifford geometric algebra, and p-adic number theory. We also revive two previously discarded architectures — Echo State Networks and Capsule Networks — giving them rigorous mathematical foundations they originally lacked. In proof-of-concept experiments on CPU using pure NumPy, TSRN achieves a validation perplexity of 1.24 versus 2.21 for a matched vanilla transformer — a 44% improvement — while training 2.3 times faster and requiring 1.74 times less compute per batch due to its sparse attention mechanism. We discuss the theoretical motivations, the honest limitations of these results, and the path toward a publication-ready evaluation.</w:t>
            </w:r>
          </w:p>
        </w:tc>
      </w:tr>
    </w:tbl>
    <w:p>
      <w:r>
        <w:br/>
      </w:r>
    </w:p>
    <w:p>
      <w:pPr>
        <w:pBdr>
          <w:bottom w:val="single" w:color="1B3A6B" w:sz="6" w:space="4"/>
        </w:pBdr>
        <w:spacing w:before="480" w:after="200"/>
      </w:pPr>
      <w:r>
        <w:rPr>
          <w:rFonts w:ascii="Arial" w:cs="Arial" w:eastAsia="Arial" w:hAnsi="Arial"/>
          <w:b/>
          <w:bCs/>
          <w:color w:val="CCCCCA"/>
          <w:sz w:val="32"/>
          <w:szCs w:val="32"/>
        </w:rPr>
        <w:t xml:space="preserve">1  </w:t>
      </w:r>
      <w:r>
        <w:rPr>
          <w:rFonts w:ascii="Arial" w:cs="Arial" w:eastAsia="Arial" w:hAnsi="Arial"/>
          <w:b/>
          <w:bCs/>
          <w:color w:val="1B3A6B"/>
          <w:sz w:val="32"/>
          <w:szCs w:val="32"/>
        </w:rPr>
        <w:t xml:space="preserve">Introduction</w:t>
      </w:r>
    </w:p>
    <w:p>
      <w:pPr>
        <w:pStyle w:val="Heading2"/>
        <w:spacing w:before="360" w:after="140"/>
      </w:pPr>
      <w:r>
        <w:rPr>
          <w:rFonts w:ascii="Arial" w:cs="Arial" w:eastAsia="Arial" w:hAnsi="Arial"/>
          <w:b/>
          <w:bCs/>
          <w:color w:val="0F6E56"/>
          <w:sz w:val="26"/>
          <w:szCs w:val="26"/>
        </w:rPr>
        <w:t xml:space="preserve">The Age of the Transformer</w:t>
      </w:r>
    </w:p>
    <w:p>
      <w:pPr>
        <w:spacing w:before="120" w:after="120" w:line="276" w:lineRule="auto"/>
        <w:jc w:val="both"/>
      </w:pPr>
      <w:r>
        <w:rPr>
          <w:rFonts w:ascii="Georgia" w:cs="Georgia" w:eastAsia="Georgia" w:hAnsi="Georgia"/>
          <w:sz w:val="22"/>
          <w:szCs w:val="22"/>
        </w:rPr>
        <w:t xml:space="preserve">In 2017, a team at Google published a paper called "Attention Is All You Need," introducing the transformer architecture. At the time it was a modest contribution to the field of machine translation. Within five years it had become the engine underneath ChatGPT, Gemini, Claude, and every other large language model that has reshaped how humanity interacts with computers. It is not an overstatement to say the transformer is the most consequential neural network architecture ever devised.</w:t>
      </w:r>
    </w:p>
    <w:p>
      <w:pPr>
        <w:spacing w:before="120" w:after="120" w:line="276" w:lineRule="auto"/>
        <w:jc w:val="both"/>
      </w:pPr>
      <w:r>
        <w:rPr>
          <w:rFonts w:ascii="Georgia" w:cs="Georgia" w:eastAsia="Georgia" w:hAnsi="Georgia"/>
          <w:sz w:val="22"/>
          <w:szCs w:val="22"/>
        </w:rPr>
        <w:t xml:space="preserve">But the transformer has a problem — several, in fact — and those problems are becoming more urgent as models grow larger. The most fundamental one is the cost of attention.</w:t>
      </w:r>
    </w:p>
    <w:p>
      <w:pPr>
        <w:pStyle w:val="Heading2"/>
        <w:spacing w:before="360" w:after="140"/>
      </w:pPr>
      <w:r>
        <w:rPr>
          <w:rFonts w:ascii="Arial" w:cs="Arial" w:eastAsia="Arial" w:hAnsi="Arial"/>
          <w:b/>
          <w:bCs/>
          <w:color w:val="0F6E56"/>
          <w:sz w:val="26"/>
          <w:szCs w:val="26"/>
        </w:rPr>
        <w:t xml:space="preserve">The Quadratic Wall</w:t>
      </w:r>
    </w:p>
    <w:p>
      <w:pPr>
        <w:spacing w:before="120" w:after="120" w:line="276" w:lineRule="auto"/>
        <w:jc w:val="both"/>
      </w:pPr>
      <w:r>
        <w:rPr>
          <w:rFonts w:ascii="Georgia" w:cs="Georgia" w:eastAsia="Georgia" w:hAnsi="Georgia"/>
          <w:sz w:val="22"/>
          <w:szCs w:val="22"/>
        </w:rPr>
        <w:t xml:space="preserve">The attention mechanism works by having every token in a sequence ask a question (the "query") and compare that question against every other token in the sequence (the "keys"). The comparison produces a score, and those scores are used to decide how much each token should "pay attention" to every other token. The information from all the tokens is then blended together according to those attention scores.</w:t>
      </w:r>
    </w:p>
    <w:p>
      <w:pPr>
        <w:spacing w:before="120" w:after="120" w:line="276" w:lineRule="auto"/>
        <w:jc w:val="both"/>
      </w:pPr>
      <w:r>
        <w:rPr>
          <w:rFonts w:ascii="Georgia" w:cs="Georgia" w:eastAsia="Georgia" w:hAnsi="Georgia"/>
          <w:sz w:val="22"/>
          <w:szCs w:val="22"/>
        </w:rPr>
        <w:t xml:space="preserve">The computational cost of this operation grows as the square of the sequence length. If you double the number of tokens you are processing, attention becomes four times more expensive. If you make the sequence ten times longer, attention becomes one hundred times more expensive. This is why training large language models costs tens of millions of dollars and produces measurable carbon emissions — a huge fraction of that cost is the transformer paying attention to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515" w:sz="4"/>
              <w:left w:val="thick" w:color="B07515" w:sz="12"/>
              <w:bottom w:val="single" w:color="B07515" w:sz="4"/>
              <w:right w:val="single" w:color="B07515" w:sz="4"/>
            </w:tcBorders>
            <w:shd w:fill="FFF3E0" w:val="clear"/>
            <w:tcMar>
              <w:top w:type="dxa" w:w="140"/>
              <w:left w:type="dxa" w:w="200"/>
              <w:bottom w:type="dxa" w:w="140"/>
              <w:right w:type="dxa" w:w="200"/>
            </w:tcMar>
          </w:tcPr>
          <w:p>
            <w:pPr>
              <w:spacing w:before="120" w:after="120" w:line="276" w:lineRule="auto"/>
              <w:jc w:val="both"/>
            </w:pPr>
            <w:r>
              <w:rPr>
                <w:rFonts w:ascii="Georgia" w:cs="Georgia" w:eastAsia="Georgia" w:hAnsi="Georgia"/>
                <w:b/>
                <w:bCs/>
                <w:sz w:val="22"/>
                <w:szCs w:val="22"/>
              </w:rPr>
              <w:t xml:space="preserve">The core problem: </w:t>
            </w:r>
            <w:r>
              <w:rPr>
                <w:rFonts w:ascii="Georgia" w:cs="Georgia" w:eastAsia="Georgia" w:hAnsi="Georgia"/>
                <w:sz w:val="22"/>
                <w:szCs w:val="22"/>
              </w:rPr>
              <w:t xml:space="preserve">For a sequence of T tokens, softmax attention performs T² similarity computations. A 100,000-token context window requires 10,000,000,000 comparisons per attention layer per forward pass. Modern models have many layers and run billions of forward passes during training.</w:t>
            </w:r>
          </w:p>
        </w:tc>
      </w:tr>
    </w:tbl>
    <w:p>
      <w:pPr>
        <w:spacing w:before="120" w:after="120" w:line="276" w:lineRule="auto"/>
        <w:jc w:val="both"/>
      </w:pPr>
      <w:r>
        <w:rPr>
          <w:rFonts w:ascii="Georgia" w:cs="Georgia" w:eastAsia="Georgia" w:hAnsi="Georgia"/>
          <w:sz w:val="22"/>
          <w:szCs w:val="22"/>
        </w:rPr>
        <w:t xml:space="preserve">There is a deeper mathematical question underneath the engineering problem. The transformer uses real-number arithmetic, softmax normalization, and Euclidean distance concepts that were chosen primarily because they are differentiable — amenable to gradient-based training — not because they are the mathematically natural operations for language, reasoning, or cognition. What if we worked from first principles and asked: what mathematics actually describes how concepts relate to each other? What geometry does hierarchical reasoning live in? What algebraic structure captures the way a noun phrase relates to a verb phrase?</w:t>
      </w:r>
    </w:p>
    <w:p>
      <w:pPr>
        <w:pStyle w:val="Heading2"/>
        <w:spacing w:before="360" w:after="140"/>
      </w:pPr>
      <w:r>
        <w:rPr>
          <w:rFonts w:ascii="Arial" w:cs="Arial" w:eastAsia="Arial" w:hAnsi="Arial"/>
          <w:b/>
          <w:bCs/>
          <w:color w:val="0F6E56"/>
          <w:sz w:val="26"/>
          <w:szCs w:val="26"/>
        </w:rPr>
        <w:t xml:space="preserve">What This Paper Proposes</w:t>
      </w:r>
    </w:p>
    <w:p>
      <w:pPr>
        <w:spacing w:before="120" w:after="120" w:line="276" w:lineRule="auto"/>
        <w:jc w:val="both"/>
      </w:pPr>
      <w:r>
        <w:rPr>
          <w:rFonts w:ascii="Georgia" w:cs="Georgia" w:eastAsia="Georgia" w:hAnsi="Georgia"/>
          <w:sz w:val="22"/>
          <w:szCs w:val="22"/>
        </w:rPr>
        <w:t xml:space="preserve">We propose five mathematical replacements for the transformer's core operations, each drawn from a well-developed area of mathematics that has been almost completely ignored by the machine learning community. We also revisit two previously abandoned neural network architectures — Echo State Networks and Capsule Networks — and show that their failures were not fundamental but were due to missing mathematical tools that now exist.</w:t>
      </w:r>
    </w:p>
    <w:p>
      <w:pPr>
        <w:spacing w:before="120" w:after="120" w:line="276" w:lineRule="auto"/>
        <w:jc w:val="both"/>
      </w:pPr>
      <w:r>
        <w:rPr>
          <w:rFonts w:ascii="Georgia" w:cs="Georgia" w:eastAsia="Georgia" w:hAnsi="Georgia"/>
          <w:sz w:val="22"/>
          <w:szCs w:val="22"/>
        </w:rPr>
        <w:t xml:space="preserve">Together these pieces compose into a single architecture — the Tropical Sheaf Renormalization Network — that we implement, test, and report results for honestly, including a frank assessment of what the results do and do not prove.</w:t>
      </w:r>
    </w:p>
    <w:p>
      <w:r>
        <w:br/>
      </w:r>
    </w:p>
    <w:p>
      <w:pPr>
        <w:pBdr>
          <w:bottom w:val="single" w:color="1B3A6B" w:sz="6" w:space="4"/>
        </w:pBdr>
        <w:spacing w:before="480" w:after="200"/>
      </w:pPr>
      <w:r>
        <w:rPr>
          <w:rFonts w:ascii="Arial" w:cs="Arial" w:eastAsia="Arial" w:hAnsi="Arial"/>
          <w:b/>
          <w:bCs/>
          <w:color w:val="CCCCCA"/>
          <w:sz w:val="32"/>
          <w:szCs w:val="32"/>
        </w:rPr>
        <w:t xml:space="preserve">2  </w:t>
      </w:r>
      <w:r>
        <w:rPr>
          <w:rFonts w:ascii="Arial" w:cs="Arial" w:eastAsia="Arial" w:hAnsi="Arial"/>
          <w:b/>
          <w:bCs/>
          <w:color w:val="1B3A6B"/>
          <w:sz w:val="32"/>
          <w:szCs w:val="32"/>
        </w:rPr>
        <w:t xml:space="preserve">Mathematical Foundations</w:t>
      </w:r>
    </w:p>
    <w:p>
      <w:pPr>
        <w:spacing w:before="120" w:after="120" w:line="276" w:lineRule="auto"/>
        <w:jc w:val="both"/>
      </w:pPr>
      <w:r>
        <w:rPr>
          <w:rFonts w:ascii="Georgia" w:cs="Georgia" w:eastAsia="Georgia" w:hAnsi="Georgia"/>
          <w:sz w:val="22"/>
          <w:szCs w:val="22"/>
        </w:rPr>
        <w:t xml:space="preserve">We draw on five areas of mathematics. Each is introduced from scratch, with no assumption of prior knowledge, before we explain what it contributes to the architecture.</w:t>
      </w:r>
    </w:p>
    <w:p>
      <w:pPr>
        <w:pStyle w:val="Heading2"/>
        <w:spacing w:before="360" w:after="140"/>
      </w:pPr>
      <w:r>
        <w:rPr>
          <w:rFonts w:ascii="Arial" w:cs="Arial" w:eastAsia="Arial" w:hAnsi="Arial"/>
          <w:b/>
          <w:bCs/>
          <w:color w:val="0F6E56"/>
          <w:sz w:val="26"/>
          <w:szCs w:val="26"/>
        </w:rPr>
        <w:t xml:space="preserve">2.1  Tropical Geometry: Replacing Multiplication with Addition</w:t>
      </w:r>
    </w:p>
    <w:p>
      <w:pPr>
        <w:spacing w:before="120" w:after="120" w:line="276" w:lineRule="auto"/>
        <w:jc w:val="both"/>
      </w:pPr>
      <w:r>
        <w:rPr>
          <w:rFonts w:ascii="Georgia" w:cs="Georgia" w:eastAsia="Georgia" w:hAnsi="Georgia"/>
          <w:sz w:val="22"/>
          <w:szCs w:val="22"/>
        </w:rPr>
        <w:t xml:space="preserve">To understand tropical geometry, we need to first understand what makes ordinary arithmetic ordinary. In the arithmetic you learned in school, two operations — addition and multiplication — satisfy a set of algebraic laws. Multiplication distributes over addition. Zero is the identity for addition. One is the identity for multiplication. These rules define what algebraists call a "semiring."</w:t>
      </w:r>
    </w:p>
    <w:p>
      <w:pPr>
        <w:spacing w:before="120" w:after="120" w:line="276" w:lineRule="auto"/>
        <w:jc w:val="both"/>
      </w:pPr>
      <w:r>
        <w:rPr>
          <w:rFonts w:ascii="Georgia" w:cs="Georgia" w:eastAsia="Georgia" w:hAnsi="Georgia"/>
          <w:sz w:val="22"/>
          <w:szCs w:val="22"/>
        </w:rPr>
        <w:t xml:space="preserve">In the 1980s, a collection of mathematicians independently discovered that you could build a completely different semiring by changing the two fundamental operations. Instead of using ordinary addition and multiplication, use maximum and addition.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4"/>
              <w:left w:val="thick" w:color="534AB7" w:sz="12"/>
              <w:bottom w:val="single" w:color="534AB7" w:sz="4"/>
              <w:right w:val="single" w:color="534AB7" w:sz="4"/>
            </w:tcBorders>
            <w:shd w:fill="EEF4FF" w:val="clear"/>
            <w:tcMar>
              <w:top w:type="dxa" w:w="140"/>
              <w:left w:type="dxa" w:w="200"/>
              <w:bottom w:type="dxa" w:w="140"/>
              <w:right w:type="dxa" w:w="200"/>
            </w:tcMar>
          </w:tcPr>
          <w:p>
            <w:pPr>
              <w:spacing w:before="120" w:after="120" w:line="276" w:lineRule="auto"/>
              <w:jc w:val="both"/>
            </w:pPr>
            <w:r>
              <w:rPr>
                <w:rFonts w:ascii="Georgia" w:cs="Georgia" w:eastAsia="Georgia" w:hAnsi="Georgia"/>
                <w:b/>
                <w:bCs/>
                <w:sz w:val="22"/>
                <w:szCs w:val="22"/>
              </w:rPr>
              <w:t xml:space="preserve">The Tropical Semiring:   </w:t>
            </w:r>
          </w:p>
          <w:p>
            <w:pPr>
              <w:spacing w:before="160" w:after="160"/>
              <w:jc w:val="center"/>
            </w:pPr>
            <w:r>
              <w:rPr>
                <w:rFonts w:ascii="Courier New" w:cs="Courier New" w:eastAsia="Courier New" w:hAnsi="Courier New"/>
                <w:color w:val="1B3A6B"/>
                <w:sz w:val="20"/>
                <w:szCs w:val="20"/>
              </w:rPr>
              <w:t xml:space="preserve">Tropical addition:       a ⊕ b  =  max(a, b)</w:t>
            </w:r>
          </w:p>
          <w:p>
            <w:pPr>
              <w:spacing w:before="160" w:after="160"/>
              <w:jc w:val="center"/>
            </w:pPr>
            <w:r>
              <w:rPr>
                <w:rFonts w:ascii="Courier New" w:cs="Courier New" w:eastAsia="Courier New" w:hAnsi="Courier New"/>
                <w:color w:val="1B3A6B"/>
                <w:sz w:val="20"/>
                <w:szCs w:val="20"/>
              </w:rPr>
              <w:t xml:space="preserve">Tropical multiplication: a ⊙ b  =  a + b</w:t>
            </w:r>
          </w:p>
          <w:p>
            <w:pPr>
              <w:spacing w:before="120" w:after="120" w:line="276" w:lineRule="auto"/>
              <w:jc w:val="both"/>
            </w:pPr>
            <w:r>
              <w:rPr>
                <w:rFonts w:ascii="Georgia" w:cs="Georgia" w:eastAsia="Georgia" w:hAnsi="Georgia"/>
                <w:sz w:val="22"/>
                <w:szCs w:val="22"/>
              </w:rPr>
              <w:t xml:space="preserve">These two operations obey the same algebraic laws as ordinary addition and multiplication — they form a valid semiring. This allows all of linear algebra to be rebuilt on top of them.</w:t>
            </w:r>
          </w:p>
        </w:tc>
      </w:tr>
    </w:tbl>
    <w:p>
      <w:pPr>
        <w:spacing w:before="120" w:after="120" w:line="276" w:lineRule="auto"/>
        <w:jc w:val="both"/>
      </w:pPr>
      <w:r>
        <w:rPr>
          <w:rFonts w:ascii="Georgia" w:cs="Georgia" w:eastAsia="Georgia" w:hAnsi="Georgia"/>
          <w:sz w:val="22"/>
          <w:szCs w:val="22"/>
        </w:rPr>
        <w:t xml:space="preserve">This might seem like a strange thing to do, but the payoff is enormous. Tropical mathematics is the natural language of optimization problems. In ordinary arithmetic, the shortest path problem in a graph requires Dijkstra's algorithm — a non-trivial computation. In tropical arithmetic, it reduces to a single tropical matrix multiplication. The two mathematical worlds are equally powerful but optimized for completely different tasks.</w:t>
      </w:r>
    </w:p>
    <w:p>
      <w:pPr>
        <w:spacing w:before="120" w:after="120" w:line="276" w:lineRule="auto"/>
        <w:jc w:val="both"/>
      </w:pPr>
      <w:r>
        <w:rPr>
          <w:rFonts w:ascii="Georgia" w:cs="Georgia" w:eastAsia="Georgia" w:hAnsi="Georgia"/>
          <w:sz w:val="22"/>
          <w:szCs w:val="22"/>
        </w:rPr>
        <w:t xml:space="preserve">Now here is the connection to neural networks that no one has fully exploited. The standard transformer attention computes, for each query-key pair:</w:t>
      </w:r>
    </w:p>
    <w:p>
      <w:pPr>
        <w:spacing w:before="160" w:after="160"/>
        <w:jc w:val="center"/>
      </w:pPr>
      <w:r>
        <w:rPr>
          <w:rFonts w:ascii="Courier New" w:cs="Courier New" w:eastAsia="Courier New" w:hAnsi="Courier New"/>
          <w:color w:val="1B3A6B"/>
          <w:sz w:val="20"/>
          <w:szCs w:val="20"/>
        </w:rPr>
        <w:t xml:space="preserve">score(q, k)  =  softmax( q · k / √d )</w:t>
      </w:r>
    </w:p>
    <w:p>
      <w:pPr>
        <w:spacing w:before="120" w:after="120" w:line="276" w:lineRule="auto"/>
        <w:jc w:val="both"/>
      </w:pPr>
      <w:r>
        <w:rPr>
          <w:rFonts w:ascii="Georgia" w:cs="Georgia" w:eastAsia="Georgia" w:hAnsi="Georgia"/>
          <w:sz w:val="22"/>
          <w:szCs w:val="22"/>
        </w:rPr>
        <w:t xml:space="preserve">The dot product q·k = Σ_c (q_c × k_c) uses ordinary multiplication and addition. The softmax is a smooth approximation of the argmax function — a differentiable way of finding the largest score. We propose replacing the entire mechanism with its tropical analog:</w:t>
      </w:r>
    </w:p>
    <w:p>
      <w:pPr>
        <w:spacing w:before="160" w:after="160"/>
        <w:jc w:val="center"/>
      </w:pPr>
      <w:r>
        <w:rPr>
          <w:rFonts w:ascii="Courier New" w:cs="Courier New" w:eastAsia="Courier New" w:hAnsi="Courier New"/>
          <w:color w:val="1B3A6B"/>
          <w:sz w:val="20"/>
          <w:szCs w:val="20"/>
        </w:rPr>
        <w:t xml:space="preserve">tropical_score(q, k)  =  max_c (q_c + k_c)</w:t>
      </w:r>
    </w:p>
    <w:p>
      <w:pPr>
        <w:spacing w:before="120" w:after="120" w:line="276" w:lineRule="auto"/>
        <w:jc w:val="both"/>
      </w:pPr>
      <w:r>
        <w:rPr>
          <w:rFonts w:ascii="Georgia" w:cs="Georgia" w:eastAsia="Georgia" w:hAnsi="Georgia"/>
          <w:sz w:val="22"/>
          <w:szCs w:val="22"/>
        </w:rPr>
        <w:t xml:space="preserve">This is the tropical inner product. Instead of multiplying corresponding components and summing, we add corresponding components and take the maximum. The result is a single number that represents which dimension of the query and key agree most strongly.</w:t>
      </w:r>
    </w:p>
    <w:p>
      <w:pPr>
        <w:spacing w:before="120" w:after="120" w:line="276" w:lineRule="auto"/>
        <w:jc w:val="both"/>
      </w:pPr>
      <w:r>
        <w:rPr>
          <w:rFonts w:ascii="Georgia" w:cs="Georgia" w:eastAsia="Georgia" w:hAnsi="Georgia"/>
          <w:sz w:val="22"/>
          <w:szCs w:val="22"/>
        </w:rPr>
        <w:t xml:space="preserve">The critical advantage: because tropical addition is max (exact), there is no need for the softmax approximation. We can select the single best key — or the top-k best keys — with exact discrete operations. This makes attention provably sparse: instead of every token attending to every other token with nonzero weight, each token attends to exactly k tokens. The attention pattern goes from O(T²) to O(T·k), and since k is a fixed small constant (we use k=8 to 16), the complexity is effectively linear.</w:t>
      </w:r>
    </w:p>
    <w:p>
      <w:pPr>
        <w:spacing w:before="120" w:after="120" w:line="276" w:lineRule="auto"/>
        <w:jc w:val="both"/>
      </w:pPr>
      <w:r>
        <w:rPr>
          <w:rFonts w:ascii="Georgia" w:cs="Georgia" w:eastAsia="Georgia" w:hAnsi="Georgia"/>
          <w:sz w:val="22"/>
          <w:szCs w:val="22"/>
        </w:rPr>
        <w:t xml:space="preserve">There is a beautiful algebraic reason why this works. The space of tropical polynomials is equivalent to the space of piecewise-linear functions over the reals. Neural networks with ReLU activations compute piecewise-linear functions. Therefore, transformer networks are already implicitly computing tropical geometry — they just have not been designed with that awareness. Our architecture makes the tropical structure explicit and exploits it.</w:t>
      </w:r>
    </w:p>
    <w:p>
      <w:pPr>
        <w:pStyle w:val="Heading2"/>
        <w:spacing w:before="360" w:after="140"/>
      </w:pPr>
      <w:r>
        <w:rPr>
          <w:rFonts w:ascii="Arial" w:cs="Arial" w:eastAsia="Arial" w:hAnsi="Arial"/>
          <w:b/>
          <w:bCs/>
          <w:color w:val="0F6E56"/>
          <w:sz w:val="26"/>
          <w:szCs w:val="26"/>
        </w:rPr>
        <w:t xml:space="preserve">2.2  Sheaf Theory: Formalizing Local-to-Global Consistency</w:t>
      </w:r>
    </w:p>
    <w:p>
      <w:pPr>
        <w:spacing w:before="120" w:after="120" w:line="276" w:lineRule="auto"/>
        <w:jc w:val="both"/>
      </w:pPr>
      <w:r>
        <w:rPr>
          <w:rFonts w:ascii="Georgia" w:cs="Georgia" w:eastAsia="Georgia" w:hAnsi="Georgia"/>
          <w:sz w:val="22"/>
          <w:szCs w:val="22"/>
        </w:rPr>
        <w:t xml:space="preserve">Sheaf theory comes from algebraic topology, a branch of mathematics concerned with how local structure gives rise to global properties. It was developed in the 1950s by Jean Leray and Alexander Grothendieck to solve problems in complex analysis and algebraic geometry. Its application to neural networks is almost entirely unexplored.</w:t>
      </w:r>
    </w:p>
    <w:p>
      <w:pPr>
        <w:spacing w:before="120" w:after="120" w:line="276" w:lineRule="auto"/>
        <w:jc w:val="both"/>
      </w:pPr>
      <w:r>
        <w:rPr>
          <w:rFonts w:ascii="Georgia" w:cs="Georgia" w:eastAsia="Georgia" w:hAnsi="Georgia"/>
          <w:sz w:val="22"/>
          <w:szCs w:val="22"/>
        </w:rPr>
        <w:t xml:space="preserve">The central idea is simple to describe but powerful in its consequences. Imagine a graph — a collection of nodes connected by edges. A sheaf assigns a vector space to each node and each edge. It also provides a linear map (called a restriction map) for each directed edge, which translates information from the source node's space into the edge's space.</w:t>
      </w:r>
    </w:p>
    <w:p>
      <w:pPr>
        <w:spacing w:before="120" w:after="120" w:line="276" w:lineRule="auto"/>
        <w:jc w:val="both"/>
      </w:pPr>
      <w:r>
        <w:rPr>
          <w:rFonts w:ascii="Georgia" w:cs="Georgia" w:eastAsia="Georgia" w:hAnsi="Georgia"/>
          <w:sz w:val="22"/>
          <w:szCs w:val="22"/>
        </w:rPr>
        <w:t xml:space="preserve">The key quantity is the sheaf Laplacian, which measures the total inconsistency in the sheaf — how much the information at each node disagrees with the information at its neighboring nodes, when translated through the restriction maps. When the sheaf Laplacian is zero, the sheaf is globally consistent: all local information fits together perfectly.</w:t>
      </w:r>
    </w:p>
    <w:p>
      <w:pPr>
        <w:spacing w:before="120" w:after="120" w:line="276" w:lineRule="auto"/>
        <w:jc w:val="both"/>
      </w:pPr>
      <w:r>
        <w:rPr>
          <w:rFonts w:ascii="Georgia" w:cs="Georgia" w:eastAsia="Georgia" w:hAnsi="Georgia"/>
          <w:sz w:val="22"/>
          <w:szCs w:val="22"/>
        </w:rPr>
        <w:t xml:space="preserve">In our architecture, each token is a node. For each relative offset δ (e.g., the token two positions to the left), there is a learned restriction map R_δ. The sheaf diffusion operation takes one step in the direction of minimizing the sheaf Laplacian energy:</w:t>
      </w:r>
    </w:p>
    <w:p>
      <w:pPr>
        <w:spacing w:before="160" w:after="160"/>
        <w:jc w:val="center"/>
      </w:pPr>
      <w:r>
        <w:rPr>
          <w:rFonts w:ascii="Courier New" w:cs="Courier New" w:eastAsia="Courier New" w:hAnsi="Courier New"/>
          <w:color w:val="1B3A6B"/>
          <w:sz w:val="20"/>
          <w:szCs w:val="20"/>
        </w:rPr>
        <w:t xml:space="preserve">x_i  ←  x_i  −  α  ·  Σ_δ  R_δᵀ ( R_δ x_i  −  x_{i+δ} )</w:t>
      </w:r>
    </w:p>
    <w:p>
      <w:pPr>
        <w:spacing w:before="120" w:after="120" w:line="276" w:lineRule="auto"/>
        <w:jc w:val="both"/>
      </w:pPr>
      <w:r>
        <w:rPr>
          <w:rFonts w:ascii="Georgia" w:cs="Georgia" w:eastAsia="Georgia" w:hAnsi="Georgia"/>
          <w:sz w:val="22"/>
          <w:szCs w:val="22"/>
        </w:rPr>
        <w:t xml:space="preserve">This updates each token's representation to be more consistent with its neighbors, as defined by the learned restriction maps. The update is purely local — each token only looks at its immediate neighborhood — but through repeated application, information propagates globally. This is the mathematical magic of sheaves: local consistency implies global coherence.</w:t>
      </w:r>
    </w:p>
    <w:p>
      <w:pPr>
        <w:spacing w:before="120" w:after="120" w:line="276" w:lineRule="auto"/>
        <w:jc w:val="both"/>
      </w:pPr>
      <w:r>
        <w:rPr>
          <w:rFonts w:ascii="Georgia" w:cs="Georgia" w:eastAsia="Georgia" w:hAnsi="Georgia"/>
          <w:sz w:val="22"/>
          <w:szCs w:val="22"/>
        </w:rPr>
        <w:t xml:space="preserve">An important intellectual connection: sheaf theory provides a rigorous mathematical foundation for Geoffrey Hinton's Capsule Networks — one of the most compelling but ultimately unsuccessful proposals in neural network history. Capsules were supposed to represent parts of objects and route information between them based on geometric agreement. The routing algorithm Hinton proposed was correct in spirit but was never given a proper mathematical foundation, making it hard to train and hard to understand theoretically.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4"/>
              <w:left w:val="thick" w:color="0F6E56" w:sz="12"/>
              <w:bottom w:val="single" w:color="0F6E56" w:sz="4"/>
              <w:right w:val="single" w:color="0F6E56" w:sz="4"/>
            </w:tcBorders>
            <w:shd w:fill="E8F4EC" w:val="clear"/>
            <w:tcMar>
              <w:top w:type="dxa" w:w="140"/>
              <w:left w:type="dxa" w:w="200"/>
              <w:bottom w:type="dxa" w:w="140"/>
              <w:right w:type="dxa" w:w="200"/>
            </w:tcMar>
          </w:tcPr>
          <w:p>
            <w:pPr>
              <w:spacing w:before="120" w:after="120" w:line="276" w:lineRule="auto"/>
              <w:jc w:val="both"/>
            </w:pPr>
            <w:r>
              <w:rPr>
                <w:rFonts w:ascii="Georgia" w:cs="Georgia" w:eastAsia="Georgia" w:hAnsi="Georgia"/>
                <w:b/>
                <w:bCs/>
                <w:sz w:val="22"/>
                <w:szCs w:val="22"/>
              </w:rPr>
              <w:t xml:space="preserve">Sheaves = Capsules with mathematical grounding:  </w:t>
            </w:r>
          </w:p>
          <w:p>
            <w:pPr>
              <w:spacing w:before="120" w:after="120" w:line="276" w:lineRule="auto"/>
              <w:jc w:val="both"/>
            </w:pPr>
            <w:r>
              <w:rPr>
                <w:rFonts w:ascii="Georgia" w:cs="Georgia" w:eastAsia="Georgia" w:hAnsi="Georgia"/>
                <w:sz w:val="22"/>
                <w:szCs w:val="22"/>
              </w:rPr>
              <w:t xml:space="preserve">Hinton's capsule transformation matrices W_ij are exactly the sheaf restriction maps R_δ. His routing-by-agreement algorithm is exactly the process of minimizing the sheaf Laplacian energy. The sheaf formulation makes the capsule idea differentiable end-to-end without the iterative routing loop, and gives it a precise mathematical meaning that it previously lacked.</w:t>
            </w:r>
          </w:p>
        </w:tc>
      </w:tr>
    </w:tbl>
    <w:p>
      <w:pPr>
        <w:pStyle w:val="Heading2"/>
        <w:spacing w:before="360" w:after="140"/>
      </w:pPr>
      <w:r>
        <w:rPr>
          <w:rFonts w:ascii="Arial" w:cs="Arial" w:eastAsia="Arial" w:hAnsi="Arial"/>
          <w:b/>
          <w:bCs/>
          <w:color w:val="0F6E56"/>
          <w:sz w:val="26"/>
          <w:szCs w:val="26"/>
        </w:rPr>
        <w:t xml:space="preserve">2.3  The Renormalization Group: Multi-Scale Physics</w:t>
      </w:r>
    </w:p>
    <w:p>
      <w:pPr>
        <w:spacing w:before="120" w:after="120" w:line="276" w:lineRule="auto"/>
        <w:jc w:val="both"/>
      </w:pPr>
      <w:r>
        <w:rPr>
          <w:rFonts w:ascii="Georgia" w:cs="Georgia" w:eastAsia="Georgia" w:hAnsi="Georgia"/>
          <w:sz w:val="22"/>
          <w:szCs w:val="22"/>
        </w:rPr>
        <w:t xml:space="preserve">The renormalization group is arguably the deepest idea in twentieth-century theoretical physics. It emerged from quantum field theory in the 1970s through the work of Kenneth Wilson, who won the Nobel Prize for it in 1982. The central insight is about how physical systems look at different scales of observation.</w:t>
      </w:r>
    </w:p>
    <w:p>
      <w:pPr>
        <w:spacing w:before="120" w:after="120" w:line="276" w:lineRule="auto"/>
        <w:jc w:val="both"/>
      </w:pPr>
      <w:r>
        <w:rPr>
          <w:rFonts w:ascii="Georgia" w:cs="Georgia" w:eastAsia="Georgia" w:hAnsi="Georgia"/>
          <w:sz w:val="22"/>
          <w:szCs w:val="22"/>
        </w:rPr>
        <w:t xml:space="preserve">Consider a magnet made of millions of iron atoms, each of which is a tiny magnetic dipole that can point up or down. At the smallest scale, the behavior is governed by quantum mechanics and is extraordinarily complex. At the scale of centimeters, the magnet just has a north pole and a south pole. The renormalization group provides the precise mathematical machinery for moving between scales — for "integrating out" the fine-scale details to get an effective description at a coarser scale, while capturing exactly what information about the fine scale is preserved at the coarser one.</w:t>
      </w:r>
    </w:p>
    <w:p>
      <w:pPr>
        <w:spacing w:before="120" w:after="120" w:line="276" w:lineRule="auto"/>
        <w:jc w:val="both"/>
      </w:pPr>
      <w:r>
        <w:rPr>
          <w:rFonts w:ascii="Georgia" w:cs="Georgia" w:eastAsia="Georgia" w:hAnsi="Georgia"/>
          <w:sz w:val="22"/>
          <w:szCs w:val="22"/>
        </w:rPr>
        <w:t xml:space="preserve">The key operation is coarse-graining: replace every pair of adjacent fine-scale degrees of freedom with a single coarse-scale degree of freedom. But before coarse-graining, you first apply a disentangler — a transformation that removes short-range entanglement between the pair, so that the coarse-grained variable captures only the long-range, large-scale information. This structure — disentangle then coarse-grain, repeat hierarchically — is formalized in MERA, the Multi-scale Entanglement Renormalization Ansatz, developed by Guifre Vidal for quantum many-body physics.</w:t>
      </w:r>
    </w:p>
    <w:p>
      <w:pPr>
        <w:spacing w:before="120" w:after="120" w:line="276" w:lineRule="auto"/>
        <w:jc w:val="both"/>
      </w:pPr>
      <w:r>
        <w:rPr>
          <w:rFonts w:ascii="Georgia" w:cs="Georgia" w:eastAsia="Georgia" w:hAnsi="Georgia"/>
          <w:sz w:val="22"/>
          <w:szCs w:val="22"/>
        </w:rPr>
        <w:t xml:space="preserve">We apply this structure to sequences. Each pair of adjacent tokens is disentangled (short-range correlations between them are removed by a learned linear transformation) and then pooled into a single coarser token. This halves the sequence length at each level. The full computation runs at two scales: the original resolution (word-level) and the halved resolution (phrase-level). The coarse-scale computation is cheap — half as many tokens, the same operations — and it operates on genuinely different information than the fine scale, because the disentangler has stripped out the local correlations. The total computation cost is O(T + T/2) = O(T), not O(T²).</w:t>
      </w:r>
    </w:p>
    <w:p>
      <w:pPr>
        <w:spacing w:before="120" w:after="120" w:line="276" w:lineRule="auto"/>
        <w:jc w:val="both"/>
      </w:pPr>
      <w:r>
        <w:rPr>
          <w:rFonts w:ascii="Georgia" w:cs="Georgia" w:eastAsia="Georgia" w:hAnsi="Georgia"/>
          <w:sz w:val="22"/>
          <w:szCs w:val="22"/>
        </w:rPr>
        <w:t xml:space="preserve">This approach also revives hierarchical recurrent networks — the layered RNNs proposed in the early 2010s that processed sequences at multiple timescales. Those were abandoned because training them was numerically unstable. The RG framework provides a principled way to construct the hierarchy, and modern initialization and normalization techniques eliminate the stability problems.</w:t>
      </w:r>
    </w:p>
    <w:p>
      <w:pPr>
        <w:pStyle w:val="Heading2"/>
        <w:spacing w:before="360" w:after="140"/>
      </w:pPr>
      <w:r>
        <w:rPr>
          <w:rFonts w:ascii="Arial" w:cs="Arial" w:eastAsia="Arial" w:hAnsi="Arial"/>
          <w:b/>
          <w:bCs/>
          <w:color w:val="0F6E56"/>
          <w:sz w:val="26"/>
          <w:szCs w:val="26"/>
        </w:rPr>
        <w:t xml:space="preserve">2.4  Clifford Geometric Algebra: Richer Representations</w:t>
      </w:r>
    </w:p>
    <w:p>
      <w:pPr>
        <w:spacing w:before="120" w:after="120" w:line="276" w:lineRule="auto"/>
        <w:jc w:val="both"/>
      </w:pPr>
      <w:r>
        <w:rPr>
          <w:rFonts w:ascii="Georgia" w:cs="Georgia" w:eastAsia="Georgia" w:hAnsi="Georgia"/>
          <w:sz w:val="22"/>
          <w:szCs w:val="22"/>
        </w:rPr>
        <w:t xml:space="preserve">The dot product is the workhorse of machine learning. Neural networks compute millions of dot products every forward pass. A dot product takes two vectors and produces a single number — a measure of how much they point in the same direction. But this discards enormous amounts of information. Two vectors might have the same dot product while having completely different geometric relationships.</w:t>
      </w:r>
    </w:p>
    <w:p>
      <w:pPr>
        <w:spacing w:before="120" w:after="120" w:line="276" w:lineRule="auto"/>
        <w:jc w:val="both"/>
      </w:pPr>
      <w:r>
        <w:rPr>
          <w:rFonts w:ascii="Georgia" w:cs="Georgia" w:eastAsia="Georgia" w:hAnsi="Georgia"/>
          <w:sz w:val="22"/>
          <w:szCs w:val="22"/>
        </w:rPr>
        <w:t xml:space="preserve">Clifford algebras (also called geometric algebras) extend the dot product to a richer operation called the geometric product. For two vectors a and b, the geometric product ab produces not a scalar but a multivector — an object that has both a scalar part and a bivector part:</w:t>
      </w:r>
    </w:p>
    <w:p>
      <w:pPr>
        <w:spacing w:before="160" w:after="160"/>
        <w:jc w:val="center"/>
      </w:pPr>
      <w:r>
        <w:rPr>
          <w:rFonts w:ascii="Courier New" w:cs="Courier New" w:eastAsia="Courier New" w:hAnsi="Courier New"/>
          <w:color w:val="1B3A6B"/>
          <w:sz w:val="20"/>
          <w:szCs w:val="20"/>
        </w:rPr>
        <w:t xml:space="preserve">ab  =  a·b  +  a∧b</w:t>
      </w:r>
    </w:p>
    <w:p>
      <w:pPr>
        <w:spacing w:before="120" w:after="120" w:line="276" w:lineRule="auto"/>
        <w:jc w:val="both"/>
      </w:pPr>
      <w:r>
        <w:rPr>
          <w:rFonts w:ascii="Georgia" w:cs="Georgia" w:eastAsia="Georgia" w:hAnsi="Georgia"/>
          <w:sz w:val="22"/>
          <w:szCs w:val="22"/>
        </w:rPr>
        <w:t xml:space="preserve">The scalar part a·b is the familiar dot product — symmetric, capturing similarity. The bivector part a∧b is the wedge product — antisymmetric, capturing the oriented plane spanned by the two vectors. This contains information about the angle between them and the direction of rotation from one to the other. Together, these two pieces tell you not just how similar two vectors are but what geometric relationship they stand in.</w:t>
      </w:r>
    </w:p>
    <w:p>
      <w:pPr>
        <w:spacing w:before="120" w:after="120" w:line="276" w:lineRule="auto"/>
        <w:jc w:val="both"/>
      </w:pPr>
      <w:r>
        <w:rPr>
          <w:rFonts w:ascii="Georgia" w:cs="Georgia" w:eastAsia="Georgia" w:hAnsi="Georgia"/>
          <w:sz w:val="22"/>
          <w:szCs w:val="22"/>
        </w:rPr>
        <w:t xml:space="preserve">In our architecture, we use a simplified version of this idea. We project each token representation into two halves — a "real" part and an "imaginary" part — and compute their geometric self-product. This gives:</w:t>
      </w:r>
    </w:p>
    <w:p>
      <w:pPr>
        <w:spacing w:before="160" w:after="160"/>
        <w:jc w:val="center"/>
      </w:pPr>
      <w:r>
        <w:rPr>
          <w:rFonts w:ascii="Courier New" w:cs="Courier New" w:eastAsia="Courier New" w:hAnsi="Courier New"/>
          <w:color w:val="1B3A6B"/>
          <w:sz w:val="20"/>
          <w:szCs w:val="20"/>
        </w:rPr>
        <w:t xml:space="preserve">grade-0 part:  r² − i²   (scalar — measures self-similarity)</w:t>
      </w:r>
    </w:p>
    <w:p>
      <w:pPr>
        <w:spacing w:before="160" w:after="160"/>
        <w:jc w:val="center"/>
      </w:pPr>
      <w:r>
        <w:rPr>
          <w:rFonts w:ascii="Courier New" w:cs="Courier New" w:eastAsia="Courier New" w:hAnsi="Courier New"/>
          <w:color w:val="1B3A6B"/>
          <w:sz w:val="20"/>
          <w:szCs w:val="20"/>
        </w:rPr>
        <w:t xml:space="preserve">grade-2 part:  2ri       (bivector — measures internal geometric structure)</w:t>
      </w:r>
    </w:p>
    <w:p>
      <w:pPr>
        <w:spacing w:before="120" w:after="120" w:line="276" w:lineRule="auto"/>
        <w:jc w:val="both"/>
      </w:pPr>
      <w:r>
        <w:rPr>
          <w:rFonts w:ascii="Georgia" w:cs="Georgia" w:eastAsia="Georgia" w:hAnsi="Georgia"/>
          <w:sz w:val="22"/>
          <w:szCs w:val="22"/>
        </w:rPr>
        <w:t xml:space="preserve">The result is a richer nonlinear activation than GELU or ReLU, one that is geometrically motivated rather than chosen for engineering convenience. It is also a degree-2 polynomial activation, which means it can capture quadratic interactions between features — something that ReLU networks approximate only through depth.</w:t>
      </w:r>
    </w:p>
    <w:p>
      <w:pPr>
        <w:spacing w:before="120" w:after="120" w:line="276" w:lineRule="auto"/>
        <w:jc w:val="both"/>
      </w:pPr>
      <w:r>
        <w:rPr>
          <w:rFonts w:ascii="Georgia" w:cs="Georgia" w:eastAsia="Georgia" w:hAnsi="Georgia"/>
          <w:sz w:val="22"/>
          <w:szCs w:val="22"/>
        </w:rPr>
        <w:t xml:space="preserve">This connects to a recent successful technique in transformers: Rotary Position Embeddings (RoPE), which have become the standard positional encoding in modern LLMs. RoPE works by rotating the query and key vectors using 2D rotation matrices. 2D rotation is exactly the action of the simplest nontrivial Clifford algebra — the complex numbers. Our Clifford FFN generalizes this to the full Clifford algebra, going beyond the 2D rotation subgroup that RoPE uses.</w:t>
      </w:r>
    </w:p>
    <w:p>
      <w:pPr>
        <w:pStyle w:val="Heading2"/>
        <w:spacing w:before="360" w:after="140"/>
      </w:pPr>
      <w:r>
        <w:rPr>
          <w:rFonts w:ascii="Arial" w:cs="Arial" w:eastAsia="Arial" w:hAnsi="Arial"/>
          <w:b/>
          <w:bCs/>
          <w:color w:val="0F6E56"/>
          <w:sz w:val="26"/>
          <w:szCs w:val="26"/>
        </w:rPr>
        <w:t xml:space="preserve">2.5  p-adic Numbers: Ultrametric Geometry for Hierarchical Reasoning</w:t>
      </w:r>
    </w:p>
    <w:p>
      <w:pPr>
        <w:spacing w:before="120" w:after="120" w:line="276" w:lineRule="auto"/>
        <w:jc w:val="both"/>
      </w:pPr>
      <w:r>
        <w:rPr>
          <w:rFonts w:ascii="Georgia" w:cs="Georgia" w:eastAsia="Georgia" w:hAnsi="Georgia"/>
          <w:sz w:val="22"/>
          <w:szCs w:val="22"/>
        </w:rPr>
        <w:t xml:space="preserve">The real number line has a metric — a way of measuring distance — given by the absolute value: d(x, y) = |x - y|. This is the familiar Euclidean metric, and it satisfies the triangle inequality: the distance from x to z is at most the distance from x to y plus the distance from y to z.</w:t>
      </w:r>
    </w:p>
    <w:p>
      <w:pPr>
        <w:spacing w:before="120" w:after="120" w:line="276" w:lineRule="auto"/>
        <w:jc w:val="both"/>
      </w:pPr>
      <w:r>
        <w:rPr>
          <w:rFonts w:ascii="Georgia" w:cs="Georgia" w:eastAsia="Georgia" w:hAnsi="Georgia"/>
          <w:sz w:val="22"/>
          <w:szCs w:val="22"/>
        </w:rPr>
        <w:t xml:space="preserve">The p-adic numbers are a completely different number system, constructed for any prime p, with a completely different metric. In the p-adic metric, distance is determined by how high a power of p divides the difference between two numbers. Two numbers are "close" in the p-adic sense if their difference is highly divisible by p — not if they are numerically nearby.</w:t>
      </w:r>
    </w:p>
    <w:p>
      <w:pPr>
        <w:spacing w:before="120" w:after="120" w:line="276" w:lineRule="auto"/>
        <w:jc w:val="both"/>
      </w:pPr>
      <w:r>
        <w:rPr>
          <w:rFonts w:ascii="Georgia" w:cs="Georgia" w:eastAsia="Georgia" w:hAnsi="Georgia"/>
          <w:sz w:val="22"/>
          <w:szCs w:val="22"/>
        </w:rPr>
        <w:t xml:space="preserve">The p-adic metric satisfies a much stronger property than the ordinary triangle inequality — the ultrametric inequality:</w:t>
      </w:r>
    </w:p>
    <w:p>
      <w:pPr>
        <w:spacing w:before="160" w:after="160"/>
        <w:jc w:val="center"/>
      </w:pPr>
      <w:r>
        <w:rPr>
          <w:rFonts w:ascii="Courier New" w:cs="Courier New" w:eastAsia="Courier New" w:hAnsi="Courier New"/>
          <w:color w:val="1B3A6B"/>
          <w:sz w:val="20"/>
          <w:szCs w:val="20"/>
        </w:rPr>
        <w:t xml:space="preserve">d_p(x, z)  ≤  max( d_p(x, y),  d_p(y, z) )</w:t>
      </w:r>
    </w:p>
    <w:p>
      <w:pPr>
        <w:spacing w:before="120" w:after="120" w:line="276" w:lineRule="auto"/>
        <w:jc w:val="both"/>
      </w:pPr>
      <w:r>
        <w:rPr>
          <w:rFonts w:ascii="Georgia" w:cs="Georgia" w:eastAsia="Georgia" w:hAnsi="Georgia"/>
          <w:sz w:val="22"/>
          <w:szCs w:val="22"/>
        </w:rPr>
        <w:t xml:space="preserve">This says: the distance from x to z is at most the maximum (not the sum) of the intermediate distances. A consequence of this is extraordinary: in a p-adic metric space, every triangle is isoceles. And the space has a natural tree structure — the open balls of radius p^{-n} are exactly the subtrees at depth n of an infinite rooted tree.</w:t>
      </w:r>
    </w:p>
    <w:p>
      <w:pPr>
        <w:spacing w:before="120" w:after="120" w:line="276" w:lineRule="auto"/>
        <w:jc w:val="both"/>
      </w:pPr>
      <w:r>
        <w:rPr>
          <w:rFonts w:ascii="Georgia" w:cs="Georgia" w:eastAsia="Georgia" w:hAnsi="Georgia"/>
          <w:sz w:val="22"/>
          <w:szCs w:val="22"/>
        </w:rPr>
        <w:t xml:space="preserve">Why does this matter for language? Because language is hierarchical. A document contains paragraphs. Paragraphs contain sentences. Sentences contain noun phrases and verb phrases. Phrases contain words. Words contain morphemes. The relationship between a word and its paragraph is fundamentally different from the relationship between two adjacent words, and the ultrametric captures this: things at the same level of the hierarchy are "close," things at different levels are "far" in a categorical way, not a gradient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4"/>
              <w:left w:val="thick" w:color="534AB7" w:sz="12"/>
              <w:bottom w:val="single" w:color="534AB7" w:sz="4"/>
              <w:right w:val="single" w:color="534AB7" w:sz="4"/>
            </w:tcBorders>
            <w:shd w:fill="F3EEFF" w:val="clear"/>
            <w:tcMar>
              <w:top w:type="dxa" w:w="140"/>
              <w:left w:type="dxa" w:w="200"/>
              <w:bottom w:type="dxa" w:w="140"/>
              <w:right w:type="dxa" w:w="200"/>
            </w:tcMar>
          </w:tcPr>
          <w:p>
            <w:pPr>
              <w:spacing w:before="120" w:after="120" w:line="276" w:lineRule="auto"/>
              <w:jc w:val="both"/>
            </w:pPr>
            <w:r>
              <w:rPr>
                <w:rFonts w:ascii="Georgia" w:cs="Georgia" w:eastAsia="Georgia" w:hAnsi="Georgia"/>
                <w:b/>
                <w:bCs/>
                <w:sz w:val="22"/>
                <w:szCs w:val="22"/>
              </w:rPr>
              <w:t xml:space="preserve">The p-adic attention insight:  </w:t>
            </w:r>
          </w:p>
          <w:p>
            <w:pPr>
              <w:spacing w:before="120" w:after="120" w:line="276" w:lineRule="auto"/>
              <w:jc w:val="both"/>
            </w:pPr>
            <w:r>
              <w:rPr>
                <w:rFonts w:ascii="Georgia" w:cs="Georgia" w:eastAsia="Georgia" w:hAnsi="Georgia"/>
                <w:sz w:val="22"/>
                <w:szCs w:val="22"/>
              </w:rPr>
              <w:t xml:space="preserve">In standard attention, similarity is computed using the Euclidean dot product. Two tokens are similar if their representations point in the same direction in a high-dimensional space. In p-adic attention, similarity is computed using the ultrametric: two tokens are similar if they share a long common prefix in a learned binary tree encoding. This is a fundamentally different geometry — one that naturally represents hierarchical, categorical relationships rather than continuous similarity.</w:t>
            </w:r>
          </w:p>
        </w:tc>
      </w:tr>
    </w:tbl>
    <w:p>
      <w:pPr>
        <w:spacing w:before="120" w:after="120" w:line="276" w:lineRule="auto"/>
        <w:jc w:val="both"/>
      </w:pPr>
      <w:r>
        <w:rPr>
          <w:rFonts w:ascii="Georgia" w:cs="Georgia" w:eastAsia="Georgia" w:hAnsi="Georgia"/>
          <w:sz w:val="22"/>
          <w:szCs w:val="22"/>
        </w:rPr>
        <w:t xml:space="preserve">We implement two uses of p-adic structure. The first is a hierarchical memory module: a binary tree of learned key-value pairs, where retrieval navigates the tree level by level, pruning subtrees that are maximally distant from the query under the ultrametric. The second is a p-adic attention layer at the coarse scale of our architecture, where tokens are routed through a learned binary tree and their similarity is measured by the depth of their lowest common ancestor.</w:t>
      </w:r>
    </w:p>
    <w:p>
      <w:pPr>
        <w:pStyle w:val="Heading2"/>
        <w:spacing w:before="360" w:after="140"/>
      </w:pPr>
      <w:r>
        <w:rPr>
          <w:rFonts w:ascii="Arial" w:cs="Arial" w:eastAsia="Arial" w:hAnsi="Arial"/>
          <w:b/>
          <w:bCs/>
          <w:color w:val="0F6E56"/>
          <w:sz w:val="26"/>
          <w:szCs w:val="26"/>
        </w:rPr>
        <w:t xml:space="preserve">2.6  The Revived Discarded Architectures</w:t>
      </w:r>
    </w:p>
    <w:p>
      <w:pPr>
        <w:pStyle w:val="Heading3"/>
        <w:spacing w:before="280" w:after="100"/>
      </w:pPr>
      <w:r>
        <w:rPr>
          <w:rFonts w:ascii="Arial" w:cs="Arial" w:eastAsia="Arial" w:hAnsi="Arial"/>
          <w:b/>
          <w:bCs/>
          <w:color w:val="444441"/>
          <w:sz w:val="23"/>
          <w:szCs w:val="23"/>
        </w:rPr>
        <w:t xml:space="preserve">Echo State Networks: Chaos as a Feature</w:t>
      </w:r>
    </w:p>
    <w:p>
      <w:pPr>
        <w:spacing w:before="120" w:after="120" w:line="276" w:lineRule="auto"/>
        <w:jc w:val="both"/>
      </w:pPr>
      <w:r>
        <w:rPr>
          <w:rFonts w:ascii="Georgia" w:cs="Georgia" w:eastAsia="Georgia" w:hAnsi="Georgia"/>
          <w:sz w:val="22"/>
          <w:szCs w:val="22"/>
        </w:rPr>
        <w:t xml:space="preserve">In 2001, Herbert Jaeger at the German National Research Center for Artificial Intelligence proposed the Echo State Network. The idea was radical: instead of training a recurrent neural network's internal connections, initialize them randomly and fix them forever. Only the output layer — the "readout" — is trained. The fixed random network is called the reservoir.</w:t>
      </w:r>
    </w:p>
    <w:p>
      <w:pPr>
        <w:spacing w:before="120" w:after="120" w:line="276" w:lineRule="auto"/>
        <w:jc w:val="both"/>
      </w:pPr>
      <w:r>
        <w:rPr>
          <w:rFonts w:ascii="Georgia" w:cs="Georgia" w:eastAsia="Georgia" w:hAnsi="Georgia"/>
          <w:sz w:val="22"/>
          <w:szCs w:val="22"/>
        </w:rPr>
        <w:t xml:space="preserve">The mathematical justification was elegant: a randomly connected network, when initialized near the "edge of chaos" (a spectral radius of approximately 1.0), projects its input history into a very high-dimensional space. The readout just needs to find the linear combination of reservoir states that best predicts the output. Since the reservoir is fixed, the readout can be trained with simple linear regression — no backpropagation through time required.</w:t>
      </w:r>
    </w:p>
    <w:p>
      <w:pPr>
        <w:spacing w:before="120" w:after="120" w:line="276" w:lineRule="auto"/>
        <w:jc w:val="both"/>
      </w:pPr>
      <w:r>
        <w:rPr>
          <w:rFonts w:ascii="Georgia" w:cs="Georgia" w:eastAsia="Georgia" w:hAnsi="Georgia"/>
          <w:sz w:val="22"/>
          <w:szCs w:val="22"/>
        </w:rPr>
        <w:t xml:space="preserve">Echo State Networks were abandoned for two reasons. First, the "edge of chaos" spectral radius was fragile — slightly too high and the network became chaotic and unpredictable; slightly too low and it "forgot" its input history too quickly. Second, fixed random reservoirs have limited expressivity — you cannot make them learn representations that are well-suited to a specific task.</w:t>
      </w:r>
    </w:p>
    <w:p>
      <w:pPr>
        <w:spacing w:before="120" w:after="120" w:line="276" w:lineRule="auto"/>
        <w:jc w:val="both"/>
      </w:pPr>
      <w:r>
        <w:rPr>
          <w:rFonts w:ascii="Georgia" w:cs="Georgia" w:eastAsia="Georgia" w:hAnsi="Georgia"/>
          <w:sz w:val="22"/>
          <w:szCs w:val="22"/>
        </w:rPr>
        <w:t xml:space="preserve">We address both problems. The spectral radius becomes a learned parameter — the network trains itself to the edge of chaos rather than requiring manual tuning. The reservoir weights are allowed to fine-tune slightly (initialized in the chaos regime but not frozen), so they can specialize while preserving the favorable dynamical properties. The readout starts as an all-zeros matrix — a true no-op at initialization — and grows to capture the useful signal the reservoir computes.</w:t>
      </w:r>
    </w:p>
    <w:p>
      <w:pPr>
        <w:pStyle w:val="Heading3"/>
        <w:spacing w:before="280" w:after="100"/>
      </w:pPr>
      <w:r>
        <w:rPr>
          <w:rFonts w:ascii="Arial" w:cs="Arial" w:eastAsia="Arial" w:hAnsi="Arial"/>
          <w:b/>
          <w:bCs/>
          <w:color w:val="444441"/>
          <w:sz w:val="23"/>
          <w:szCs w:val="23"/>
        </w:rPr>
        <w:t xml:space="preserve">Capsule Networks: Routing by Agreement, Made Rigorous</w:t>
      </w:r>
    </w:p>
    <w:p>
      <w:pPr>
        <w:spacing w:before="120" w:after="120" w:line="276" w:lineRule="auto"/>
        <w:jc w:val="both"/>
      </w:pPr>
      <w:r>
        <w:rPr>
          <w:rFonts w:ascii="Georgia" w:cs="Georgia" w:eastAsia="Georgia" w:hAnsi="Georgia"/>
          <w:sz w:val="22"/>
          <w:szCs w:val="22"/>
        </w:rPr>
        <w:t xml:space="preserve">Geoffrey Hinton, the godfather of deep learning, spent a decade championing Capsule Networks as a replacement for convolutional neural networks. The core idea: instead of neurons that output a single activation value, have "capsules" that output a vector representing both the presence and the pose (position, orientation, scale) of a feature. Lower-level capsules vote for the states of higher-level capsules through learned transformation matrices, and the routing algorithm finds which higher-level capsules are consistent with the votes they are receiving.</w:t>
      </w:r>
    </w:p>
    <w:p>
      <w:pPr>
        <w:spacing w:before="120" w:after="120" w:line="276" w:lineRule="auto"/>
        <w:jc w:val="both"/>
      </w:pPr>
      <w:r>
        <w:rPr>
          <w:rFonts w:ascii="Georgia" w:cs="Georgia" w:eastAsia="Georgia" w:hAnsi="Georgia"/>
          <w:sz w:val="22"/>
          <w:szCs w:val="22"/>
        </w:rPr>
        <w:t xml:space="preserve">Despite Hinton's championing, Capsule Networks never achieved the benchmark results needed to displace transformers. The routing algorithm was slow, the training was unstable, and the theoretical understanding of why it worked (or didn't) was limited.</w:t>
      </w:r>
    </w:p>
    <w:p>
      <w:pPr>
        <w:spacing w:before="120" w:after="120" w:line="276" w:lineRule="auto"/>
        <w:jc w:val="both"/>
      </w:pPr>
      <w:r>
        <w:rPr>
          <w:rFonts w:ascii="Georgia" w:cs="Georgia" w:eastAsia="Georgia" w:hAnsi="Georgia"/>
          <w:sz w:val="22"/>
          <w:szCs w:val="22"/>
        </w:rPr>
        <w:t xml:space="preserve">We showed in Section 2.2 that sheaf theory provides exactly the rigorous mathematical foundation that Capsule Networks were missing. The capsule transformation matrices are the sheaf restriction maps. The routing-by-agreement algorithm is sheaf Laplacian minimization. The sheaf formulation is differentiable end-to-end, stable to train, and mathematically precise in a way that capsules never were.</w:t>
      </w:r>
    </w:p>
    <w:p>
      <w:r>
        <w:br/>
      </w:r>
    </w:p>
    <w:p>
      <w:pPr>
        <w:pBdr>
          <w:bottom w:val="single" w:color="1B3A6B" w:sz="6" w:space="4"/>
        </w:pBdr>
        <w:spacing w:before="480" w:after="200"/>
      </w:pPr>
      <w:r>
        <w:rPr>
          <w:rFonts w:ascii="Arial" w:cs="Arial" w:eastAsia="Arial" w:hAnsi="Arial"/>
          <w:b/>
          <w:bCs/>
          <w:color w:val="CCCCCA"/>
          <w:sz w:val="32"/>
          <w:szCs w:val="32"/>
        </w:rPr>
        <w:t xml:space="preserve">3  </w:t>
      </w:r>
      <w:r>
        <w:rPr>
          <w:rFonts w:ascii="Arial" w:cs="Arial" w:eastAsia="Arial" w:hAnsi="Arial"/>
          <w:b/>
          <w:bCs/>
          <w:color w:val="1B3A6B"/>
          <w:sz w:val="32"/>
          <w:szCs w:val="32"/>
        </w:rPr>
        <w:t xml:space="preserve">The TSRN Architecture</w:t>
      </w:r>
    </w:p>
    <w:p>
      <w:pPr>
        <w:spacing w:before="120" w:after="120" w:line="276" w:lineRule="auto"/>
        <w:jc w:val="both"/>
      </w:pPr>
      <w:r>
        <w:rPr>
          <w:rFonts w:ascii="Georgia" w:cs="Georgia" w:eastAsia="Georgia" w:hAnsi="Georgia"/>
          <w:sz w:val="22"/>
          <w:szCs w:val="22"/>
        </w:rPr>
        <w:t xml:space="preserve">The seven components described in Section 2 are assembled into a two-scale architecture. We describe each component precisely and explain the design decisions that connect them.</w:t>
      </w:r>
    </w:p>
    <w:p>
      <w:pPr>
        <w:pStyle w:val="Heading2"/>
        <w:spacing w:before="360" w:after="140"/>
      </w:pPr>
      <w:r>
        <w:rPr>
          <w:rFonts w:ascii="Arial" w:cs="Arial" w:eastAsia="Arial" w:hAnsi="Arial"/>
          <w:b/>
          <w:bCs/>
          <w:color w:val="0F6E56"/>
          <w:sz w:val="26"/>
          <w:szCs w:val="26"/>
        </w:rPr>
        <w:t xml:space="preserve">3.1  The Two-Scale Structure</w:t>
      </w:r>
    </w:p>
    <w:p>
      <w:pPr>
        <w:spacing w:before="120" w:after="120" w:line="276" w:lineRule="auto"/>
        <w:jc w:val="both"/>
      </w:pPr>
      <w:r>
        <w:rPr>
          <w:rFonts w:ascii="Georgia" w:cs="Georgia" w:eastAsia="Georgia" w:hAnsi="Georgia"/>
          <w:sz w:val="22"/>
          <w:szCs w:val="22"/>
        </w:rPr>
        <w:t xml:space="preserve">The key architectural decision is the split into two processing scales. The fine scale operates on the full sequence of T tokens and handles local, word-level relationships. The coarse scale operates on T/2 tokens — each produced by merging adjacent pairs through RG coarse-graining — and handles phrase-level, long-range relationships. The coarse-scale computation is cheap: the same operations over half as many tokens. The total computation is O(T + T/2) = O(3T/2) rather than O(T²).</w:t>
      </w:r>
    </w:p>
    <w:p>
      <w:pPr>
        <w:spacing w:before="120" w:after="120" w:line="276" w:lineRule="auto"/>
        <w:jc w:val="both"/>
      </w:pPr>
      <w:r>
        <w:rPr>
          <w:rFonts w:ascii="Georgia" w:cs="Georgia" w:eastAsia="Georgia" w:hAnsi="Georgia"/>
          <w:sz w:val="22"/>
          <w:szCs w:val="22"/>
        </w:rPr>
        <w:t xml:space="preserve">After both scales have computed, the coarse-scale representations are upsampled back to the original resolution and blended with the fine-scale representations before the final output projection. This "upsample and fuse" step ensures that the long-range, phrase-level information from the coarse scale enriches the fine-scale token representations that produce the output.</w:t>
      </w:r>
    </w:p>
    <w:p>
      <w:pPr>
        <w:pStyle w:val="Heading2"/>
        <w:spacing w:before="360" w:after="140"/>
      </w:pPr>
      <w:r>
        <w:rPr>
          <w:rFonts w:ascii="Arial" w:cs="Arial" w:eastAsia="Arial" w:hAnsi="Arial"/>
          <w:b/>
          <w:bCs/>
          <w:color w:val="0F6E56"/>
          <w:sz w:val="26"/>
          <w:szCs w:val="26"/>
        </w:rPr>
        <w:t xml:space="preserve">3.2  Fine-Scale Pass (Scale 1, T tokens)</w:t>
      </w:r>
    </w:p>
    <w:p>
      <w:pPr>
        <w:spacing w:before="120" w:after="120" w:line="276" w:lineRule="auto"/>
        <w:jc w:val="both"/>
      </w:pPr>
      <w:r>
        <w:rPr>
          <w:rFonts w:ascii="Georgia" w:cs="Georgia" w:eastAsia="Georgia" w:hAnsi="Georgia"/>
          <w:sz w:val="22"/>
          <w:szCs w:val="22"/>
        </w:rPr>
        <w:t xml:space="preserve">At the fine scale, each token passes through five operations in sequence, each with a residual connection and pre-layer normalization:</w:t>
      </w:r>
    </w:p>
    <w:p>
      <w:pPr>
        <w:pStyle w:val="ListParagraph"/>
        <w:numPr>
          <w:ilvl w:val="0"/>
          <w:numId w:val="2"/>
        </w:numPr>
        <w:spacing w:before="60" w:after="60"/>
      </w:pPr>
      <w:r>
        <w:rPr>
          <w:rFonts w:ascii="Georgia" w:cs="Georgia" w:eastAsia="Georgia" w:hAnsi="Georgia"/>
          <w:b/>
          <w:bCs/>
          <w:sz w:val="22"/>
          <w:szCs w:val="22"/>
        </w:rPr>
        <w:t xml:space="preserve">Tropical Sparse Attention: </w:t>
      </w:r>
      <w:r>
        <w:rPr>
          <w:rFonts w:ascii="Georgia" w:cs="Georgia" w:eastAsia="Georgia" w:hAnsi="Georgia"/>
          <w:sz w:val="22"/>
          <w:szCs w:val="22"/>
        </w:rPr>
        <w:t xml:space="preserve">Each of the T tokens produces a query. The tropical inner product scores all other tokens and the top k=8 highest-scoring keys are selected. A softmax is computed over only these k keys, giving a sparse attention distribution. Values are retrieved and projected back to the model dimension. Only k·T similarity scores are computed, versus T² for dense attention.</w:t>
      </w:r>
    </w:p>
    <w:p>
      <w:pPr>
        <w:pStyle w:val="ListParagraph"/>
        <w:numPr>
          <w:ilvl w:val="0"/>
          <w:numId w:val="2"/>
        </w:numPr>
        <w:spacing w:before="60" w:after="60"/>
      </w:pPr>
      <w:r>
        <w:rPr>
          <w:rFonts w:ascii="Georgia" w:cs="Georgia" w:eastAsia="Georgia" w:hAnsi="Georgia"/>
          <w:b/>
          <w:bCs/>
          <w:sz w:val="22"/>
          <w:szCs w:val="22"/>
        </w:rPr>
        <w:t xml:space="preserve">Sheaf Diffusion: </w:t>
      </w:r>
      <w:r>
        <w:rPr>
          <w:rFonts w:ascii="Georgia" w:cs="Georgia" w:eastAsia="Georgia" w:hAnsi="Georgia"/>
          <w:sz w:val="22"/>
          <w:szCs w:val="22"/>
        </w:rPr>
        <w:t xml:space="preserve">For each of 7 relative offsets (−3 to +3), a learned restriction map translates each token's representation. The sheaf Laplacian is computed and one step of gradient descent on the Laplacian energy is taken. This propagates local consistency across the sequence.</w:t>
      </w:r>
    </w:p>
    <w:p>
      <w:pPr>
        <w:pStyle w:val="ListParagraph"/>
        <w:numPr>
          <w:ilvl w:val="0"/>
          <w:numId w:val="2"/>
        </w:numPr>
        <w:spacing w:before="60" w:after="60"/>
      </w:pPr>
      <w:r>
        <w:rPr>
          <w:rFonts w:ascii="Georgia" w:cs="Georgia" w:eastAsia="Georgia" w:hAnsi="Georgia"/>
          <w:b/>
          <w:bCs/>
          <w:sz w:val="22"/>
          <w:szCs w:val="22"/>
        </w:rPr>
        <w:t xml:space="preserve">Echo State Reservoir: </w:t>
      </w:r>
      <w:r>
        <w:rPr>
          <w:rFonts w:ascii="Georgia" w:cs="Georgia" w:eastAsia="Georgia" w:hAnsi="Georgia"/>
          <w:sz w:val="22"/>
          <w:szCs w:val="22"/>
        </w:rPr>
        <w:t xml:space="preserve">The sequence is passed through a recurrent reservoir with a learnable spectral radius, initialized near the edge of chaos. The reservoir state at each timestep is projected to the model dimension and added as a residual. This gives the architecture access to dynamical, temporal patterns that attention cannot capture.</w:t>
      </w:r>
    </w:p>
    <w:p>
      <w:pPr>
        <w:pStyle w:val="ListParagraph"/>
        <w:numPr>
          <w:ilvl w:val="0"/>
          <w:numId w:val="2"/>
        </w:numPr>
        <w:spacing w:before="60" w:after="60"/>
      </w:pPr>
      <w:r>
        <w:rPr>
          <w:rFonts w:ascii="Georgia" w:cs="Georgia" w:eastAsia="Georgia" w:hAnsi="Georgia"/>
          <w:b/>
          <w:bCs/>
          <w:sz w:val="22"/>
          <w:szCs w:val="22"/>
        </w:rPr>
        <w:t xml:space="preserve">Clifford Geometric FFN: </w:t>
      </w:r>
      <w:r>
        <w:rPr>
          <w:rFonts w:ascii="Georgia" w:cs="Georgia" w:eastAsia="Georgia" w:hAnsi="Georgia"/>
          <w:sz w:val="22"/>
          <w:szCs w:val="22"/>
        </w:rPr>
        <w:t xml:space="preserve">Each token is projected to real and imaginary halves, their geometric product is computed (producing grade-0 and grade-2 components), and the result is projected back. A gating mechanism controls the contribution. This is a geometrically motivated nonlinear transformation.</w:t>
      </w:r>
    </w:p>
    <w:p>
      <w:pPr>
        <w:pStyle w:val="ListParagraph"/>
        <w:numPr>
          <w:ilvl w:val="0"/>
          <w:numId w:val="2"/>
        </w:numPr>
        <w:spacing w:before="60" w:after="60"/>
      </w:pPr>
      <w:r>
        <w:rPr>
          <w:rFonts w:ascii="Georgia" w:cs="Georgia" w:eastAsia="Georgia" w:hAnsi="Georgia"/>
          <w:b/>
          <w:bCs/>
          <w:sz w:val="22"/>
          <w:szCs w:val="22"/>
        </w:rPr>
        <w:t xml:space="preserve">p-adic Hierarchical Memory: </w:t>
      </w:r>
      <w:r>
        <w:rPr>
          <w:rFonts w:ascii="Georgia" w:cs="Georgia" w:eastAsia="Georgia" w:hAnsi="Georgia"/>
          <w:sz w:val="22"/>
          <w:szCs w:val="22"/>
        </w:rPr>
        <w:t xml:space="preserve">Each token queries a binary tree memory of 2^depth=64 learned key-value slots. Retrieval is a soft attention over all leaves, weighted by ultrametric similarity to the query. The retrieved value is added as a residual, providing access to a persistent learned memory independent of the current sequence.</w:t>
      </w:r>
    </w:p>
    <w:p>
      <w:pPr>
        <w:pStyle w:val="Heading2"/>
        <w:spacing w:before="360" w:after="140"/>
      </w:pPr>
      <w:r>
        <w:rPr>
          <w:rFonts w:ascii="Arial" w:cs="Arial" w:eastAsia="Arial" w:hAnsi="Arial"/>
          <w:b/>
          <w:bCs/>
          <w:color w:val="0F6E56"/>
          <w:sz w:val="26"/>
          <w:szCs w:val="26"/>
        </w:rPr>
        <w:t xml:space="preserve">3.3  RG Coarse-Graining</w:t>
      </w:r>
    </w:p>
    <w:p>
      <w:pPr>
        <w:spacing w:before="120" w:after="120" w:line="276" w:lineRule="auto"/>
        <w:jc w:val="both"/>
      </w:pPr>
      <w:r>
        <w:rPr>
          <w:rFonts w:ascii="Georgia" w:cs="Georgia" w:eastAsia="Georgia" w:hAnsi="Georgia"/>
          <w:sz w:val="22"/>
          <w:szCs w:val="22"/>
        </w:rPr>
        <w:t xml:space="preserve">After the fine-scale pass, adjacent token pairs are disentangled and merged. The disentangler is a learned linear transformation of the concatenated pair, initialized near the identity and allowed to learn which short-range correlations to remove. After disentangling, a pooling projection maps the 2d-dimensional concatenated pair to a single d-dimensional coarse token. A new positional embedding is added to orient the coarse tokens within their own scale.</w:t>
      </w:r>
    </w:p>
    <w:p>
      <w:pPr>
        <w:pStyle w:val="Heading2"/>
        <w:spacing w:before="360" w:after="140"/>
      </w:pPr>
      <w:r>
        <w:rPr>
          <w:rFonts w:ascii="Arial" w:cs="Arial" w:eastAsia="Arial" w:hAnsi="Arial"/>
          <w:b/>
          <w:bCs/>
          <w:color w:val="0F6E56"/>
          <w:sz w:val="26"/>
          <w:szCs w:val="26"/>
        </w:rPr>
        <w:t xml:space="preserve">3.4  Coarse-Scale Pass (Scale 2, T/2 tokens)</w:t>
      </w:r>
    </w:p>
    <w:p>
      <w:pPr>
        <w:spacing w:before="120" w:after="120" w:line="276" w:lineRule="auto"/>
        <w:jc w:val="both"/>
      </w:pPr>
      <w:r>
        <w:rPr>
          <w:rFonts w:ascii="Georgia" w:cs="Georgia" w:eastAsia="Georgia" w:hAnsi="Georgia"/>
          <w:sz w:val="22"/>
          <w:szCs w:val="22"/>
        </w:rPr>
        <w:t xml:space="preserve">The coarse scale runs three of the five fine-scale operations (without the reservoir, which operates on temporal sequences, and without the p-adic memory, which has already been queried at the fine scale), plus one additional operation:</w:t>
      </w:r>
    </w:p>
    <w:p>
      <w:pPr>
        <w:pStyle w:val="ListParagraph"/>
        <w:numPr>
          <w:ilvl w:val="0"/>
          <w:numId w:val="2"/>
        </w:numPr>
        <w:spacing w:before="60" w:after="60"/>
      </w:pPr>
      <w:r>
        <w:rPr>
          <w:rFonts w:ascii="Georgia" w:cs="Georgia" w:eastAsia="Georgia" w:hAnsi="Georgia"/>
          <w:b/>
          <w:bCs/>
          <w:sz w:val="22"/>
          <w:szCs w:val="22"/>
        </w:rPr>
        <w:t xml:space="preserve">Tropical Sparse Attention: </w:t>
      </w:r>
      <w:r>
        <w:rPr>
          <w:rFonts w:ascii="Georgia" w:cs="Georgia" w:eastAsia="Georgia" w:hAnsi="Georgia"/>
          <w:sz w:val="22"/>
          <w:szCs w:val="22"/>
        </w:rPr>
        <w:t xml:space="preserve">As above, with top k/2 keys (fewer because the sequence is shorter).</w:t>
      </w:r>
    </w:p>
    <w:p>
      <w:pPr>
        <w:pStyle w:val="ListParagraph"/>
        <w:numPr>
          <w:ilvl w:val="0"/>
          <w:numId w:val="2"/>
        </w:numPr>
        <w:spacing w:before="60" w:after="60"/>
      </w:pPr>
      <w:r>
        <w:rPr>
          <w:rFonts w:ascii="Georgia" w:cs="Georgia" w:eastAsia="Georgia" w:hAnsi="Georgia"/>
          <w:b/>
          <w:bCs/>
          <w:sz w:val="22"/>
          <w:szCs w:val="22"/>
        </w:rPr>
        <w:t xml:space="preserve">Sheaf Diffusion: </w:t>
      </w:r>
      <w:r>
        <w:rPr>
          <w:rFonts w:ascii="Georgia" w:cs="Georgia" w:eastAsia="Georgia" w:hAnsi="Georgia"/>
          <w:sz w:val="22"/>
          <w:szCs w:val="22"/>
        </w:rPr>
        <w:t xml:space="preserve">As above, on the coarse-resolution sequence.</w:t>
      </w:r>
    </w:p>
    <w:p>
      <w:pPr>
        <w:pStyle w:val="ListParagraph"/>
        <w:numPr>
          <w:ilvl w:val="0"/>
          <w:numId w:val="2"/>
        </w:numPr>
        <w:spacing w:before="60" w:after="60"/>
      </w:pPr>
      <w:r>
        <w:rPr>
          <w:rFonts w:ascii="Georgia" w:cs="Georgia" w:eastAsia="Georgia" w:hAnsi="Georgia"/>
          <w:b/>
          <w:bCs/>
          <w:sz w:val="22"/>
          <w:szCs w:val="22"/>
        </w:rPr>
        <w:t xml:space="preserve">Clifford Geometric FFN: </w:t>
      </w:r>
      <w:r>
        <w:rPr>
          <w:rFonts w:ascii="Georgia" w:cs="Georgia" w:eastAsia="Georgia" w:hAnsi="Georgia"/>
          <w:sz w:val="22"/>
          <w:szCs w:val="22"/>
        </w:rPr>
        <w:t xml:space="preserve">As above.</w:t>
      </w:r>
    </w:p>
    <w:p>
      <w:pPr>
        <w:pStyle w:val="ListParagraph"/>
        <w:numPr>
          <w:ilvl w:val="0"/>
          <w:numId w:val="2"/>
        </w:numPr>
        <w:spacing w:before="60" w:after="60"/>
      </w:pPr>
      <w:r>
        <w:rPr>
          <w:rFonts w:ascii="Georgia" w:cs="Georgia" w:eastAsia="Georgia" w:hAnsi="Georgia"/>
          <w:b/>
          <w:bCs/>
          <w:sz w:val="22"/>
          <w:szCs w:val="22"/>
        </w:rPr>
        <w:t xml:space="preserve">p-adic Attention: </w:t>
      </w:r>
      <w:r>
        <w:rPr>
          <w:rFonts w:ascii="Georgia" w:cs="Georgia" w:eastAsia="Georgia" w:hAnsi="Georgia"/>
          <w:sz w:val="22"/>
          <w:szCs w:val="22"/>
        </w:rPr>
        <w:t xml:space="preserve">A novel attention layer that computes similarity using the ultrametric geometry described in Section 2.5. Each token is projected to a path through a learned binary tree, and attention weights are computed from the lengths of shared prefixes. This gives the coarse scale an attention mechanism whose inductive biases match the hierarchical, categorical structure of phrase-level language.</w:t>
      </w:r>
    </w:p>
    <w:p>
      <w:r>
        <w:br/>
      </w:r>
    </w:p>
    <w:p>
      <w:pPr>
        <w:pBdr>
          <w:bottom w:val="single" w:color="1B3A6B" w:sz="6" w:space="4"/>
        </w:pBdr>
        <w:spacing w:before="480" w:after="200"/>
      </w:pPr>
      <w:r>
        <w:rPr>
          <w:rFonts w:ascii="Arial" w:cs="Arial" w:eastAsia="Arial" w:hAnsi="Arial"/>
          <w:b/>
          <w:bCs/>
          <w:color w:val="CCCCCA"/>
          <w:sz w:val="32"/>
          <w:szCs w:val="32"/>
        </w:rPr>
        <w:t xml:space="preserve">4  </w:t>
      </w:r>
      <w:r>
        <w:rPr>
          <w:rFonts w:ascii="Arial" w:cs="Arial" w:eastAsia="Arial" w:hAnsi="Arial"/>
          <w:b/>
          <w:bCs/>
          <w:color w:val="1B3A6B"/>
          <w:sz w:val="32"/>
          <w:szCs w:val="32"/>
        </w:rPr>
        <w:t xml:space="preserve">Proof-of-Concept Experiments</w:t>
      </w:r>
    </w:p>
    <w:p>
      <w:pPr>
        <w:pStyle w:val="Heading2"/>
        <w:spacing w:before="360" w:after="140"/>
      </w:pPr>
      <w:r>
        <w:rPr>
          <w:rFonts w:ascii="Arial" w:cs="Arial" w:eastAsia="Arial" w:hAnsi="Arial"/>
          <w:b/>
          <w:bCs/>
          <w:color w:val="0F6E56"/>
          <w:sz w:val="26"/>
          <w:szCs w:val="26"/>
        </w:rPr>
        <w:t xml:space="preserve">4.1  Experimental Setup</w:t>
      </w:r>
    </w:p>
    <w:p>
      <w:pPr>
        <w:spacing w:before="120" w:after="120" w:line="276" w:lineRule="auto"/>
        <w:jc w:val="both"/>
      </w:pPr>
      <w:r>
        <w:rPr>
          <w:rFonts w:ascii="Georgia" w:cs="Georgia" w:eastAsia="Georgia" w:hAnsi="Georgia"/>
          <w:sz w:val="22"/>
          <w:szCs w:val="22"/>
        </w:rPr>
        <w:t xml:space="preserve">All experiments reported in this paper were conducted on a CPU using a hand-written numerical computation library in pure NumPy, with no deep learning framework. This means every gradient was computed explicitly, every operation is fully transparent, and there is no "magic" from automatic differentiation to hide errors. It also means the experiments are slow — one reason we kept the model sizes small and the sequence lengths short.</w:t>
      </w:r>
    </w:p>
    <w:p>
      <w:pPr>
        <w:spacing w:before="120" w:after="120" w:line="276" w:lineRule="auto"/>
        <w:jc w:val="both"/>
      </w:pPr>
      <w:r>
        <w:rPr>
          <w:rFonts w:ascii="Georgia" w:cs="Georgia" w:eastAsia="Georgia" w:hAnsi="Georgia"/>
          <w:sz w:val="22"/>
          <w:szCs w:val="22"/>
        </w:rPr>
        <w:t xml:space="preserve">Both models — TSRN and the vanilla transformer baseline — were trained with the Adam optimizer using the same learning rate (3×10⁻³), the same batch size (16), and the same number of training steps (800). Both used a character-level language modeling task: given a sequence of characters, predict the next character at each position. The metric is perplexity — a measure of how uncertain the model is about each prediction. Lower perplexity is better. A perplexity of 1.0 means the model is perfectly certain; a perplexity equal to the vocabulary size means the model is guessing randomly.</w:t>
      </w:r>
    </w:p>
    <w:p>
      <w:pPr>
        <w:pStyle w:val="Heading2"/>
        <w:spacing w:before="360" w:after="140"/>
      </w:pPr>
      <w:r>
        <w:rPr>
          <w:rFonts w:ascii="Arial" w:cs="Arial" w:eastAsia="Arial" w:hAnsi="Arial"/>
          <w:b/>
          <w:bCs/>
          <w:color w:val="0F6E56"/>
          <w:sz w:val="26"/>
          <w:szCs w:val="26"/>
        </w:rPr>
        <w:t xml:space="preserve">4.2  Dataset</w:t>
      </w:r>
    </w:p>
    <w:p>
      <w:pPr>
        <w:spacing w:before="120" w:after="120" w:line="276" w:lineRule="auto"/>
        <w:jc w:val="both"/>
      </w:pPr>
      <w:r>
        <w:rPr>
          <w:rFonts w:ascii="Georgia" w:cs="Georgia" w:eastAsia="Georgia" w:hAnsi="Georgia"/>
          <w:sz w:val="22"/>
          <w:szCs w:val="22"/>
        </w:rPr>
        <w:t xml:space="preserve">The dataset was a synthetically generated text corpus with structured language at multiple scales. Sentences were generated from a formal grammar with a fixed vocabulary of 30 nouns, 18 verbs, 18 adjectives, and 9 prepositions. Sentences were grouped into paragraphs. The resulting text has structure at the character level, the word level, and the phrase/sentence level — exactly the multi-scale structure that TSRN is designed to exploit.</w:t>
      </w:r>
    </w:p>
    <w:p>
      <w:pPr>
        <w:spacing w:before="120" w:after="120" w:line="276" w:lineRule="auto"/>
        <w:jc w:val="both"/>
      </w:pPr>
      <w:r>
        <w:rPr>
          <w:rFonts w:ascii="Georgia" w:cs="Georgia" w:eastAsia="Georgia" w:hAnsi="Georgia"/>
          <w:sz w:val="22"/>
          <w:szCs w:val="22"/>
        </w:rPr>
        <w:t xml:space="preserve">The dataset was 563,845 characters with a vocabulary of 28 unique characters. 10% was held out as a validation set. The context length was 32 characters — each training example was a 32-character window, and the model had to predict the next character at each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515" w:sz="4"/>
              <w:left w:val="thick" w:color="B07515" w:sz="12"/>
              <w:bottom w:val="single" w:color="B07515" w:sz="4"/>
              <w:right w:val="single" w:color="B07515" w:sz="4"/>
            </w:tcBorders>
            <w:shd w:fill="FFF3E0" w:val="clear"/>
            <w:tcMar>
              <w:top w:type="dxa" w:w="140"/>
              <w:left w:type="dxa" w:w="200"/>
              <w:bottom w:type="dxa" w:w="140"/>
              <w:right w:type="dxa" w:w="200"/>
            </w:tcMar>
          </w:tcPr>
          <w:p>
            <w:pPr>
              <w:spacing w:before="120" w:after="120" w:line="276" w:lineRule="auto"/>
              <w:jc w:val="both"/>
            </w:pPr>
            <w:r>
              <w:rPr>
                <w:rFonts w:ascii="Georgia" w:cs="Georgia" w:eastAsia="Georgia" w:hAnsi="Georgia"/>
                <w:b/>
                <w:bCs/>
                <w:sz w:val="22"/>
                <w:szCs w:val="22"/>
              </w:rPr>
              <w:t xml:space="preserve">Important caveat: </w:t>
            </w:r>
          </w:p>
          <w:p>
            <w:pPr>
              <w:spacing w:before="120" w:after="120" w:line="276" w:lineRule="auto"/>
              <w:jc w:val="both"/>
            </w:pPr>
            <w:r>
              <w:rPr>
                <w:rFonts w:ascii="Georgia" w:cs="Georgia" w:eastAsia="Georgia" w:hAnsi="Georgia"/>
                <w:sz w:val="22"/>
                <w:szCs w:val="22"/>
              </w:rPr>
              <w:t xml:space="preserve">Using a synthetically generated dataset with built-in multi-scale structure to evaluate a multi-scale architecture introduces a circularity. The architecture was designed to exploit the structure that the dataset was designed to have. This makes the results encouraging but not definitive. The GPU validation with real text corpora (WikiText, enwik8) is required for a publication-ready claim.</w:t>
            </w:r>
          </w:p>
        </w:tc>
      </w:tr>
    </w:tbl>
    <w:p>
      <w:pPr>
        <w:pStyle w:val="Heading2"/>
        <w:spacing w:before="360" w:after="140"/>
      </w:pPr>
      <w:r>
        <w:rPr>
          <w:rFonts w:ascii="Arial" w:cs="Arial" w:eastAsia="Arial" w:hAnsi="Arial"/>
          <w:b/>
          <w:bCs/>
          <w:color w:val="0F6E56"/>
          <w:sz w:val="26"/>
          <w:szCs w:val="26"/>
        </w:rPr>
        <w:t xml:space="preserve">4.3  Model Configurations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CCCCCA" w:sz="1"/>
              <w:left w:val="single" w:color="CCCCCA" w:sz="1"/>
              <w:bottom w:val="single" w:color="CCCCCA" w:sz="1"/>
              <w:right w:val="single" w:color="CCCCCA" w:sz="1"/>
            </w:tcBorders>
            <w:shd w:fill="D5E8F0" w:val="clear"/>
            <w:tcMar>
              <w:top w:type="dxa" w:w="100"/>
              <w:left w:type="dxa" w:w="140"/>
              <w:bottom w:type="dxa" w:w="100"/>
              <w:right w:type="dxa" w:w="140"/>
            </w:tcMar>
          </w:tcPr>
          <w:p>
            <w:pPr>
              <w:jc w:val="center"/>
            </w:pPr>
            <w:r>
              <w:rPr>
                <w:rFonts w:ascii="Arial" w:cs="Arial" w:eastAsia="Arial" w:hAnsi="Arial"/>
                <w:b/>
                <w:bCs/>
                <w:color w:val="1B3A6B"/>
                <w:sz w:val="18"/>
                <w:szCs w:val="18"/>
              </w:rPr>
              <w:t xml:space="preserve">Parameter</w:t>
            </w:r>
          </w:p>
        </w:tc>
        <w:tc>
          <w:tcPr>
            <w:tcW w:type="dxa" w:w="3080"/>
            <w:tcBorders>
              <w:top w:val="single" w:color="CCCCCA" w:sz="1"/>
              <w:left w:val="single" w:color="CCCCCA" w:sz="1"/>
              <w:bottom w:val="single" w:color="CCCCCA" w:sz="1"/>
              <w:right w:val="single" w:color="CCCCCA" w:sz="1"/>
            </w:tcBorders>
            <w:shd w:fill="D5E8F0" w:val="clear"/>
            <w:tcMar>
              <w:top w:type="dxa" w:w="100"/>
              <w:left w:type="dxa" w:w="140"/>
              <w:bottom w:type="dxa" w:w="100"/>
              <w:right w:type="dxa" w:w="140"/>
            </w:tcMar>
          </w:tcPr>
          <w:p>
            <w:pPr>
              <w:jc w:val="center"/>
            </w:pPr>
            <w:r>
              <w:rPr>
                <w:rFonts w:ascii="Arial" w:cs="Arial" w:eastAsia="Arial" w:hAnsi="Arial"/>
                <w:b/>
                <w:bCs/>
                <w:color w:val="1B3A6B"/>
                <w:sz w:val="18"/>
                <w:szCs w:val="18"/>
              </w:rPr>
              <w:t xml:space="preserve">Vanilla Transformer</w:t>
            </w:r>
          </w:p>
        </w:tc>
        <w:tc>
          <w:tcPr>
            <w:tcW w:type="dxa" w:w="3080"/>
            <w:tcBorders>
              <w:top w:val="single" w:color="CCCCCA" w:sz="1"/>
              <w:left w:val="single" w:color="CCCCCA" w:sz="1"/>
              <w:bottom w:val="single" w:color="CCCCCA" w:sz="1"/>
              <w:right w:val="single" w:color="CCCCCA" w:sz="1"/>
            </w:tcBorders>
            <w:shd w:fill="D5E8F0" w:val="clear"/>
            <w:tcMar>
              <w:top w:type="dxa" w:w="100"/>
              <w:left w:type="dxa" w:w="140"/>
              <w:bottom w:type="dxa" w:w="100"/>
              <w:right w:type="dxa" w:w="140"/>
            </w:tcMar>
          </w:tcPr>
          <w:p>
            <w:pPr>
              <w:jc w:val="center"/>
            </w:pPr>
            <w:r>
              <w:rPr>
                <w:rFonts w:ascii="Arial" w:cs="Arial" w:eastAsia="Arial" w:hAnsi="Arial"/>
                <w:b/>
                <w:bCs/>
                <w:color w:val="1B3A6B"/>
                <w:sz w:val="18"/>
                <w:szCs w:val="18"/>
              </w:rPr>
              <w:t xml:space="preserve">TSRN</w:t>
            </w:r>
          </w:p>
        </w:tc>
      </w:tr>
      <w:tr>
        <w:tc>
          <w:tcPr>
            <w:tcW w:type="dxa" w:w="3200"/>
            <w:tcBorders>
              <w:top w:val="single" w:color="CCCCCA" w:sz="1"/>
              <w:left w:val="single" w:color="CCCCCA" w:sz="1"/>
              <w:bottom w:val="single" w:color="CCCCCA" w:sz="1"/>
              <w:right w:val="single" w:color="CCCCC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Architecture depth</w:t>
            </w:r>
          </w:p>
        </w:tc>
        <w:tc>
          <w:tcPr>
            <w:tcW w:type="dxa" w:w="3080"/>
            <w:tcBorders>
              <w:top w:val="single" w:color="CCCCCA" w:sz="1"/>
              <w:left w:val="single" w:color="CCCCCA" w:sz="1"/>
              <w:bottom w:val="single" w:color="CCCCCA" w:sz="1"/>
              <w:right w:val="single" w:color="CCCCC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2 transformer blocks</w:t>
            </w:r>
          </w:p>
        </w:tc>
        <w:tc>
          <w:tcPr>
            <w:tcW w:type="dxa" w:w="3080"/>
            <w:tcBorders>
              <w:top w:val="single" w:color="CCCCCA" w:sz="1"/>
              <w:left w:val="single" w:color="CCCCCA" w:sz="1"/>
              <w:bottom w:val="single" w:color="CCCCCA" w:sz="1"/>
              <w:right w:val="single" w:color="CCCCC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2-scale (T + T/2)</w:t>
            </w:r>
          </w:p>
        </w:tc>
      </w:tr>
      <w:tr>
        <w:tc>
          <w:tcPr>
            <w:tcW w:type="dxa" w:w="3200"/>
            <w:tcBorders>
              <w:top w:val="single" w:color="CCCCCA" w:sz="1"/>
              <w:left w:val="single" w:color="CCCCCA" w:sz="1"/>
              <w:bottom w:val="single" w:color="CCCCCA" w:sz="1"/>
              <w:right w:val="single" w:color="CCCCCA" w:sz="1"/>
            </w:tcBorders>
            <w:shd w:fill="F5F5F3"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Model dimension (d)</w:t>
            </w:r>
          </w:p>
        </w:tc>
        <w:tc>
          <w:tcPr>
            <w:tcW w:type="dxa" w:w="3080"/>
            <w:tcBorders>
              <w:top w:val="single" w:color="CCCCCA" w:sz="1"/>
              <w:left w:val="single" w:color="CCCCCA" w:sz="1"/>
              <w:bottom w:val="single" w:color="CCCCCA" w:sz="1"/>
              <w:right w:val="single" w:color="CCCCCA" w:sz="1"/>
            </w:tcBorders>
            <w:shd w:fill="F5F5F3"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64</w:t>
            </w:r>
          </w:p>
        </w:tc>
        <w:tc>
          <w:tcPr>
            <w:tcW w:type="dxa" w:w="3080"/>
            <w:tcBorders>
              <w:top w:val="single" w:color="CCCCCA" w:sz="1"/>
              <w:left w:val="single" w:color="CCCCCA" w:sz="1"/>
              <w:bottom w:val="single" w:color="CCCCCA" w:sz="1"/>
              <w:right w:val="single" w:color="CCCCCA" w:sz="1"/>
            </w:tcBorders>
            <w:shd w:fill="F5F5F3"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64</w:t>
            </w:r>
          </w:p>
        </w:tc>
      </w:tr>
      <w:tr>
        <w:tc>
          <w:tcPr>
            <w:tcW w:type="dxa" w:w="3200"/>
            <w:tcBorders>
              <w:top w:val="single" w:color="CCCCCA" w:sz="1"/>
              <w:left w:val="single" w:color="CCCCCA" w:sz="1"/>
              <w:bottom w:val="single" w:color="CCCCCA" w:sz="1"/>
              <w:right w:val="single" w:color="CCCCC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Attention heads</w:t>
            </w:r>
          </w:p>
        </w:tc>
        <w:tc>
          <w:tcPr>
            <w:tcW w:type="dxa" w:w="3080"/>
            <w:tcBorders>
              <w:top w:val="single" w:color="CCCCCA" w:sz="1"/>
              <w:left w:val="single" w:color="CCCCCA" w:sz="1"/>
              <w:bottom w:val="single" w:color="CCCCCA" w:sz="1"/>
              <w:right w:val="single" w:color="CCCCC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4 (dense softmax)</w:t>
            </w:r>
          </w:p>
        </w:tc>
        <w:tc>
          <w:tcPr>
            <w:tcW w:type="dxa" w:w="3080"/>
            <w:tcBorders>
              <w:top w:val="single" w:color="CCCCCA" w:sz="1"/>
              <w:left w:val="single" w:color="CCCCCA" w:sz="1"/>
              <w:bottom w:val="single" w:color="CCCCCA" w:sz="1"/>
              <w:right w:val="single" w:color="CCCCC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4 (tropical sparse)</w:t>
            </w:r>
          </w:p>
        </w:tc>
      </w:tr>
      <w:tr>
        <w:tc>
          <w:tcPr>
            <w:tcW w:type="dxa" w:w="3200"/>
            <w:tcBorders>
              <w:top w:val="single" w:color="CCCCCA" w:sz="1"/>
              <w:left w:val="single" w:color="CCCCCA" w:sz="1"/>
              <w:bottom w:val="single" w:color="CCCCCA" w:sz="1"/>
              <w:right w:val="single" w:color="CCCCCA" w:sz="1"/>
            </w:tcBorders>
            <w:shd w:fill="F5F5F3"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Feed-forward dim</w:t>
            </w:r>
          </w:p>
        </w:tc>
        <w:tc>
          <w:tcPr>
            <w:tcW w:type="dxa" w:w="3080"/>
            <w:tcBorders>
              <w:top w:val="single" w:color="CCCCCA" w:sz="1"/>
              <w:left w:val="single" w:color="CCCCCA" w:sz="1"/>
              <w:bottom w:val="single" w:color="CCCCCA" w:sz="1"/>
              <w:right w:val="single" w:color="CCCCCA" w:sz="1"/>
            </w:tcBorders>
            <w:shd w:fill="F5F5F3"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256</w:t>
            </w:r>
          </w:p>
        </w:tc>
        <w:tc>
          <w:tcPr>
            <w:tcW w:type="dxa" w:w="3080"/>
            <w:tcBorders>
              <w:top w:val="single" w:color="CCCCCA" w:sz="1"/>
              <w:left w:val="single" w:color="CCCCCA" w:sz="1"/>
              <w:bottom w:val="single" w:color="CCCCCA" w:sz="1"/>
              <w:right w:val="single" w:color="CCCCCA" w:sz="1"/>
            </w:tcBorders>
            <w:shd w:fill="F5F5F3"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Clifford (d/2 + d/2)</w:t>
            </w:r>
          </w:p>
        </w:tc>
      </w:tr>
      <w:tr>
        <w:tc>
          <w:tcPr>
            <w:tcW w:type="dxa" w:w="3200"/>
            <w:tcBorders>
              <w:top w:val="single" w:color="CCCCCA" w:sz="1"/>
              <w:left w:val="single" w:color="CCCCCA" w:sz="1"/>
              <w:bottom w:val="single" w:color="CCCCCA" w:sz="1"/>
              <w:right w:val="single" w:color="CCCCC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Context length</w:t>
            </w:r>
          </w:p>
        </w:tc>
        <w:tc>
          <w:tcPr>
            <w:tcW w:type="dxa" w:w="3080"/>
            <w:tcBorders>
              <w:top w:val="single" w:color="CCCCCA" w:sz="1"/>
              <w:left w:val="single" w:color="CCCCCA" w:sz="1"/>
              <w:bottom w:val="single" w:color="CCCCCA" w:sz="1"/>
              <w:right w:val="single" w:color="CCCCC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32 tokens</w:t>
            </w:r>
          </w:p>
        </w:tc>
        <w:tc>
          <w:tcPr>
            <w:tcW w:type="dxa" w:w="3080"/>
            <w:tcBorders>
              <w:top w:val="single" w:color="CCCCCA" w:sz="1"/>
              <w:left w:val="single" w:color="CCCCCA" w:sz="1"/>
              <w:bottom w:val="single" w:color="CCCCCA" w:sz="1"/>
              <w:right w:val="single" w:color="CCCCC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32 tokens</w:t>
            </w:r>
          </w:p>
        </w:tc>
      </w:tr>
      <w:tr>
        <w:tc>
          <w:tcPr>
            <w:tcW w:type="dxa" w:w="3200"/>
            <w:tcBorders>
              <w:top w:val="single" w:color="CCCCCA" w:sz="1"/>
              <w:left w:val="single" w:color="CCCCCA" w:sz="1"/>
              <w:bottom w:val="single" w:color="CCCCCA" w:sz="1"/>
              <w:right w:val="single" w:color="CCCCCA" w:sz="1"/>
            </w:tcBorders>
            <w:shd w:fill="F5F5F3"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Attention complexity</w:t>
            </w:r>
          </w:p>
        </w:tc>
        <w:tc>
          <w:tcPr>
            <w:tcW w:type="dxa" w:w="3080"/>
            <w:tcBorders>
              <w:top w:val="single" w:color="CCCCCA" w:sz="1"/>
              <w:left w:val="single" w:color="CCCCCA" w:sz="1"/>
              <w:bottom w:val="single" w:color="CCCCCA" w:sz="1"/>
              <w:right w:val="single" w:color="CCCCCA" w:sz="1"/>
            </w:tcBorders>
            <w:shd w:fill="F5F5F3"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O(T²) = 1,024 ops</w:t>
            </w:r>
          </w:p>
        </w:tc>
        <w:tc>
          <w:tcPr>
            <w:tcW w:type="dxa" w:w="3080"/>
            <w:tcBorders>
              <w:top w:val="single" w:color="CCCCCA" w:sz="1"/>
              <w:left w:val="single" w:color="CCCCCA" w:sz="1"/>
              <w:bottom w:val="single" w:color="CCCCCA" w:sz="1"/>
              <w:right w:val="single" w:color="CCCCCA" w:sz="1"/>
            </w:tcBorders>
            <w:shd w:fill="F5F5F3"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O(T·k) = 256 ops (k=8)</w:t>
            </w:r>
          </w:p>
        </w:tc>
      </w:tr>
      <w:tr>
        <w:tc>
          <w:tcPr>
            <w:tcW w:type="dxa" w:w="3200"/>
            <w:tcBorders>
              <w:top w:val="single" w:color="CCCCCA" w:sz="1"/>
              <w:left w:val="single" w:color="CCCCCA" w:sz="1"/>
              <w:bottom w:val="single" w:color="CCCCCA" w:sz="1"/>
              <w:right w:val="single" w:color="CCCCC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Total parameters</w:t>
            </w:r>
          </w:p>
        </w:tc>
        <w:tc>
          <w:tcPr>
            <w:tcW w:type="dxa" w:w="3080"/>
            <w:tcBorders>
              <w:top w:val="single" w:color="CCCCCA" w:sz="1"/>
              <w:left w:val="single" w:color="CCCCCA" w:sz="1"/>
              <w:bottom w:val="single" w:color="CCCCCA" w:sz="1"/>
              <w:right w:val="single" w:color="CCCCC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103,296</w:t>
            </w:r>
          </w:p>
        </w:tc>
        <w:tc>
          <w:tcPr>
            <w:tcW w:type="dxa" w:w="3080"/>
            <w:tcBorders>
              <w:top w:val="single" w:color="CCCCCA" w:sz="1"/>
              <w:left w:val="single" w:color="CCCCCA" w:sz="1"/>
              <w:bottom w:val="single" w:color="CCCCCA" w:sz="1"/>
              <w:right w:val="single" w:color="CCCCC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132,994 (+29%)</w:t>
            </w:r>
          </w:p>
        </w:tc>
      </w:tr>
      <w:tr>
        <w:tc>
          <w:tcPr>
            <w:tcW w:type="dxa" w:w="3200"/>
            <w:tcBorders>
              <w:top w:val="single" w:color="CCCCCA" w:sz="1"/>
              <w:left w:val="single" w:color="CCCCCA" w:sz="1"/>
              <w:bottom w:val="single" w:color="CCCCCA" w:sz="1"/>
              <w:right w:val="single" w:color="CCCCCA" w:sz="1"/>
            </w:tcBorders>
            <w:shd w:fill="F5F5F3"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Special modules</w:t>
            </w:r>
          </w:p>
        </w:tc>
        <w:tc>
          <w:tcPr>
            <w:tcW w:type="dxa" w:w="3080"/>
            <w:tcBorders>
              <w:top w:val="single" w:color="CCCCCA" w:sz="1"/>
              <w:left w:val="single" w:color="CCCCCA" w:sz="1"/>
              <w:bottom w:val="single" w:color="CCCCCA" w:sz="1"/>
              <w:right w:val="single" w:color="CCCCCA" w:sz="1"/>
            </w:tcBorders>
            <w:shd w:fill="F5F5F3"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None</w:t>
            </w:r>
          </w:p>
        </w:tc>
        <w:tc>
          <w:tcPr>
            <w:tcW w:type="dxa" w:w="3080"/>
            <w:tcBorders>
              <w:top w:val="single" w:color="CCCCCA" w:sz="1"/>
              <w:left w:val="single" w:color="CCCCCA" w:sz="1"/>
              <w:bottom w:val="single" w:color="CCCCCA" w:sz="1"/>
              <w:right w:val="single" w:color="CCCCCA" w:sz="1"/>
            </w:tcBorders>
            <w:shd w:fill="F5F5F3"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Sheaf, Reservoir, p-adic memory</w:t>
            </w:r>
          </w:p>
        </w:tc>
      </w:tr>
    </w:tbl>
    <w:p>
      <w:pPr>
        <w:spacing w:before="60" w:after="60"/>
      </w:pPr>
      <w:r>
        <w:t xml:space="preserve"/>
      </w:r>
    </w:p>
    <w:p>
      <w:pPr>
        <w:pStyle w:val="Heading2"/>
        <w:spacing w:before="360" w:after="140"/>
      </w:pPr>
      <w:r>
        <w:rPr>
          <w:rFonts w:ascii="Arial" w:cs="Arial" w:eastAsia="Arial" w:hAnsi="Arial"/>
          <w:b/>
          <w:bCs/>
          <w:color w:val="0F6E56"/>
          <w:sz w:val="26"/>
          <w:szCs w:val="26"/>
        </w:rPr>
        <w:t xml:space="preserve">4.4  Results</w:t>
      </w:r>
    </w:p>
    <w:p>
      <w:pPr>
        <w:spacing w:before="120" w:after="120" w:line="276" w:lineRule="auto"/>
        <w:jc w:val="both"/>
      </w:pPr>
      <w:r>
        <w:rPr>
          <w:rFonts w:ascii="Georgia" w:cs="Georgia" w:eastAsia="Georgia" w:hAnsi="Georgia"/>
          <w:sz w:val="22"/>
          <w:szCs w:val="22"/>
        </w:rPr>
        <w:t xml:space="preserve">Table 2 shows the main results. TSRN achieves substantially lower perplexity than the vanilla transformer, while being faster per training step.</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CCCCCA" w:sz="1"/>
              <w:left w:val="single" w:color="CCCCCA" w:sz="1"/>
              <w:bottom w:val="single" w:color="CCCCCA" w:sz="1"/>
              <w:right w:val="single" w:color="CCCCCA" w:sz="1"/>
            </w:tcBorders>
            <w:shd w:fill="D5E8F0" w:val="clear"/>
            <w:tcMar>
              <w:top w:type="dxa" w:w="100"/>
              <w:left w:type="dxa" w:w="140"/>
              <w:bottom w:type="dxa" w:w="100"/>
              <w:right w:type="dxa" w:w="140"/>
            </w:tcMar>
          </w:tcPr>
          <w:p>
            <w:pPr>
              <w:jc w:val="center"/>
            </w:pPr>
            <w:r>
              <w:rPr>
                <w:rFonts w:ascii="Arial" w:cs="Arial" w:eastAsia="Arial" w:hAnsi="Arial"/>
                <w:b/>
                <w:bCs/>
                <w:color w:val="1B3A6B"/>
                <w:sz w:val="18"/>
                <w:szCs w:val="18"/>
              </w:rPr>
              <w:t xml:space="preserve">Metric</w:t>
            </w:r>
          </w:p>
        </w:tc>
        <w:tc>
          <w:tcPr>
            <w:tcW w:type="dxa" w:w="2120"/>
            <w:tcBorders>
              <w:top w:val="single" w:color="CCCCCA" w:sz="1"/>
              <w:left w:val="single" w:color="CCCCCA" w:sz="1"/>
              <w:bottom w:val="single" w:color="CCCCCA" w:sz="1"/>
              <w:right w:val="single" w:color="CCCCCA" w:sz="1"/>
            </w:tcBorders>
            <w:shd w:fill="D5E8F0" w:val="clear"/>
            <w:tcMar>
              <w:top w:type="dxa" w:w="100"/>
              <w:left w:type="dxa" w:w="140"/>
              <w:bottom w:type="dxa" w:w="100"/>
              <w:right w:type="dxa" w:w="140"/>
            </w:tcMar>
          </w:tcPr>
          <w:p>
            <w:pPr>
              <w:jc w:val="center"/>
            </w:pPr>
            <w:r>
              <w:rPr>
                <w:rFonts w:ascii="Arial" w:cs="Arial" w:eastAsia="Arial" w:hAnsi="Arial"/>
                <w:b/>
                <w:bCs/>
                <w:color w:val="1B3A6B"/>
                <w:sz w:val="18"/>
                <w:szCs w:val="18"/>
              </w:rPr>
              <w:t xml:space="preserve">Vanilla Transformer</w:t>
            </w:r>
          </w:p>
        </w:tc>
        <w:tc>
          <w:tcPr>
            <w:tcW w:type="dxa" w:w="2120"/>
            <w:tcBorders>
              <w:top w:val="single" w:color="CCCCCA" w:sz="1"/>
              <w:left w:val="single" w:color="CCCCCA" w:sz="1"/>
              <w:bottom w:val="single" w:color="CCCCCA" w:sz="1"/>
              <w:right w:val="single" w:color="CCCCCA" w:sz="1"/>
            </w:tcBorders>
            <w:shd w:fill="D5E8F0" w:val="clear"/>
            <w:tcMar>
              <w:top w:type="dxa" w:w="100"/>
              <w:left w:type="dxa" w:w="140"/>
              <w:bottom w:type="dxa" w:w="100"/>
              <w:right w:type="dxa" w:w="140"/>
            </w:tcMar>
          </w:tcPr>
          <w:p>
            <w:pPr>
              <w:jc w:val="center"/>
            </w:pPr>
            <w:r>
              <w:rPr>
                <w:rFonts w:ascii="Arial" w:cs="Arial" w:eastAsia="Arial" w:hAnsi="Arial"/>
                <w:b/>
                <w:bCs/>
                <w:color w:val="1B3A6B"/>
                <w:sz w:val="18"/>
                <w:szCs w:val="18"/>
              </w:rPr>
              <w:t xml:space="preserve">TSRN</w:t>
            </w:r>
          </w:p>
        </w:tc>
        <w:tc>
          <w:tcPr>
            <w:tcW w:type="dxa" w:w="2120"/>
            <w:tcBorders>
              <w:top w:val="single" w:color="CCCCCA" w:sz="1"/>
              <w:left w:val="single" w:color="CCCCCA" w:sz="1"/>
              <w:bottom w:val="single" w:color="CCCCCA" w:sz="1"/>
              <w:right w:val="single" w:color="CCCCCA" w:sz="1"/>
            </w:tcBorders>
            <w:shd w:fill="D5E8F0" w:val="clear"/>
            <w:tcMar>
              <w:top w:type="dxa" w:w="100"/>
              <w:left w:type="dxa" w:w="140"/>
              <w:bottom w:type="dxa" w:w="100"/>
              <w:right w:type="dxa" w:w="140"/>
            </w:tcMar>
          </w:tcPr>
          <w:p>
            <w:pPr>
              <w:jc w:val="center"/>
            </w:pPr>
            <w:r>
              <w:rPr>
                <w:rFonts w:ascii="Arial" w:cs="Arial" w:eastAsia="Arial" w:hAnsi="Arial"/>
                <w:b/>
                <w:bCs/>
                <w:color w:val="1B3A6B"/>
                <w:sz w:val="18"/>
                <w:szCs w:val="18"/>
              </w:rPr>
              <w:t xml:space="preserve">TSRN advantage</w:t>
            </w:r>
          </w:p>
        </w:tc>
      </w:tr>
      <w:tr>
        <w:tc>
          <w:tcPr>
            <w:tcW w:type="dxa" w:w="3000"/>
            <w:tcBorders>
              <w:top w:val="single" w:color="CCCCCA" w:sz="1"/>
              <w:left w:val="single" w:color="CCCCCA" w:sz="1"/>
              <w:bottom w:val="single" w:color="CCCCCA" w:sz="1"/>
              <w:right w:val="single" w:color="CCCCC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Baseline PPL (random init)</w:t>
            </w:r>
          </w:p>
        </w:tc>
        <w:tc>
          <w:tcPr>
            <w:tcW w:type="dxa" w:w="2120"/>
            <w:tcBorders>
              <w:top w:val="single" w:color="CCCCCA" w:sz="1"/>
              <w:left w:val="single" w:color="CCCCCA" w:sz="1"/>
              <w:bottom w:val="single" w:color="CCCCCA" w:sz="1"/>
              <w:right w:val="single" w:color="CCCCC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49.53</w:t>
            </w:r>
          </w:p>
        </w:tc>
        <w:tc>
          <w:tcPr>
            <w:tcW w:type="dxa" w:w="2120"/>
            <w:tcBorders>
              <w:top w:val="single" w:color="CCCCCA" w:sz="1"/>
              <w:left w:val="single" w:color="CCCCCA" w:sz="1"/>
              <w:bottom w:val="single" w:color="CCCCCA" w:sz="1"/>
              <w:right w:val="single" w:color="CCCCC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53.88</w:t>
            </w:r>
          </w:p>
        </w:tc>
        <w:tc>
          <w:tcPr>
            <w:tcW w:type="dxa" w:w="2120"/>
            <w:tcBorders>
              <w:top w:val="single" w:color="CCCCCA" w:sz="1"/>
              <w:left w:val="single" w:color="CCCCCA" w:sz="1"/>
              <w:bottom w:val="single" w:color="CCCCCA" w:sz="1"/>
              <w:right w:val="single" w:color="CCCCC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w:t>
            </w:r>
          </w:p>
        </w:tc>
      </w:tr>
      <w:tr>
        <w:tc>
          <w:tcPr>
            <w:tcW w:type="dxa" w:w="3000"/>
            <w:tcBorders>
              <w:top w:val="single" w:color="CCCCCA" w:sz="1"/>
              <w:left w:val="single" w:color="CCCCCA" w:sz="1"/>
              <w:bottom w:val="single" w:color="CCCCCA" w:sz="1"/>
              <w:right w:val="single" w:color="CCCCCA" w:sz="1"/>
            </w:tcBorders>
            <w:shd w:fill="F5F5F3"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Val PPL at step 100</w:t>
            </w:r>
          </w:p>
        </w:tc>
        <w:tc>
          <w:tcPr>
            <w:tcW w:type="dxa" w:w="2120"/>
            <w:tcBorders>
              <w:top w:val="single" w:color="CCCCCA" w:sz="1"/>
              <w:left w:val="single" w:color="CCCCCA" w:sz="1"/>
              <w:bottom w:val="single" w:color="CCCCCA" w:sz="1"/>
              <w:right w:val="single" w:color="CCCCCA" w:sz="1"/>
            </w:tcBorders>
            <w:shd w:fill="F5F5F3"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9.27</w:t>
            </w:r>
          </w:p>
        </w:tc>
        <w:tc>
          <w:tcPr>
            <w:tcW w:type="dxa" w:w="2120"/>
            <w:tcBorders>
              <w:top w:val="single" w:color="CCCCCA" w:sz="1"/>
              <w:left w:val="single" w:color="CCCCCA" w:sz="1"/>
              <w:bottom w:val="single" w:color="CCCCCA" w:sz="1"/>
              <w:right w:val="single" w:color="CCCCCA" w:sz="1"/>
            </w:tcBorders>
            <w:shd w:fill="F5F5F3"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14.52</w:t>
            </w:r>
          </w:p>
        </w:tc>
        <w:tc>
          <w:tcPr>
            <w:tcW w:type="dxa" w:w="2120"/>
            <w:tcBorders>
              <w:top w:val="single" w:color="CCCCCA" w:sz="1"/>
              <w:left w:val="single" w:color="CCCCCA" w:sz="1"/>
              <w:bottom w:val="single" w:color="CCCCCA" w:sz="1"/>
              <w:right w:val="single" w:color="CCCCCA" w:sz="1"/>
            </w:tcBorders>
            <w:shd w:fill="F5F5F3"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Trans leads early</w:t>
            </w:r>
          </w:p>
        </w:tc>
      </w:tr>
      <w:tr>
        <w:tc>
          <w:tcPr>
            <w:tcW w:type="dxa" w:w="3000"/>
            <w:tcBorders>
              <w:top w:val="single" w:color="CCCCCA" w:sz="1"/>
              <w:left w:val="single" w:color="CCCCCA" w:sz="1"/>
              <w:bottom w:val="single" w:color="CCCCCA" w:sz="1"/>
              <w:right w:val="single" w:color="CCCCC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Val PPL at step 200</w:t>
            </w:r>
          </w:p>
        </w:tc>
        <w:tc>
          <w:tcPr>
            <w:tcW w:type="dxa" w:w="2120"/>
            <w:tcBorders>
              <w:top w:val="single" w:color="CCCCCA" w:sz="1"/>
              <w:left w:val="single" w:color="CCCCCA" w:sz="1"/>
              <w:bottom w:val="single" w:color="CCCCCA" w:sz="1"/>
              <w:right w:val="single" w:color="CCCCC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5.80</w:t>
            </w:r>
          </w:p>
        </w:tc>
        <w:tc>
          <w:tcPr>
            <w:tcW w:type="dxa" w:w="2120"/>
            <w:tcBorders>
              <w:top w:val="single" w:color="CCCCCA" w:sz="1"/>
              <w:left w:val="single" w:color="CCCCCA" w:sz="1"/>
              <w:bottom w:val="single" w:color="CCCCCA" w:sz="1"/>
              <w:right w:val="single" w:color="CCCCC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4.96</w:t>
            </w:r>
          </w:p>
        </w:tc>
        <w:tc>
          <w:tcPr>
            <w:tcW w:type="dxa" w:w="2120"/>
            <w:tcBorders>
              <w:top w:val="single" w:color="CCCCCA" w:sz="1"/>
              <w:left w:val="single" w:color="CCCCCA" w:sz="1"/>
              <w:bottom w:val="single" w:color="CCCCCA" w:sz="1"/>
              <w:right w:val="single" w:color="CCCCC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TSRN takes lead (+0.84)</w:t>
            </w:r>
          </w:p>
        </w:tc>
      </w:tr>
      <w:tr>
        <w:tc>
          <w:tcPr>
            <w:tcW w:type="dxa" w:w="3000"/>
            <w:tcBorders>
              <w:top w:val="single" w:color="CCCCCA" w:sz="1"/>
              <w:left w:val="single" w:color="CCCCCA" w:sz="1"/>
              <w:bottom w:val="single" w:color="CCCCCA" w:sz="1"/>
              <w:right w:val="single" w:color="CCCCCA" w:sz="1"/>
            </w:tcBorders>
            <w:shd w:fill="F5F5F3"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Val PPL at step 400</w:t>
            </w:r>
          </w:p>
        </w:tc>
        <w:tc>
          <w:tcPr>
            <w:tcW w:type="dxa" w:w="2120"/>
            <w:tcBorders>
              <w:top w:val="single" w:color="CCCCCA" w:sz="1"/>
              <w:left w:val="single" w:color="CCCCCA" w:sz="1"/>
              <w:bottom w:val="single" w:color="CCCCCA" w:sz="1"/>
              <w:right w:val="single" w:color="CCCCCA" w:sz="1"/>
            </w:tcBorders>
            <w:shd w:fill="F5F5F3"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3.29</w:t>
            </w:r>
          </w:p>
        </w:tc>
        <w:tc>
          <w:tcPr>
            <w:tcW w:type="dxa" w:w="2120"/>
            <w:tcBorders>
              <w:top w:val="single" w:color="CCCCCA" w:sz="1"/>
              <w:left w:val="single" w:color="CCCCCA" w:sz="1"/>
              <w:bottom w:val="single" w:color="CCCCCA" w:sz="1"/>
              <w:right w:val="single" w:color="CCCCCA" w:sz="1"/>
            </w:tcBorders>
            <w:shd w:fill="F5F5F3"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2.50</w:t>
            </w:r>
          </w:p>
        </w:tc>
        <w:tc>
          <w:tcPr>
            <w:tcW w:type="dxa" w:w="2120"/>
            <w:tcBorders>
              <w:top w:val="single" w:color="CCCCCA" w:sz="1"/>
              <w:left w:val="single" w:color="CCCCCA" w:sz="1"/>
              <w:bottom w:val="single" w:color="CCCCCA" w:sz="1"/>
              <w:right w:val="single" w:color="CCCCCA" w:sz="1"/>
            </w:tcBorders>
            <w:shd w:fill="F5F5F3"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TSRN ahead (+0.79)</w:t>
            </w:r>
          </w:p>
        </w:tc>
      </w:tr>
      <w:tr>
        <w:tc>
          <w:tcPr>
            <w:tcW w:type="dxa" w:w="3000"/>
            <w:tcBorders>
              <w:top w:val="single" w:color="CCCCCA" w:sz="1"/>
              <w:left w:val="single" w:color="CCCCCA" w:sz="1"/>
              <w:bottom w:val="single" w:color="CCCCCA" w:sz="1"/>
              <w:right w:val="single" w:color="CCCCC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Val PPL at step 600</w:t>
            </w:r>
          </w:p>
        </w:tc>
        <w:tc>
          <w:tcPr>
            <w:tcW w:type="dxa" w:w="2120"/>
            <w:tcBorders>
              <w:top w:val="single" w:color="CCCCCA" w:sz="1"/>
              <w:left w:val="single" w:color="CCCCCA" w:sz="1"/>
              <w:bottom w:val="single" w:color="CCCCCA" w:sz="1"/>
              <w:right w:val="single" w:color="CCCCC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2.47</w:t>
            </w:r>
          </w:p>
        </w:tc>
        <w:tc>
          <w:tcPr>
            <w:tcW w:type="dxa" w:w="2120"/>
            <w:tcBorders>
              <w:top w:val="single" w:color="CCCCCA" w:sz="1"/>
              <w:left w:val="single" w:color="CCCCCA" w:sz="1"/>
              <w:bottom w:val="single" w:color="CCCCCA" w:sz="1"/>
              <w:right w:val="single" w:color="CCCCC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1.45</w:t>
            </w:r>
          </w:p>
        </w:tc>
        <w:tc>
          <w:tcPr>
            <w:tcW w:type="dxa" w:w="2120"/>
            <w:tcBorders>
              <w:top w:val="single" w:color="CCCCCA" w:sz="1"/>
              <w:left w:val="single" w:color="CCCCCA" w:sz="1"/>
              <w:bottom w:val="single" w:color="CCCCCA" w:sz="1"/>
              <w:right w:val="single" w:color="CCCCC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TSRN ahead (+1.02)</w:t>
            </w:r>
          </w:p>
        </w:tc>
      </w:tr>
      <w:tr>
        <w:tc>
          <w:tcPr>
            <w:tcW w:type="dxa" w:w="3000"/>
            <w:tcBorders>
              <w:top w:val="single" w:color="CCCCCA" w:sz="1"/>
              <w:left w:val="single" w:color="CCCCCA" w:sz="1"/>
              <w:bottom w:val="single" w:color="CCCCCA" w:sz="1"/>
              <w:right w:val="single" w:color="CCCCCA" w:sz="1"/>
            </w:tcBorders>
            <w:shd w:fill="F5F5F3"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Final val PPL (step 800)</w:t>
            </w:r>
          </w:p>
        </w:tc>
        <w:tc>
          <w:tcPr>
            <w:tcW w:type="dxa" w:w="2120"/>
            <w:tcBorders>
              <w:top w:val="single" w:color="CCCCCA" w:sz="1"/>
              <w:left w:val="single" w:color="CCCCCA" w:sz="1"/>
              <w:bottom w:val="single" w:color="CCCCCA" w:sz="1"/>
              <w:right w:val="single" w:color="CCCCCA" w:sz="1"/>
            </w:tcBorders>
            <w:shd w:fill="F5F5F3"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2.21</w:t>
            </w:r>
          </w:p>
        </w:tc>
        <w:tc>
          <w:tcPr>
            <w:tcW w:type="dxa" w:w="2120"/>
            <w:tcBorders>
              <w:top w:val="single" w:color="CCCCCA" w:sz="1"/>
              <w:left w:val="single" w:color="CCCCCA" w:sz="1"/>
              <w:bottom w:val="single" w:color="CCCCCA" w:sz="1"/>
              <w:right w:val="single" w:color="CCCCCA" w:sz="1"/>
            </w:tcBorders>
            <w:shd w:fill="F5F5F3"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1.24</w:t>
            </w:r>
          </w:p>
        </w:tc>
        <w:tc>
          <w:tcPr>
            <w:tcW w:type="dxa" w:w="2120"/>
            <w:tcBorders>
              <w:top w:val="single" w:color="CCCCCA" w:sz="1"/>
              <w:left w:val="single" w:color="CCCCCA" w:sz="1"/>
              <w:bottom w:val="single" w:color="CCCCCA" w:sz="1"/>
              <w:right w:val="single" w:color="CCCCCA" w:sz="1"/>
            </w:tcBorders>
            <w:shd w:fill="F5F5F3"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TSRN wins (−44%)</w:t>
            </w:r>
          </w:p>
        </w:tc>
      </w:tr>
      <w:tr>
        <w:tc>
          <w:tcPr>
            <w:tcW w:type="dxa" w:w="3000"/>
            <w:tcBorders>
              <w:top w:val="single" w:color="CCCCCA" w:sz="1"/>
              <w:left w:val="single" w:color="CCCCCA" w:sz="1"/>
              <w:bottom w:val="single" w:color="CCCCCA" w:sz="1"/>
              <w:right w:val="single" w:color="CCCCC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Final val loss</w:t>
            </w:r>
          </w:p>
        </w:tc>
        <w:tc>
          <w:tcPr>
            <w:tcW w:type="dxa" w:w="2120"/>
            <w:tcBorders>
              <w:top w:val="single" w:color="CCCCCA" w:sz="1"/>
              <w:left w:val="single" w:color="CCCCCA" w:sz="1"/>
              <w:bottom w:val="single" w:color="CCCCCA" w:sz="1"/>
              <w:right w:val="single" w:color="CCCCC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0.7937</w:t>
            </w:r>
          </w:p>
        </w:tc>
        <w:tc>
          <w:tcPr>
            <w:tcW w:type="dxa" w:w="2120"/>
            <w:tcBorders>
              <w:top w:val="single" w:color="CCCCCA" w:sz="1"/>
              <w:left w:val="single" w:color="CCCCCA" w:sz="1"/>
              <w:bottom w:val="single" w:color="CCCCCA" w:sz="1"/>
              <w:right w:val="single" w:color="CCCCC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0.2125</w:t>
            </w:r>
          </w:p>
        </w:tc>
        <w:tc>
          <w:tcPr>
            <w:tcW w:type="dxa" w:w="2120"/>
            <w:tcBorders>
              <w:top w:val="single" w:color="CCCCCA" w:sz="1"/>
              <w:left w:val="single" w:color="CCCCCA" w:sz="1"/>
              <w:bottom w:val="single" w:color="CCCCCA" w:sz="1"/>
              <w:right w:val="single" w:color="CCCCC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TSRN wins</w:t>
            </w:r>
          </w:p>
        </w:tc>
      </w:tr>
      <w:tr>
        <w:tc>
          <w:tcPr>
            <w:tcW w:type="dxa" w:w="3000"/>
            <w:tcBorders>
              <w:top w:val="single" w:color="CCCCCA" w:sz="1"/>
              <w:left w:val="single" w:color="CCCCCA" w:sz="1"/>
              <w:bottom w:val="single" w:color="CCCCCA" w:sz="1"/>
              <w:right w:val="single" w:color="CCCCCA" w:sz="1"/>
            </w:tcBorders>
            <w:shd w:fill="F5F5F3"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ms per training batch</w:t>
            </w:r>
          </w:p>
        </w:tc>
        <w:tc>
          <w:tcPr>
            <w:tcW w:type="dxa" w:w="2120"/>
            <w:tcBorders>
              <w:top w:val="single" w:color="CCCCCA" w:sz="1"/>
              <w:left w:val="single" w:color="CCCCCA" w:sz="1"/>
              <w:bottom w:val="single" w:color="CCCCCA" w:sz="1"/>
              <w:right w:val="single" w:color="CCCCCA" w:sz="1"/>
            </w:tcBorders>
            <w:shd w:fill="F5F5F3"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136.6 ms</w:t>
            </w:r>
          </w:p>
        </w:tc>
        <w:tc>
          <w:tcPr>
            <w:tcW w:type="dxa" w:w="2120"/>
            <w:tcBorders>
              <w:top w:val="single" w:color="CCCCCA" w:sz="1"/>
              <w:left w:val="single" w:color="CCCCCA" w:sz="1"/>
              <w:bottom w:val="single" w:color="CCCCCA" w:sz="1"/>
              <w:right w:val="single" w:color="CCCCCA" w:sz="1"/>
            </w:tcBorders>
            <w:shd w:fill="F5F5F3"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78.5 ms</w:t>
            </w:r>
          </w:p>
        </w:tc>
        <w:tc>
          <w:tcPr>
            <w:tcW w:type="dxa" w:w="2120"/>
            <w:tcBorders>
              <w:top w:val="single" w:color="CCCCCA" w:sz="1"/>
              <w:left w:val="single" w:color="CCCCCA" w:sz="1"/>
              <w:bottom w:val="single" w:color="CCCCCA" w:sz="1"/>
              <w:right w:val="single" w:color="CCCCCA" w:sz="1"/>
            </w:tcBorders>
            <w:shd w:fill="F5F5F3"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TSRN 1.74× faster</w:t>
            </w:r>
          </w:p>
        </w:tc>
      </w:tr>
      <w:tr>
        <w:tc>
          <w:tcPr>
            <w:tcW w:type="dxa" w:w="3000"/>
            <w:tcBorders>
              <w:top w:val="single" w:color="CCCCCA" w:sz="1"/>
              <w:left w:val="single" w:color="CCCCCA" w:sz="1"/>
              <w:bottom w:val="single" w:color="CCCCCA" w:sz="1"/>
              <w:right w:val="single" w:color="CCCCC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Total training time</w:t>
            </w:r>
          </w:p>
        </w:tc>
        <w:tc>
          <w:tcPr>
            <w:tcW w:type="dxa" w:w="2120"/>
            <w:tcBorders>
              <w:top w:val="single" w:color="CCCCCA" w:sz="1"/>
              <w:left w:val="single" w:color="CCCCCA" w:sz="1"/>
              <w:bottom w:val="single" w:color="CCCCCA" w:sz="1"/>
              <w:right w:val="single" w:color="CCCCC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162.6 s</w:t>
            </w:r>
          </w:p>
        </w:tc>
        <w:tc>
          <w:tcPr>
            <w:tcW w:type="dxa" w:w="2120"/>
            <w:tcBorders>
              <w:top w:val="single" w:color="CCCCCA" w:sz="1"/>
              <w:left w:val="single" w:color="CCCCCA" w:sz="1"/>
              <w:bottom w:val="single" w:color="CCCCCA" w:sz="1"/>
              <w:right w:val="single" w:color="CCCCC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70.9 s</w:t>
            </w:r>
          </w:p>
        </w:tc>
        <w:tc>
          <w:tcPr>
            <w:tcW w:type="dxa" w:w="2120"/>
            <w:tcBorders>
              <w:top w:val="single" w:color="CCCCCA" w:sz="1"/>
              <w:left w:val="single" w:color="CCCCCA" w:sz="1"/>
              <w:bottom w:val="single" w:color="CCCCCA" w:sz="1"/>
              <w:right w:val="single" w:color="CCCCC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TSRN 2.29× faster</w:t>
            </w:r>
          </w:p>
        </w:tc>
      </w:tr>
    </w:tbl>
    <w:p>
      <w:pPr>
        <w:spacing w:before="60" w:after="60"/>
      </w:pPr>
      <w:r>
        <w:t xml:space="preserve"/>
      </w:r>
    </w:p>
    <w:p>
      <w:pPr>
        <w:pStyle w:val="Heading2"/>
        <w:spacing w:before="360" w:after="140"/>
      </w:pPr>
      <w:r>
        <w:rPr>
          <w:rFonts w:ascii="Arial" w:cs="Arial" w:eastAsia="Arial" w:hAnsi="Arial"/>
          <w:b/>
          <w:bCs/>
          <w:color w:val="0F6E56"/>
          <w:sz w:val="26"/>
          <w:szCs w:val="26"/>
        </w:rPr>
        <w:t xml:space="preserve">4.5  Analysis of the Learning Curves</w:t>
      </w:r>
    </w:p>
    <w:p>
      <w:pPr>
        <w:spacing w:before="120" w:after="120" w:line="276" w:lineRule="auto"/>
        <w:jc w:val="both"/>
      </w:pPr>
      <w:r>
        <w:rPr>
          <w:rFonts w:ascii="Georgia" w:cs="Georgia" w:eastAsia="Georgia" w:hAnsi="Georgia"/>
          <w:sz w:val="22"/>
          <w:szCs w:val="22"/>
        </w:rPr>
        <w:t xml:space="preserve">The most instructive aspect of the results is the shape of the learning curves, not just the final numbers. Through step 100, the vanilla transformer outperforms TSRN by a substantial margin (9.27 vs 14.52). By step 200 the curves have crossed and TSRN is slightly ahead (5.80 vs 4.96). By step 600, TSRN has pulled away decisively (2.47 vs 1.45) and continues to improve while the transformer plateaus.</w:t>
      </w:r>
    </w:p>
    <w:p>
      <w:pPr>
        <w:spacing w:before="120" w:after="120" w:line="276" w:lineRule="auto"/>
        <w:jc w:val="both"/>
      </w:pPr>
      <w:r>
        <w:rPr>
          <w:rFonts w:ascii="Georgia" w:cs="Georgia" w:eastAsia="Georgia" w:hAnsi="Georgia"/>
          <w:sz w:val="22"/>
          <w:szCs w:val="22"/>
        </w:rPr>
        <w:t xml:space="preserve">This pattern has a principled explanation. Dense softmax attention gives strong gradient signal from the very first step, because even a randomly initialized attention matrix provides nonzero weight to every token. Sparse tropical attention must first discover which key-value pairs are informative before it can route attention to them — this takes more steps. But once the routing is established, the sparse attention is more expressive per parameter: it has committed to fewer, more informative connections.</w:t>
      </w:r>
    </w:p>
    <w:p>
      <w:pPr>
        <w:spacing w:before="120" w:after="120" w:line="276" w:lineRule="auto"/>
        <w:jc w:val="both"/>
      </w:pPr>
      <w:r>
        <w:rPr>
          <w:rFonts w:ascii="Georgia" w:cs="Georgia" w:eastAsia="Georgia" w:hAnsi="Georgia"/>
          <w:sz w:val="22"/>
          <w:szCs w:val="22"/>
        </w:rPr>
        <w:t xml:space="preserve">The same pattern is observed in other sparse attention architectures. It is a known tradeoff and not a weakness of the approach — it means that TSRN will benefit more from longer training runs than the transformer will. The transformer's learning curve is flattening by step 600; TSRN's is still declining.</w:t>
      </w:r>
    </w:p>
    <w:p>
      <w:pPr>
        <w:pStyle w:val="Heading2"/>
        <w:spacing w:before="360" w:after="140"/>
      </w:pPr>
      <w:r>
        <w:rPr>
          <w:rFonts w:ascii="Arial" w:cs="Arial" w:eastAsia="Arial" w:hAnsi="Arial"/>
          <w:b/>
          <w:bCs/>
          <w:color w:val="0F6E56"/>
          <w:sz w:val="26"/>
          <w:szCs w:val="26"/>
        </w:rPr>
        <w:t xml:space="preserve">4.6  Throughput Analysis</w:t>
      </w:r>
    </w:p>
    <w:p>
      <w:pPr>
        <w:spacing w:before="120" w:after="120" w:line="276" w:lineRule="auto"/>
        <w:jc w:val="both"/>
      </w:pPr>
      <w:r>
        <w:rPr>
          <w:rFonts w:ascii="Georgia" w:cs="Georgia" w:eastAsia="Georgia" w:hAnsi="Georgia"/>
          <w:sz w:val="22"/>
          <w:szCs w:val="22"/>
        </w:rPr>
        <w:t xml:space="preserve">TSRN is 1.74× faster per batch on CPU despite having 29% more parameters. The speedup comes primarily from the tropical attention: 32 tokens with k=8 requires 256 similarity scores per query versus 1,024 for dense attention — a 4× reduction in the most compute-intensive operation. The sheaf diffusion and Clifford FFN add modest overhead, but the attention saving dominates.</w:t>
      </w:r>
    </w:p>
    <w:p>
      <w:pPr>
        <w:spacing w:before="120" w:after="120" w:line="276" w:lineRule="auto"/>
        <w:jc w:val="both"/>
      </w:pPr>
      <w:r>
        <w:rPr>
          <w:rFonts w:ascii="Georgia" w:cs="Georgia" w:eastAsia="Georgia" w:hAnsi="Georgia"/>
          <w:sz w:val="22"/>
          <w:szCs w:val="22"/>
        </w:rPr>
        <w:t xml:space="preserve">We note that the GPU throughput behavior may differ significantly. Modern GPUs are highly optimized for dense matrix operations and their parallelism does not always translate efficiently to irregular, sparse computations. The GPU validation will measure this directly.</w:t>
      </w:r>
    </w:p>
    <w:p>
      <w:r>
        <w:br/>
      </w:r>
    </w:p>
    <w:p>
      <w:pPr>
        <w:pBdr>
          <w:bottom w:val="single" w:color="1B3A6B" w:sz="6" w:space="4"/>
        </w:pBdr>
        <w:spacing w:before="480" w:after="200"/>
      </w:pPr>
      <w:r>
        <w:rPr>
          <w:rFonts w:ascii="Arial" w:cs="Arial" w:eastAsia="Arial" w:hAnsi="Arial"/>
          <w:b/>
          <w:bCs/>
          <w:color w:val="CCCCCA"/>
          <w:sz w:val="32"/>
          <w:szCs w:val="32"/>
        </w:rPr>
        <w:t xml:space="preserve">5  </w:t>
      </w:r>
      <w:r>
        <w:rPr>
          <w:rFonts w:ascii="Arial" w:cs="Arial" w:eastAsia="Arial" w:hAnsi="Arial"/>
          <w:b/>
          <w:bCs/>
          <w:color w:val="1B3A6B"/>
          <w:sz w:val="32"/>
          <w:szCs w:val="32"/>
        </w:rPr>
        <w:t xml:space="preserve">Honest Limitations</w:t>
      </w:r>
    </w:p>
    <w:p>
      <w:pPr>
        <w:spacing w:before="120" w:after="120" w:line="276" w:lineRule="auto"/>
        <w:jc w:val="both"/>
      </w:pPr>
      <w:r>
        <w:rPr>
          <w:rFonts w:ascii="Georgia" w:cs="Georgia" w:eastAsia="Georgia" w:hAnsi="Georgia"/>
          <w:sz w:val="22"/>
          <w:szCs w:val="22"/>
        </w:rPr>
        <w:t xml:space="preserve">We are committed to an honest assessment of what these results do and do not prove. There are four significant limitations of the current work.</w:t>
      </w:r>
    </w:p>
    <w:p>
      <w:pPr>
        <w:pStyle w:val="Heading2"/>
        <w:spacing w:before="360" w:after="140"/>
      </w:pPr>
      <w:r>
        <w:rPr>
          <w:rFonts w:ascii="Arial" w:cs="Arial" w:eastAsia="Arial" w:hAnsi="Arial"/>
          <w:b/>
          <w:bCs/>
          <w:color w:val="0F6E56"/>
          <w:sz w:val="26"/>
          <w:szCs w:val="26"/>
        </w:rPr>
        <w:t xml:space="preserve">5.1  Synthetic Data</w:t>
      </w:r>
    </w:p>
    <w:p>
      <w:pPr>
        <w:spacing w:before="120" w:after="120" w:line="276" w:lineRule="auto"/>
        <w:jc w:val="both"/>
      </w:pPr>
      <w:r>
        <w:rPr>
          <w:rFonts w:ascii="Georgia" w:cs="Georgia" w:eastAsia="Georgia" w:hAnsi="Georgia"/>
          <w:sz w:val="22"/>
          <w:szCs w:val="22"/>
        </w:rPr>
        <w:t xml:space="preserve">The dataset was constructed to have multi-scale structure. TSRN was designed to exploit multi-scale structure. A vanilla transformer does not have multi-scale inductive biases. The comparison is therefore somewhat tilted in TSRN's favor by construction. The right conclusion from the current results is: "TSRN successfully learns to exploit multi-scale structure, which a vanilla transformer does not." Whether this advantage persists on real language data — which also has multi-scale structure, but of a different, richer, and more complex kind — is the central empirical question left open by this paper.</w:t>
      </w:r>
    </w:p>
    <w:p>
      <w:pPr>
        <w:pStyle w:val="Heading2"/>
        <w:spacing w:before="360" w:after="140"/>
      </w:pPr>
      <w:r>
        <w:rPr>
          <w:rFonts w:ascii="Arial" w:cs="Arial" w:eastAsia="Arial" w:hAnsi="Arial"/>
          <w:b/>
          <w:bCs/>
          <w:color w:val="0F6E56"/>
          <w:sz w:val="26"/>
          <w:szCs w:val="26"/>
        </w:rPr>
        <w:t xml:space="preserve">5.2  Scale</w:t>
      </w:r>
    </w:p>
    <w:p>
      <w:pPr>
        <w:spacing w:before="120" w:after="120" w:line="276" w:lineRule="auto"/>
        <w:jc w:val="both"/>
      </w:pPr>
      <w:r>
        <w:rPr>
          <w:rFonts w:ascii="Georgia" w:cs="Georgia" w:eastAsia="Georgia" w:hAnsi="Georgia"/>
          <w:sz w:val="22"/>
          <w:szCs w:val="22"/>
        </w:rPr>
        <w:t xml:space="preserve">133,000 parameters and a context length of 32 characters is toy scale. The smallest GPT-2 model has 117 million parameters. The architectural advantages of sparse attention grow with context length; at length 32 there is not much to gain. At length 4,096 or 32,768 — the context lengths of modern production models — the O(T²) versus O(T·k) gap becomes enormous. The GPU validation will push to d=256 or d=512 and context lengths of 128 to 256. A publication-ready result would require at least 50M parameters and context length 512.</w:t>
      </w:r>
    </w:p>
    <w:p>
      <w:pPr>
        <w:pStyle w:val="Heading2"/>
        <w:spacing w:before="360" w:after="140"/>
      </w:pPr>
      <w:r>
        <w:rPr>
          <w:rFonts w:ascii="Arial" w:cs="Arial" w:eastAsia="Arial" w:hAnsi="Arial"/>
          <w:b/>
          <w:bCs/>
          <w:color w:val="0F6E56"/>
          <w:sz w:val="26"/>
          <w:szCs w:val="26"/>
        </w:rPr>
        <w:t xml:space="preserve">5.3  Baseline Strength</w:t>
      </w:r>
    </w:p>
    <w:p>
      <w:pPr>
        <w:spacing w:before="120" w:after="120" w:line="276" w:lineRule="auto"/>
        <w:jc w:val="both"/>
      </w:pPr>
      <w:r>
        <w:rPr>
          <w:rFonts w:ascii="Georgia" w:cs="Georgia" w:eastAsia="Georgia" w:hAnsi="Georgia"/>
          <w:sz w:val="22"/>
          <w:szCs w:val="22"/>
        </w:rPr>
        <w:t xml:space="preserve">We compare against a vanilla transformer with no sparse attention, no flash attention, no rotary embeddings, and no other modern improvements. The real competition is not this vanilla baseline but Longformer, BigBird, Performer, and other efficient attention variants that are specifically designed to solve the O(T²) problem. A publication-ready paper requires comparison against at least one of these.</w:t>
      </w:r>
    </w:p>
    <w:p>
      <w:pPr>
        <w:pStyle w:val="Heading2"/>
        <w:spacing w:before="360" w:after="140"/>
      </w:pPr>
      <w:r>
        <w:rPr>
          <w:rFonts w:ascii="Arial" w:cs="Arial" w:eastAsia="Arial" w:hAnsi="Arial"/>
          <w:b/>
          <w:bCs/>
          <w:color w:val="0F6E56"/>
          <w:sz w:val="26"/>
          <w:szCs w:val="26"/>
        </w:rPr>
        <w:t xml:space="preserve">5.4  Single Run</w:t>
      </w:r>
    </w:p>
    <w:p>
      <w:pPr>
        <w:spacing w:before="120" w:after="120" w:line="276" w:lineRule="auto"/>
        <w:jc w:val="both"/>
      </w:pPr>
      <w:r>
        <w:rPr>
          <w:rFonts w:ascii="Georgia" w:cs="Georgia" w:eastAsia="Georgia" w:hAnsi="Georgia"/>
          <w:sz w:val="22"/>
          <w:szCs w:val="22"/>
        </w:rPr>
        <w:t xml:space="preserve">All reported numbers are from a single training run with a single random seed. In deep learning, initialization variance alone can cause 5-10% variation in final perplexity. The 44% improvement we observe is large enough that it is unlikely to be purely a lucky initialization, but without error bars from multiple seeds the quantitative claim cannot be trusted. The GPU run will use 3-5 seeds.</w:t>
      </w:r>
    </w:p>
    <w:p>
      <w:r>
        <w:br/>
      </w:r>
    </w:p>
    <w:p>
      <w:pPr>
        <w:pBdr>
          <w:bottom w:val="single" w:color="1B3A6B" w:sz="6" w:space="4"/>
        </w:pBdr>
        <w:spacing w:before="480" w:after="200"/>
      </w:pPr>
      <w:r>
        <w:rPr>
          <w:rFonts w:ascii="Arial" w:cs="Arial" w:eastAsia="Arial" w:hAnsi="Arial"/>
          <w:b/>
          <w:bCs/>
          <w:color w:val="CCCCCA"/>
          <w:sz w:val="32"/>
          <w:szCs w:val="32"/>
        </w:rPr>
        <w:t xml:space="preserve">6  </w:t>
      </w:r>
      <w:r>
        <w:rPr>
          <w:rFonts w:ascii="Arial" w:cs="Arial" w:eastAsia="Arial" w:hAnsi="Arial"/>
          <w:b/>
          <w:bCs/>
          <w:color w:val="1B3A6B"/>
          <w:sz w:val="32"/>
          <w:szCs w:val="32"/>
        </w:rPr>
        <w:t xml:space="preserve">Path to Publication</w:t>
      </w:r>
    </w:p>
    <w:p>
      <w:pPr>
        <w:spacing w:before="120" w:after="120" w:line="276" w:lineRule="auto"/>
        <w:jc w:val="both"/>
      </w:pPr>
      <w:r>
        <w:rPr>
          <w:rFonts w:ascii="Georgia" w:cs="Georgia" w:eastAsia="Georgia" w:hAnsi="Georgia"/>
          <w:sz w:val="22"/>
          <w:szCs w:val="22"/>
        </w:rPr>
        <w:t xml:space="preserve">The path from this proof-of-concept to a publication-ready paper is clear and achievable. We describe the steps in order of priority.</w:t>
      </w:r>
    </w:p>
    <w:p>
      <w:pPr>
        <w:pStyle w:val="Heading2"/>
        <w:spacing w:before="360" w:after="140"/>
      </w:pPr>
      <w:r>
        <w:rPr>
          <w:rFonts w:ascii="Arial" w:cs="Arial" w:eastAsia="Arial" w:hAnsi="Arial"/>
          <w:b/>
          <w:bCs/>
          <w:color w:val="0F6E56"/>
          <w:sz w:val="26"/>
          <w:szCs w:val="26"/>
        </w:rPr>
        <w:t xml:space="preserve">6.1  GPU Validation (Immediate)</w:t>
      </w:r>
    </w:p>
    <w:p>
      <w:pPr>
        <w:spacing w:before="120" w:after="120" w:line="276" w:lineRule="auto"/>
        <w:jc w:val="both"/>
      </w:pPr>
      <w:r>
        <w:rPr>
          <w:rFonts w:ascii="Georgia" w:cs="Georgia" w:eastAsia="Georgia" w:hAnsi="Georgia"/>
          <w:sz w:val="22"/>
          <w:szCs w:val="22"/>
        </w:rPr>
        <w:t xml:space="preserve">The GPU script is complete and ready to run on an AMD Radeon RX 6750 XT with ROCm. It will produce, in a single run: learning curves for TSRN and transformer at d=256 and context=128, throughput benchmarks at multiple batch sizes, peak VRAM usage, gradient health diagnostics for all 7 novel modules, an ablation table showing the contribution of each component, and a generated text sample demonstrating learned language structure. These results will establish the GPU-scale behavior and may reveal that some components contribute more than others — which is the most important empirical question.</w:t>
      </w:r>
    </w:p>
    <w:p>
      <w:pPr>
        <w:pStyle w:val="Heading2"/>
        <w:spacing w:before="360" w:after="140"/>
      </w:pPr>
      <w:r>
        <w:rPr>
          <w:rFonts w:ascii="Arial" w:cs="Arial" w:eastAsia="Arial" w:hAnsi="Arial"/>
          <w:b/>
          <w:bCs/>
          <w:color w:val="0F6E56"/>
          <w:sz w:val="26"/>
          <w:szCs w:val="26"/>
        </w:rPr>
        <w:t xml:space="preserve">6.2  Real Data Evaluation (Short-term)</w:t>
      </w:r>
    </w:p>
    <w:p>
      <w:pPr>
        <w:spacing w:before="120" w:after="120" w:line="276" w:lineRule="auto"/>
        <w:jc w:val="both"/>
      </w:pPr>
      <w:r>
        <w:rPr>
          <w:rFonts w:ascii="Georgia" w:cs="Georgia" w:eastAsia="Georgia" w:hAnsi="Georgia"/>
          <w:sz w:val="22"/>
          <w:szCs w:val="22"/>
        </w:rPr>
        <w:t xml:space="preserve">Replace the synthetic dataset with WikiText-2 (2M tokens, widely used benchmark) or enwik8 (100M bytes of Wikipedia, the standard benchmark for character-level models). This requires adding a data loading module — one pip install (the HuggingFace datasets library) and approximately 10 lines of code. The model architecture does not need to change.</w:t>
      </w:r>
    </w:p>
    <w:p>
      <w:pPr>
        <w:pStyle w:val="Heading2"/>
        <w:spacing w:before="360" w:after="140"/>
      </w:pPr>
      <w:r>
        <w:rPr>
          <w:rFonts w:ascii="Arial" w:cs="Arial" w:eastAsia="Arial" w:hAnsi="Arial"/>
          <w:b/>
          <w:bCs/>
          <w:color w:val="0F6E56"/>
          <w:sz w:val="26"/>
          <w:szCs w:val="26"/>
        </w:rPr>
        <w:t xml:space="preserve">6.3  Ablation Study</w:t>
      </w:r>
    </w:p>
    <w:p>
      <w:pPr>
        <w:spacing w:before="120" w:after="120" w:line="276" w:lineRule="auto"/>
        <w:jc w:val="both"/>
      </w:pPr>
      <w:r>
        <w:rPr>
          <w:rFonts w:ascii="Georgia" w:cs="Georgia" w:eastAsia="Georgia" w:hAnsi="Georgia"/>
          <w:sz w:val="22"/>
          <w:szCs w:val="22"/>
        </w:rPr>
        <w:t xml:space="preserve">The GPU script already includes ablation models that remove each component one at a time (no reservoir, no sheaf, no RG pooling, no p-adic memory). Running these ablations will show which components are load-bearing and which are overhead. This is the most scientifically important experiment because it attributes the performance gain to specific architectural choices.</w:t>
      </w:r>
    </w:p>
    <w:p>
      <w:pPr>
        <w:pStyle w:val="Heading2"/>
        <w:spacing w:before="360" w:after="140"/>
      </w:pPr>
      <w:r>
        <w:rPr>
          <w:rFonts w:ascii="Arial" w:cs="Arial" w:eastAsia="Arial" w:hAnsi="Arial"/>
          <w:b/>
          <w:bCs/>
          <w:color w:val="0F6E56"/>
          <w:sz w:val="26"/>
          <w:szCs w:val="26"/>
        </w:rPr>
        <w:t xml:space="preserve">6.4  Strong Baseline Comparison</w:t>
      </w:r>
    </w:p>
    <w:p>
      <w:pPr>
        <w:spacing w:before="120" w:after="120" w:line="276" w:lineRule="auto"/>
        <w:jc w:val="both"/>
      </w:pPr>
      <w:r>
        <w:rPr>
          <w:rFonts w:ascii="Georgia" w:cs="Georgia" w:eastAsia="Georgia" w:hAnsi="Georgia"/>
          <w:sz w:val="22"/>
          <w:szCs w:val="22"/>
        </w:rPr>
        <w:t xml:space="preserve">Add Longformer (sliding window plus global token attention) as a second baseline. Longformer is the closest prior work to TSRN's motivation — it also aims to reduce O(T²) attention — and comparing against it will position TSRN within the existing literature on efficient attention. Longformer is available in HuggingFace transformers and can be fine-tuned in a few lines.</w:t>
      </w:r>
    </w:p>
    <w:p>
      <w:pPr>
        <w:pStyle w:val="Heading2"/>
        <w:spacing w:before="360" w:after="140"/>
      </w:pPr>
      <w:r>
        <w:rPr>
          <w:rFonts w:ascii="Arial" w:cs="Arial" w:eastAsia="Arial" w:hAnsi="Arial"/>
          <w:b/>
          <w:bCs/>
          <w:color w:val="0F6E56"/>
          <w:sz w:val="26"/>
          <w:szCs w:val="26"/>
        </w:rPr>
        <w:t xml:space="preserve">6.5  Multiple Seeds and Error Bars</w:t>
      </w:r>
    </w:p>
    <w:p>
      <w:pPr>
        <w:spacing w:before="120" w:after="120" w:line="276" w:lineRule="auto"/>
        <w:jc w:val="both"/>
      </w:pPr>
      <w:r>
        <w:rPr>
          <w:rFonts w:ascii="Georgia" w:cs="Georgia" w:eastAsia="Georgia" w:hAnsi="Georgia"/>
          <w:sz w:val="22"/>
          <w:szCs w:val="22"/>
        </w:rPr>
        <w:t xml:space="preserve">Run each configuration three to five times with different random seeds. Report mean and standard deviation. This makes the quantitative claims trustworthy.</w:t>
      </w:r>
    </w:p>
    <w:p>
      <w:pPr>
        <w:pStyle w:val="Heading2"/>
        <w:spacing w:before="360" w:after="140"/>
      </w:pPr>
      <w:r>
        <w:rPr>
          <w:rFonts w:ascii="Arial" w:cs="Arial" w:eastAsia="Arial" w:hAnsi="Arial"/>
          <w:b/>
          <w:bCs/>
          <w:color w:val="0F6E56"/>
          <w:sz w:val="26"/>
          <w:szCs w:val="26"/>
        </w:rPr>
        <w:t xml:space="preserve">6.6  Venue Options</w:t>
      </w:r>
    </w:p>
    <w:p>
      <w:pPr>
        <w:spacing w:before="120" w:after="120" w:line="276" w:lineRule="auto"/>
        <w:jc w:val="both"/>
      </w:pPr>
      <w:r>
        <w:rPr>
          <w:rFonts w:ascii="Georgia" w:cs="Georgia" w:eastAsia="Georgia" w:hAnsi="Georgia"/>
          <w:sz w:val="22"/>
          <w:szCs w:val="22"/>
        </w:rPr>
        <w:t xml:space="preserve">Two publication paths are open, depending on the GPU results. If the GPU results show strong improvement at d=256 and context=128, this becomes a "results paper" targeting the efficient transformers track at ICLR or NeurIPS, or the Architecture track at ICML. If the improvement is more modest or mixed, this becomes an "ideas paper" arguing for the theoretical contributions — the sheaf-capsule equivalence, the tropical attention formulation, the p-adic attention geometry — with proof-of-concept experiments as supporting evidence. Ideas papers have a strong tradition in machine learning and the ideas here are novel enough to warrant publication in that form.</w:t>
      </w:r>
    </w:p>
    <w:p>
      <w:r>
        <w:br/>
      </w:r>
    </w:p>
    <w:p>
      <w:pPr>
        <w:pBdr>
          <w:bottom w:val="single" w:color="1B3A6B" w:sz="6" w:space="4"/>
        </w:pBdr>
        <w:spacing w:before="480" w:after="200"/>
      </w:pPr>
      <w:r>
        <w:rPr>
          <w:rFonts w:ascii="Arial" w:cs="Arial" w:eastAsia="Arial" w:hAnsi="Arial"/>
          <w:b/>
          <w:bCs/>
          <w:color w:val="CCCCCA"/>
          <w:sz w:val="32"/>
          <w:szCs w:val="32"/>
        </w:rPr>
        <w:t xml:space="preserve">7  </w:t>
      </w:r>
      <w:r>
        <w:rPr>
          <w:rFonts w:ascii="Arial" w:cs="Arial" w:eastAsia="Arial" w:hAnsi="Arial"/>
          <w:b/>
          <w:bCs/>
          <w:color w:val="1B3A6B"/>
          <w:sz w:val="32"/>
          <w:szCs w:val="32"/>
        </w:rPr>
        <w:t xml:space="preserve">Conclusion</w:t>
      </w:r>
    </w:p>
    <w:p>
      <w:pPr>
        <w:spacing w:before="120" w:after="120" w:line="276" w:lineRule="auto"/>
        <w:jc w:val="both"/>
      </w:pPr>
      <w:r>
        <w:rPr>
          <w:rFonts w:ascii="Georgia" w:cs="Georgia" w:eastAsia="Georgia" w:hAnsi="Georgia"/>
          <w:sz w:val="22"/>
          <w:szCs w:val="22"/>
        </w:rPr>
        <w:t xml:space="preserve">We have proposed a new neural network architecture — the Tropical Sheaf Renormalization Network — that replaces the transformer's core operations with five mathematically grounded alternatives. Each alternative is drawn from a well-developed area of mathematics that has been almost entirely ignored by the machine learning community: tropical geometry, sheaf theory, the renormalization group, Clifford geometric algebra, and p-adic number theory. We have also shown that two previously abandoned architectures — Echo State Networks and Capsule Networks — can be revived with proper mathematical foundations.</w:t>
      </w:r>
    </w:p>
    <w:p>
      <w:pPr>
        <w:spacing w:before="120" w:after="120" w:line="276" w:lineRule="auto"/>
        <w:jc w:val="both"/>
      </w:pPr>
      <w:r>
        <w:rPr>
          <w:rFonts w:ascii="Georgia" w:cs="Georgia" w:eastAsia="Georgia" w:hAnsi="Georgia"/>
          <w:sz w:val="22"/>
          <w:szCs w:val="22"/>
        </w:rPr>
        <w:t xml:space="preserve">In proof-of-concept experiments, TSRN outperforms a matched vanilla transformer by 44% in validation perplexity while training 2.3 times faster. The convergence pattern — slow start, decisive late advantage — is principled and expected from the theoretical properties of sparse attention. The limitations of these experiments are acknowledged honestly: synthetic data, toy scale, a weak baseline, and a single training run.</w:t>
      </w:r>
    </w:p>
    <w:p>
      <w:pPr>
        <w:spacing w:before="120" w:after="120" w:line="276" w:lineRule="auto"/>
        <w:jc w:val="both"/>
      </w:pPr>
      <w:r>
        <w:rPr>
          <w:rFonts w:ascii="Georgia" w:cs="Georgia" w:eastAsia="Georgia" w:hAnsi="Georgia"/>
          <w:sz w:val="22"/>
          <w:szCs w:val="22"/>
        </w:rPr>
        <w:t xml:space="preserve">The most important intellectual contribution is not the benchmark numbers but the mathematical ideas. Showing that attention is tropical geometry, that capsule routing is sheaf Laplacian minimization, and that p-adic ultrametrics are the natural similarity measure for hierarchical language structure — these are connections that enrich both mathematics and machine learning regardless of how the benchmarks ultimately compare.</w:t>
      </w:r>
    </w:p>
    <w:p>
      <w:pPr>
        <w:spacing w:before="120" w:after="120" w:line="276" w:lineRule="auto"/>
        <w:jc w:val="both"/>
      </w:pPr>
      <w:r>
        <w:rPr>
          <w:rFonts w:ascii="Georgia" w:cs="Georgia" w:eastAsia="Georgia" w:hAnsi="Georgia"/>
          <w:sz w:val="22"/>
          <w:szCs w:val="22"/>
        </w:rPr>
        <w:t xml:space="preserve">The GPU results will determine the next version of this paper. We are confident the ideas are right. Whether they are right enough, at the right scale, to displace the transformer — that is an empirical question, and we are about to answer it.</w:t>
      </w:r>
    </w:p>
    <w:p>
      <w:pP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thick" w:color="1B3A6B" w:sz="12"/>
              <w:bottom w:val="single" w:color="1B3A6B" w:sz="4"/>
              <w:right w:val="single" w:color="1B3A6B" w:sz="4"/>
            </w:tcBorders>
            <w:shd w:fill="EDF2FB" w:val="clear"/>
            <w:tcMar>
              <w:top w:type="dxa" w:w="140"/>
              <w:left w:type="dxa" w:w="200"/>
              <w:bottom w:type="dxa" w:w="140"/>
              <w:right w:type="dxa" w:w="200"/>
            </w:tcMar>
          </w:tcPr>
          <w:p>
            <w:pPr>
              <w:spacing w:before="120" w:after="120" w:line="276" w:lineRule="auto"/>
              <w:jc w:val="both"/>
            </w:pPr>
            <w:r>
              <w:rPr>
                <w:rFonts w:ascii="Georgia" w:cs="Georgia" w:eastAsia="Georgia" w:hAnsi="Georgia"/>
                <w:b/>
                <w:bCs/>
                <w:sz w:val="22"/>
                <w:szCs w:val="22"/>
              </w:rPr>
              <w:t xml:space="preserve">The fundamental bet:  </w:t>
            </w:r>
          </w:p>
          <w:p>
            <w:pPr>
              <w:spacing w:before="120" w:after="120" w:line="276" w:lineRule="auto"/>
              <w:jc w:val="both"/>
            </w:pPr>
            <w:r>
              <w:rPr>
                <w:rFonts w:ascii="Georgia" w:cs="Georgia" w:eastAsia="Georgia" w:hAnsi="Georgia"/>
                <w:sz w:val="22"/>
                <w:szCs w:val="22"/>
              </w:rPr>
              <w:t xml:space="preserve">The transformer was not designed from first principles. It was discovered empirically and then justified theoretically after the fact. We are attempting the reverse: start from the mathematical structure of language and reasoning, identify the right algebras and geometries, and build an architecture that is correct by construction. Whether this top-down approach can compete with a decade of bottom-up empirical refinement of the transformer is the central question this research is designed to answer.</w:t>
            </w:r>
          </w:p>
        </w:tc>
      </w:tr>
    </w:tbl>
    <w:p>
      <w:r>
        <w:br/>
      </w:r>
    </w:p>
    <w:p>
      <w:pPr>
        <w:pBdr>
          <w:bottom w:val="single" w:color="1B3A6B" w:sz="6" w:space="4"/>
        </w:pBdr>
        <w:spacing w:before="480" w:after="200"/>
      </w:pPr>
      <w:r>
        <w:rPr>
          <w:rFonts w:ascii="Arial" w:cs="Arial" w:eastAsia="Arial" w:hAnsi="Arial"/>
          <w:b/>
          <w:bCs/>
          <w:color w:val="CCCCCA"/>
          <w:sz w:val="32"/>
          <w:szCs w:val="32"/>
        </w:rPr>
        <w:t xml:space="preserve">A  </w:t>
      </w:r>
      <w:r>
        <w:rPr>
          <w:rFonts w:ascii="Arial" w:cs="Arial" w:eastAsia="Arial" w:hAnsi="Arial"/>
          <w:b/>
          <w:bCs/>
          <w:color w:val="1B3A6B"/>
          <w:sz w:val="32"/>
          <w:szCs w:val="32"/>
        </w:rPr>
        <w:t xml:space="preserve">Appendix: Component Details</w:t>
      </w:r>
    </w:p>
    <w:p>
      <w:pPr>
        <w:pStyle w:val="Heading2"/>
        <w:spacing w:before="360" w:after="140"/>
      </w:pPr>
      <w:r>
        <w:rPr>
          <w:rFonts w:ascii="Arial" w:cs="Arial" w:eastAsia="Arial" w:hAnsi="Arial"/>
          <w:b/>
          <w:bCs/>
          <w:color w:val="0F6E56"/>
          <w:sz w:val="26"/>
          <w:szCs w:val="26"/>
        </w:rPr>
        <w:t xml:space="preserve">A.1  Tropical Attention: Complete Formulation</w:t>
      </w:r>
    </w:p>
    <w:p>
      <w:pPr>
        <w:spacing w:before="120" w:after="120" w:line="276" w:lineRule="auto"/>
        <w:jc w:val="both"/>
      </w:pPr>
      <w:r>
        <w:rPr>
          <w:rFonts w:ascii="Georgia" w:cs="Georgia" w:eastAsia="Georgia" w:hAnsi="Georgia"/>
          <w:sz w:val="22"/>
          <w:szCs w:val="22"/>
        </w:rPr>
        <w:t xml:space="preserve">For a sequence x ∈ R^{B×T×d} with B batch, T tokens, d dimensions:</w:t>
      </w:r>
    </w:p>
    <w:p>
      <w:pPr>
        <w:spacing w:before="160" w:after="160"/>
        <w:jc w:val="center"/>
      </w:pPr>
      <w:r>
        <w:rPr>
          <w:rFonts w:ascii="Courier New" w:cs="Courier New" w:eastAsia="Courier New" w:hAnsi="Courier New"/>
          <w:color w:val="1B3A6B"/>
          <w:sz w:val="20"/>
          <w:szCs w:val="20"/>
        </w:rPr>
        <w:t xml:space="preserve">Q = x W_q ∈ R^{B×T×d}</w:t>
      </w:r>
    </w:p>
    <w:p>
      <w:pPr>
        <w:spacing w:before="160" w:after="160"/>
        <w:jc w:val="center"/>
      </w:pPr>
      <w:r>
        <w:rPr>
          <w:rFonts w:ascii="Courier New" w:cs="Courier New" w:eastAsia="Courier New" w:hAnsi="Courier New"/>
          <w:color w:val="1B3A6B"/>
          <w:sz w:val="20"/>
          <w:szCs w:val="20"/>
        </w:rPr>
        <w:t xml:space="preserve">K = x W_k ∈ R^{B×T×d}</w:t>
      </w:r>
    </w:p>
    <w:p>
      <w:pPr>
        <w:spacing w:before="160" w:after="160"/>
        <w:jc w:val="center"/>
      </w:pPr>
      <w:r>
        <w:rPr>
          <w:rFonts w:ascii="Courier New" w:cs="Courier New" w:eastAsia="Courier New" w:hAnsi="Courier New"/>
          <w:color w:val="1B3A6B"/>
          <w:sz w:val="20"/>
          <w:szCs w:val="20"/>
        </w:rPr>
        <w:t xml:space="preserve">V = x W_v ∈ R^{B×T×d}</w:t>
      </w:r>
    </w:p>
    <w:p>
      <w:pPr>
        <w:spacing w:before="160" w:after="160"/>
        <w:jc w:val="center"/>
      </w:pPr>
      <w:r>
        <w:rPr>
          <w:rFonts w:ascii="Courier New" w:cs="Courier New" w:eastAsia="Courier New" w:hAnsi="Courier New"/>
          <w:color w:val="1B3A6B"/>
          <w:sz w:val="20"/>
          <w:szCs w:val="20"/>
        </w:rPr>
        <w:t xml:space="preserve">trop_score(i,j) = max_c (Q[i,c] + K[j,c])  ∈ R</w:t>
      </w:r>
    </w:p>
    <w:p>
      <w:pPr>
        <w:spacing w:before="160" w:after="160"/>
        <w:jc w:val="center"/>
      </w:pPr>
      <w:r>
        <w:rPr>
          <w:rFonts w:ascii="Courier New" w:cs="Courier New" w:eastAsia="Courier New" w:hAnsi="Courier New"/>
          <w:color w:val="1B3A6B"/>
          <w:sz w:val="20"/>
          <w:szCs w:val="20"/>
        </w:rPr>
        <w:t xml:space="preserve">sparse_weights[i,·] = softmax( topk(trop_score[i,·], k) )</w:t>
      </w:r>
    </w:p>
    <w:p>
      <w:pPr>
        <w:spacing w:before="160" w:after="160"/>
        <w:jc w:val="center"/>
      </w:pPr>
      <w:r>
        <w:rPr>
          <w:rFonts w:ascii="Courier New" w:cs="Courier New" w:eastAsia="Courier New" w:hAnsi="Courier New"/>
          <w:color w:val="1B3A6B"/>
          <w:sz w:val="20"/>
          <w:szCs w:val="20"/>
        </w:rPr>
        <w:t xml:space="preserve">context[i] = Σ_j sparse_weights[i,j] · V[j]</w:t>
      </w:r>
    </w:p>
    <w:p>
      <w:pPr>
        <w:spacing w:before="160" w:after="160"/>
        <w:jc w:val="center"/>
      </w:pPr>
      <w:r>
        <w:rPr>
          <w:rFonts w:ascii="Courier New" w:cs="Courier New" w:eastAsia="Courier New" w:hAnsi="Courier New"/>
          <w:color w:val="1B3A6B"/>
          <w:sz w:val="20"/>
          <w:szCs w:val="20"/>
        </w:rPr>
        <w:t xml:space="preserve">output = context · W_o</w:t>
      </w:r>
    </w:p>
    <w:p>
      <w:pPr>
        <w:pStyle w:val="Heading2"/>
        <w:spacing w:before="360" w:after="140"/>
      </w:pPr>
      <w:r>
        <w:rPr>
          <w:rFonts w:ascii="Arial" w:cs="Arial" w:eastAsia="Arial" w:hAnsi="Arial"/>
          <w:b/>
          <w:bCs/>
          <w:color w:val="0F6E56"/>
          <w:sz w:val="26"/>
          <w:szCs w:val="26"/>
        </w:rPr>
        <w:t xml:space="preserve">A.2  Sheaf Laplacian: Energy Function</w:t>
      </w:r>
    </w:p>
    <w:p>
      <w:pPr>
        <w:spacing w:before="120" w:after="120" w:line="276" w:lineRule="auto"/>
        <w:jc w:val="both"/>
      </w:pPr>
      <w:r>
        <w:rPr>
          <w:rFonts w:ascii="Georgia" w:cs="Georgia" w:eastAsia="Georgia" w:hAnsi="Georgia"/>
          <w:sz w:val="22"/>
          <w:szCs w:val="22"/>
        </w:rPr>
        <w:t xml:space="preserve">The sheaf Laplacian energy for a sequence x is:</w:t>
      </w:r>
    </w:p>
    <w:p>
      <w:pPr>
        <w:spacing w:before="160" w:after="160"/>
        <w:jc w:val="center"/>
      </w:pPr>
      <w:r>
        <w:rPr>
          <w:rFonts w:ascii="Courier New" w:cs="Courier New" w:eastAsia="Courier New" w:hAnsi="Courier New"/>
          <w:color w:val="1B3A6B"/>
          <w:sz w:val="20"/>
          <w:szCs w:val="20"/>
        </w:rPr>
        <w:t xml:space="preserve">E(x) = ½ Σ_i Σ_δ ‖ R_δ x_i  −  x_{i+δ} ‖²</w:t>
      </w:r>
    </w:p>
    <w:p>
      <w:pPr>
        <w:spacing w:before="120" w:after="120" w:line="276" w:lineRule="auto"/>
        <w:jc w:val="both"/>
      </w:pPr>
      <w:r>
        <w:rPr>
          <w:rFonts w:ascii="Georgia" w:cs="Georgia" w:eastAsia="Georgia" w:hAnsi="Georgia"/>
          <w:sz w:val="22"/>
          <w:szCs w:val="22"/>
        </w:rPr>
        <w:t xml:space="preserve">One gradient descent step gives the update rule in Section 3.2. The learnable parameter α controls the step size and is initialized to 0.15.</w:t>
      </w:r>
    </w:p>
    <w:p>
      <w:pPr>
        <w:pStyle w:val="Heading2"/>
        <w:spacing w:before="360" w:after="140"/>
      </w:pPr>
      <w:r>
        <w:rPr>
          <w:rFonts w:ascii="Arial" w:cs="Arial" w:eastAsia="Arial" w:hAnsi="Arial"/>
          <w:b/>
          <w:bCs/>
          <w:color w:val="0F6E56"/>
          <w:sz w:val="26"/>
          <w:szCs w:val="26"/>
        </w:rPr>
        <w:t xml:space="preserve">A.3  p-adic Similarity: Tree Path Formulation</w:t>
      </w:r>
    </w:p>
    <w:p>
      <w:pPr>
        <w:spacing w:before="120" w:after="120" w:line="276" w:lineRule="auto"/>
        <w:jc w:val="both"/>
      </w:pPr>
      <w:r>
        <w:rPr>
          <w:rFonts w:ascii="Georgia" w:cs="Georgia" w:eastAsia="Georgia" w:hAnsi="Georgia"/>
          <w:sz w:val="22"/>
          <w:szCs w:val="22"/>
        </w:rPr>
        <w:t xml:space="preserve">Each token x is projected to a soft binary tree path of length D (tree depth=5):</w:t>
      </w:r>
    </w:p>
    <w:p>
      <w:pPr>
        <w:spacing w:before="160" w:after="160"/>
        <w:jc w:val="center"/>
      </w:pPr>
      <w:r>
        <w:rPr>
          <w:rFonts w:ascii="Courier New" w:cs="Courier New" w:eastAsia="Courier New" w:hAnsi="Courier New"/>
          <w:color w:val="1B3A6B"/>
          <w:sz w:val="20"/>
          <w:szCs w:val="20"/>
        </w:rPr>
        <w:t xml:space="preserve">path(x) = σ(x W_path) ∈ [0,1]^D</w:t>
      </w:r>
    </w:p>
    <w:p>
      <w:pPr>
        <w:spacing w:before="120" w:after="120" w:line="276" w:lineRule="auto"/>
        <w:jc w:val="both"/>
      </w:pPr>
      <w:r>
        <w:rPr>
          <w:rFonts w:ascii="Georgia" w:cs="Georgia" w:eastAsia="Georgia" w:hAnsi="Georgia"/>
          <w:sz w:val="22"/>
          <w:szCs w:val="22"/>
        </w:rPr>
        <w:t xml:space="preserve">The p-adic similarity between tokens i and j is:</w:t>
      </w:r>
    </w:p>
    <w:p>
      <w:pPr>
        <w:spacing w:before="160" w:after="160"/>
        <w:jc w:val="center"/>
      </w:pPr>
      <w:r>
        <w:rPr>
          <w:rFonts w:ascii="Courier New" w:cs="Courier New" w:eastAsia="Courier New" w:hAnsi="Courier New"/>
          <w:color w:val="1B3A6B"/>
          <w:sz w:val="20"/>
          <w:szCs w:val="20"/>
        </w:rPr>
        <w:t xml:space="preserve">sim_padic(i,j) = Σ_{d=1}^{D}  Π_{l=1}^{d} agree(path_i[l], path_j[l])</w:t>
      </w:r>
    </w:p>
    <w:p>
      <w:pPr>
        <w:spacing w:before="160" w:after="160"/>
        <w:jc w:val="center"/>
      </w:pPr>
      <w:r>
        <w:rPr>
          <w:rFonts w:ascii="Courier New" w:cs="Courier New" w:eastAsia="Courier New" w:hAnsi="Courier New"/>
          <w:color w:val="1B3A6B"/>
          <w:sz w:val="20"/>
          <w:szCs w:val="20"/>
        </w:rPr>
        <w:t xml:space="preserve">agree(p, q) = p·q + (1−p)·(1−q)  ∈ [0,1]</w:t>
      </w:r>
    </w:p>
    <w:p>
      <w:pPr>
        <w:spacing w:before="120" w:after="120" w:line="276" w:lineRule="auto"/>
        <w:jc w:val="both"/>
      </w:pPr>
      <w:r>
        <w:rPr>
          <w:rFonts w:ascii="Georgia" w:cs="Georgia" w:eastAsia="Georgia" w:hAnsi="Georgia"/>
          <w:sz w:val="22"/>
          <w:szCs w:val="22"/>
        </w:rPr>
        <w:t xml:space="preserve">This is the expected shared prefix length under the soft binary paths. When two tokens route through the same subtree for the first D' levels, their similarity is D'. When they diverge immediately, their similarity is near 0.</w:t>
      </w:r>
    </w:p>
    <w:p>
      <w:pPr>
        <w:pStyle w:val="Heading2"/>
        <w:spacing w:before="360" w:after="140"/>
      </w:pPr>
      <w:r>
        <w:rPr>
          <w:rFonts w:ascii="Arial" w:cs="Arial" w:eastAsia="Arial" w:hAnsi="Arial"/>
          <w:b/>
          <w:bCs/>
          <w:color w:val="0F6E56"/>
          <w:sz w:val="26"/>
          <w:szCs w:val="26"/>
        </w:rPr>
        <w:t xml:space="preserve">A.4  Clifford Product: Grade Structure</w:t>
      </w:r>
    </w:p>
    <w:p>
      <w:pPr>
        <w:spacing w:before="120" w:after="120" w:line="276" w:lineRule="auto"/>
        <w:jc w:val="both"/>
      </w:pPr>
      <w:r>
        <w:rPr>
          <w:rFonts w:ascii="Georgia" w:cs="Georgia" w:eastAsia="Georgia" w:hAnsi="Georgia"/>
          <w:sz w:val="22"/>
          <w:szCs w:val="22"/>
        </w:rPr>
        <w:t xml:space="preserve">For a token x ∈ R^d, split into halves:</w:t>
      </w:r>
    </w:p>
    <w:p>
      <w:pPr>
        <w:spacing w:before="160" w:after="160"/>
        <w:jc w:val="center"/>
      </w:pPr>
      <w:r>
        <w:rPr>
          <w:rFonts w:ascii="Courier New" w:cs="Courier New" w:eastAsia="Courier New" w:hAnsi="Courier New"/>
          <w:color w:val="1B3A6B"/>
          <w:sz w:val="20"/>
          <w:szCs w:val="20"/>
        </w:rPr>
        <w:t xml:space="preserve">r = x_{:d/2} W_r  ∈ R^{d/2}</w:t>
      </w:r>
    </w:p>
    <w:p>
      <w:pPr>
        <w:spacing w:before="160" w:after="160"/>
        <w:jc w:val="center"/>
      </w:pPr>
      <w:r>
        <w:rPr>
          <w:rFonts w:ascii="Courier New" w:cs="Courier New" w:eastAsia="Courier New" w:hAnsi="Courier New"/>
          <w:color w:val="1B3A6B"/>
          <w:sz w:val="20"/>
          <w:szCs w:val="20"/>
        </w:rPr>
        <w:t xml:space="preserve">i = x_{:d/2} W_i  ∈ R^{d/2}</w:t>
      </w:r>
    </w:p>
    <w:p>
      <w:pPr>
        <w:spacing w:before="160" w:after="160"/>
        <w:jc w:val="center"/>
      </w:pPr>
      <w:r>
        <w:rPr>
          <w:rFonts w:ascii="Courier New" w:cs="Courier New" w:eastAsia="Courier New" w:hAnsi="Courier New"/>
          <w:color w:val="1B3A6B"/>
          <w:sz w:val="20"/>
          <w:szCs w:val="20"/>
        </w:rPr>
        <w:t xml:space="preserve">gradeₐ0 = r ⊙ r − i ⊙ i  (element-wise)</w:t>
      </w:r>
    </w:p>
    <w:p>
      <w:pPr>
        <w:spacing w:before="160" w:after="160"/>
        <w:jc w:val="center"/>
      </w:pPr>
      <w:r>
        <w:rPr>
          <w:rFonts w:ascii="Courier New" w:cs="Courier New" w:eastAsia="Courier New" w:hAnsi="Courier New"/>
          <w:color w:val="1B3A6B"/>
          <w:sz w:val="20"/>
          <w:szCs w:val="20"/>
        </w:rPr>
        <w:t xml:space="preserve">gradeₐ2 = 2 (r ⊙ i)         (element-wise)</w:t>
      </w:r>
    </w:p>
    <w:p>
      <w:pPr>
        <w:spacing w:before="160" w:after="160"/>
        <w:jc w:val="center"/>
      </w:pPr>
      <w:r>
        <w:rPr>
          <w:rFonts w:ascii="Courier New" w:cs="Courier New" w:eastAsia="Courier New" w:hAnsi="Courier New"/>
          <w:color w:val="1B3A6B"/>
          <w:sz w:val="20"/>
          <w:szCs w:val="20"/>
        </w:rPr>
        <w:t xml:space="preserve">h = [gradeₐ0 ; gradeₐ2]  ∈ R^d</w:t>
      </w:r>
    </w:p>
    <w:p>
      <w:pPr>
        <w:spacing w:before="160" w:after="160"/>
        <w:jc w:val="center"/>
      </w:pPr>
      <w:r>
        <w:rPr>
          <w:rFonts w:ascii="Courier New" w:cs="Courier New" w:eastAsia="Courier New" w:hAnsi="Courier New"/>
          <w:color w:val="1B3A6B"/>
          <w:sz w:val="20"/>
          <w:szCs w:val="20"/>
        </w:rPr>
        <w:t xml:space="preserve">output = (h ⊙ σ(x W_gate)) W_out</w:t>
      </w:r>
    </w:p>
    <w:p>
      <w:r>
        <w:br/>
      </w:r>
    </w:p>
    <w:p>
      <w:pPr>
        <w:pBdr>
          <w:bottom w:val="single" w:color="1B3A6B" w:sz="6" w:space="4"/>
        </w:pBdr>
        <w:spacing w:before="480" w:after="200"/>
      </w:pPr>
      <w:r>
        <w:rPr>
          <w:rFonts w:ascii="Arial" w:cs="Arial" w:eastAsia="Arial" w:hAnsi="Arial"/>
          <w:b/>
          <w:bCs/>
          <w:color w:val="CCCCCA"/>
          <w:sz w:val="32"/>
          <w:szCs w:val="32"/>
        </w:rPr>
        <w:t xml:space="preserve">B  </w:t>
      </w:r>
      <w:r>
        <w:rPr>
          <w:rFonts w:ascii="Arial" w:cs="Arial" w:eastAsia="Arial" w:hAnsi="Arial"/>
          <w:b/>
          <w:bCs/>
          <w:color w:val="1B3A6B"/>
          <w:sz w:val="32"/>
          <w:szCs w:val="32"/>
        </w:rPr>
        <w:t xml:space="preserve">Appendix: Glossary of Terms</w:t>
      </w:r>
    </w:p>
    <w:p>
      <w:pPr>
        <w:spacing w:before="120" w:after="120" w:line="276" w:lineRule="auto"/>
        <w:jc w:val="both"/>
      </w:pPr>
      <w:r>
        <w:rPr>
          <w:rFonts w:ascii="Georgia" w:cs="Georgia" w:eastAsia="Georgia" w:hAnsi="Georgia"/>
          <w:sz w:val="22"/>
          <w:szCs w:val="22"/>
        </w:rPr>
        <w:t xml:space="preserve">This glossary defines the key mathematical concepts used in the paper for readers without a technical machine learning background.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A" w:sz="1"/>
              <w:left w:val="single" w:color="CCCCCA" w:sz="1"/>
              <w:bottom w:val="single" w:color="CCCCCA" w:sz="1"/>
              <w:right w:val="single" w:color="CCCCCA" w:sz="1"/>
            </w:tcBorders>
            <w:shd w:fill="D5E8F0" w:val="clear"/>
            <w:tcMar>
              <w:top w:type="dxa" w:w="100"/>
              <w:left w:type="dxa" w:w="140"/>
              <w:bottom w:type="dxa" w:w="100"/>
              <w:right w:type="dxa" w:w="140"/>
            </w:tcMar>
          </w:tcPr>
          <w:p>
            <w:pPr>
              <w:jc w:val="center"/>
            </w:pPr>
            <w:r>
              <w:rPr>
                <w:rFonts w:ascii="Arial" w:cs="Arial" w:eastAsia="Arial" w:hAnsi="Arial"/>
                <w:b/>
                <w:bCs/>
                <w:color w:val="1B3A6B"/>
                <w:sz w:val="18"/>
                <w:szCs w:val="18"/>
              </w:rPr>
              <w:t xml:space="preserve">Term</w:t>
            </w:r>
          </w:p>
        </w:tc>
        <w:tc>
          <w:tcPr>
            <w:tcW w:type="dxa" w:w="6960"/>
            <w:tcBorders>
              <w:top w:val="single" w:color="CCCCCA" w:sz="1"/>
              <w:left w:val="single" w:color="CCCCCA" w:sz="1"/>
              <w:bottom w:val="single" w:color="CCCCCA" w:sz="1"/>
              <w:right w:val="single" w:color="CCCCCA" w:sz="1"/>
            </w:tcBorders>
            <w:shd w:fill="D5E8F0" w:val="clear"/>
            <w:tcMar>
              <w:top w:type="dxa" w:w="100"/>
              <w:left w:type="dxa" w:w="140"/>
              <w:bottom w:type="dxa" w:w="100"/>
              <w:right w:type="dxa" w:w="140"/>
            </w:tcMar>
          </w:tcPr>
          <w:p>
            <w:pPr>
              <w:jc w:val="center"/>
            </w:pPr>
            <w:r>
              <w:rPr>
                <w:rFonts w:ascii="Arial" w:cs="Arial" w:eastAsia="Arial" w:hAnsi="Arial"/>
                <w:b/>
                <w:bCs/>
                <w:color w:val="1B3A6B"/>
                <w:sz w:val="18"/>
                <w:szCs w:val="18"/>
              </w:rPr>
              <w:t xml:space="preserve">Plain-language definition</w:t>
            </w:r>
          </w:p>
        </w:tc>
      </w:tr>
      <w:tr>
        <w:tc>
          <w:tcPr>
            <w:tcW w:type="dxa" w:w="2400"/>
            <w:tcBorders>
              <w:top w:val="single" w:color="CCCCCA" w:sz="1"/>
              <w:left w:val="single" w:color="CCCCCA" w:sz="1"/>
              <w:bottom w:val="single" w:color="CCCCCA" w:sz="1"/>
              <w:right w:val="single" w:color="CCCCC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Perplexity</w:t>
            </w:r>
          </w:p>
        </w:tc>
        <w:tc>
          <w:tcPr>
            <w:tcW w:type="dxa" w:w="6960"/>
            <w:tcBorders>
              <w:top w:val="single" w:color="CCCCCA" w:sz="1"/>
              <w:left w:val="single" w:color="CCCCCA" w:sz="1"/>
              <w:bottom w:val="single" w:color="CCCCCA" w:sz="1"/>
              <w:right w:val="single" w:color="CCCCC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A measure of model uncertainty. PPL=1 means perfect certainty; PPL=28 (vocab size) means random guessing. Lower is better.</w:t>
            </w:r>
          </w:p>
        </w:tc>
      </w:tr>
      <w:tr>
        <w:tc>
          <w:tcPr>
            <w:tcW w:type="dxa" w:w="2400"/>
            <w:tcBorders>
              <w:top w:val="single" w:color="CCCCCA" w:sz="1"/>
              <w:left w:val="single" w:color="CCCCCA" w:sz="1"/>
              <w:bottom w:val="single" w:color="CCCCCA" w:sz="1"/>
              <w:right w:val="single" w:color="CCCCCA" w:sz="1"/>
            </w:tcBorders>
            <w:shd w:fill="F5F5F3"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Attention</w:t>
            </w:r>
          </w:p>
        </w:tc>
        <w:tc>
          <w:tcPr>
            <w:tcW w:type="dxa" w:w="6960"/>
            <w:tcBorders>
              <w:top w:val="single" w:color="CCCCCA" w:sz="1"/>
              <w:left w:val="single" w:color="CCCCCA" w:sz="1"/>
              <w:bottom w:val="single" w:color="CCCCCA" w:sz="1"/>
              <w:right w:val="single" w:color="CCCCCA" w:sz="1"/>
            </w:tcBorders>
            <w:shd w:fill="F5F5F3"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The mechanism by which a transformer decides which other tokens to gather information from when processing each token.</w:t>
            </w:r>
          </w:p>
        </w:tc>
      </w:tr>
      <w:tr>
        <w:tc>
          <w:tcPr>
            <w:tcW w:type="dxa" w:w="2400"/>
            <w:tcBorders>
              <w:top w:val="single" w:color="CCCCCA" w:sz="1"/>
              <w:left w:val="single" w:color="CCCCCA" w:sz="1"/>
              <w:bottom w:val="single" w:color="CCCCCA" w:sz="1"/>
              <w:right w:val="single" w:color="CCCCC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Semiring</w:t>
            </w:r>
          </w:p>
        </w:tc>
        <w:tc>
          <w:tcPr>
            <w:tcW w:type="dxa" w:w="6960"/>
            <w:tcBorders>
              <w:top w:val="single" w:color="CCCCCA" w:sz="1"/>
              <w:left w:val="single" w:color="CCCCCA" w:sz="1"/>
              <w:bottom w:val="single" w:color="CCCCCA" w:sz="1"/>
              <w:right w:val="single" w:color="CCCCC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An algebraic structure with two operations (like + and ×) that satisfy certain laws. Different semirings describe different kinds of arithmetic.</w:t>
            </w:r>
          </w:p>
        </w:tc>
      </w:tr>
      <w:tr>
        <w:tc>
          <w:tcPr>
            <w:tcW w:type="dxa" w:w="2400"/>
            <w:tcBorders>
              <w:top w:val="single" w:color="CCCCCA" w:sz="1"/>
              <w:left w:val="single" w:color="CCCCCA" w:sz="1"/>
              <w:bottom w:val="single" w:color="CCCCCA" w:sz="1"/>
              <w:right w:val="single" w:color="CCCCCA" w:sz="1"/>
            </w:tcBorders>
            <w:shd w:fill="F5F5F3"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Tropical semiring</w:t>
            </w:r>
          </w:p>
        </w:tc>
        <w:tc>
          <w:tcPr>
            <w:tcW w:type="dxa" w:w="6960"/>
            <w:tcBorders>
              <w:top w:val="single" w:color="CCCCCA" w:sz="1"/>
              <w:left w:val="single" w:color="CCCCCA" w:sz="1"/>
              <w:bottom w:val="single" w:color="CCCCCA" w:sz="1"/>
              <w:right w:val="single" w:color="CCCCCA" w:sz="1"/>
            </w:tcBorders>
            <w:shd w:fill="F5F5F3"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The semiring where “addition” is maximum and “multiplication” is ordinary addition. Natural for optimization problems.</w:t>
            </w:r>
          </w:p>
        </w:tc>
      </w:tr>
      <w:tr>
        <w:tc>
          <w:tcPr>
            <w:tcW w:type="dxa" w:w="2400"/>
            <w:tcBorders>
              <w:top w:val="single" w:color="CCCCCA" w:sz="1"/>
              <w:left w:val="single" w:color="CCCCCA" w:sz="1"/>
              <w:bottom w:val="single" w:color="CCCCCA" w:sz="1"/>
              <w:right w:val="single" w:color="CCCCC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Sheaf</w:t>
            </w:r>
          </w:p>
        </w:tc>
        <w:tc>
          <w:tcPr>
            <w:tcW w:type="dxa" w:w="6960"/>
            <w:tcBorders>
              <w:top w:val="single" w:color="CCCCCA" w:sz="1"/>
              <w:left w:val="single" w:color="CCCCCA" w:sz="1"/>
              <w:bottom w:val="single" w:color="CCCCCA" w:sz="1"/>
              <w:right w:val="single" w:color="CCCCC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A mathematical structure assigning data to nodes and edges of a graph, with maps relating them. Captures local-to-global consistency.</w:t>
            </w:r>
          </w:p>
        </w:tc>
      </w:tr>
      <w:tr>
        <w:tc>
          <w:tcPr>
            <w:tcW w:type="dxa" w:w="2400"/>
            <w:tcBorders>
              <w:top w:val="single" w:color="CCCCCA" w:sz="1"/>
              <w:left w:val="single" w:color="CCCCCA" w:sz="1"/>
              <w:bottom w:val="single" w:color="CCCCCA" w:sz="1"/>
              <w:right w:val="single" w:color="CCCCCA" w:sz="1"/>
            </w:tcBorders>
            <w:shd w:fill="F5F5F3"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Sheaf Laplacian</w:t>
            </w:r>
          </w:p>
        </w:tc>
        <w:tc>
          <w:tcPr>
            <w:tcW w:type="dxa" w:w="6960"/>
            <w:tcBorders>
              <w:top w:val="single" w:color="CCCCCA" w:sz="1"/>
              <w:left w:val="single" w:color="CCCCCA" w:sz="1"/>
              <w:bottom w:val="single" w:color="CCCCCA" w:sz="1"/>
              <w:right w:val="single" w:color="CCCCCA" w:sz="1"/>
            </w:tcBorders>
            <w:shd w:fill="F5F5F3"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A measure of total inconsistency in a sheaf. Minimizing it makes the sheaf “fit together” globally.</w:t>
            </w:r>
          </w:p>
        </w:tc>
      </w:tr>
      <w:tr>
        <w:tc>
          <w:tcPr>
            <w:tcW w:type="dxa" w:w="2400"/>
            <w:tcBorders>
              <w:top w:val="single" w:color="CCCCCA" w:sz="1"/>
              <w:left w:val="single" w:color="CCCCCA" w:sz="1"/>
              <w:bottom w:val="single" w:color="CCCCCA" w:sz="1"/>
              <w:right w:val="single" w:color="CCCCC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Renormalization group</w:t>
            </w:r>
          </w:p>
        </w:tc>
        <w:tc>
          <w:tcPr>
            <w:tcW w:type="dxa" w:w="6960"/>
            <w:tcBorders>
              <w:top w:val="single" w:color="CCCCCA" w:sz="1"/>
              <w:left w:val="single" w:color="CCCCCA" w:sz="1"/>
              <w:bottom w:val="single" w:color="CCCCCA" w:sz="1"/>
              <w:right w:val="single" w:color="CCCCC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Physics machinery for describing how a system looks different at different scales of observation.</w:t>
            </w:r>
          </w:p>
        </w:tc>
      </w:tr>
      <w:tr>
        <w:tc>
          <w:tcPr>
            <w:tcW w:type="dxa" w:w="2400"/>
            <w:tcBorders>
              <w:top w:val="single" w:color="CCCCCA" w:sz="1"/>
              <w:left w:val="single" w:color="CCCCCA" w:sz="1"/>
              <w:bottom w:val="single" w:color="CCCCCA" w:sz="1"/>
              <w:right w:val="single" w:color="CCCCCA" w:sz="1"/>
            </w:tcBorders>
            <w:shd w:fill="F5F5F3"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Coarse-graining</w:t>
            </w:r>
          </w:p>
        </w:tc>
        <w:tc>
          <w:tcPr>
            <w:tcW w:type="dxa" w:w="6960"/>
            <w:tcBorders>
              <w:top w:val="single" w:color="CCCCCA" w:sz="1"/>
              <w:left w:val="single" w:color="CCCCCA" w:sz="1"/>
              <w:bottom w:val="single" w:color="CCCCCA" w:sz="1"/>
              <w:right w:val="single" w:color="CCCCCA" w:sz="1"/>
            </w:tcBorders>
            <w:shd w:fill="F5F5F3"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Replacing many fine-scale variables with fewer coarse-scale ones, preserving essential information.</w:t>
            </w:r>
          </w:p>
        </w:tc>
      </w:tr>
      <w:tr>
        <w:tc>
          <w:tcPr>
            <w:tcW w:type="dxa" w:w="2400"/>
            <w:tcBorders>
              <w:top w:val="single" w:color="CCCCCA" w:sz="1"/>
              <w:left w:val="single" w:color="CCCCCA" w:sz="1"/>
              <w:bottom w:val="single" w:color="CCCCCA" w:sz="1"/>
              <w:right w:val="single" w:color="CCCCC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Clifford algebra</w:t>
            </w:r>
          </w:p>
        </w:tc>
        <w:tc>
          <w:tcPr>
            <w:tcW w:type="dxa" w:w="6960"/>
            <w:tcBorders>
              <w:top w:val="single" w:color="CCCCCA" w:sz="1"/>
              <w:left w:val="single" w:color="CCCCCA" w:sz="1"/>
              <w:bottom w:val="single" w:color="CCCCCA" w:sz="1"/>
              <w:right w:val="single" w:color="CCCCC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An algebra that extends vector spaces with a “geometric product” encoding both similarity and relative orientation.</w:t>
            </w:r>
          </w:p>
        </w:tc>
      </w:tr>
      <w:tr>
        <w:tc>
          <w:tcPr>
            <w:tcW w:type="dxa" w:w="2400"/>
            <w:tcBorders>
              <w:top w:val="single" w:color="CCCCCA" w:sz="1"/>
              <w:left w:val="single" w:color="CCCCCA" w:sz="1"/>
              <w:bottom w:val="single" w:color="CCCCCA" w:sz="1"/>
              <w:right w:val="single" w:color="CCCCCA" w:sz="1"/>
            </w:tcBorders>
            <w:shd w:fill="F5F5F3"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Bivector</w:t>
            </w:r>
          </w:p>
        </w:tc>
        <w:tc>
          <w:tcPr>
            <w:tcW w:type="dxa" w:w="6960"/>
            <w:tcBorders>
              <w:top w:val="single" w:color="CCCCCA" w:sz="1"/>
              <w:left w:val="single" w:color="CCCCCA" w:sz="1"/>
              <w:bottom w:val="single" w:color="CCCCCA" w:sz="1"/>
              <w:right w:val="single" w:color="CCCCCA" w:sz="1"/>
            </w:tcBorders>
            <w:shd w:fill="F5F5F3"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An element of a Clifford algebra representing an oriented plane (the span of two vectors), not a line.</w:t>
            </w:r>
          </w:p>
        </w:tc>
      </w:tr>
      <w:tr>
        <w:tc>
          <w:tcPr>
            <w:tcW w:type="dxa" w:w="2400"/>
            <w:tcBorders>
              <w:top w:val="single" w:color="CCCCCA" w:sz="1"/>
              <w:left w:val="single" w:color="CCCCCA" w:sz="1"/>
              <w:bottom w:val="single" w:color="CCCCCA" w:sz="1"/>
              <w:right w:val="single" w:color="CCCCC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p-adic numbers</w:t>
            </w:r>
          </w:p>
        </w:tc>
        <w:tc>
          <w:tcPr>
            <w:tcW w:type="dxa" w:w="6960"/>
            <w:tcBorders>
              <w:top w:val="single" w:color="CCCCCA" w:sz="1"/>
              <w:left w:val="single" w:color="CCCCCA" w:sz="1"/>
              <w:bottom w:val="single" w:color="CCCCCA" w:sz="1"/>
              <w:right w:val="single" w:color="CCCCC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A number system with a non-Euclidean metric based on divisibility by a prime p, with ultrametric (tree-like) geometry.</w:t>
            </w:r>
          </w:p>
        </w:tc>
      </w:tr>
      <w:tr>
        <w:tc>
          <w:tcPr>
            <w:tcW w:type="dxa" w:w="2400"/>
            <w:tcBorders>
              <w:top w:val="single" w:color="CCCCCA" w:sz="1"/>
              <w:left w:val="single" w:color="CCCCCA" w:sz="1"/>
              <w:bottom w:val="single" w:color="CCCCCA" w:sz="1"/>
              <w:right w:val="single" w:color="CCCCCA" w:sz="1"/>
            </w:tcBorders>
            <w:shd w:fill="F5F5F3"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Ultrametric</w:t>
            </w:r>
          </w:p>
        </w:tc>
        <w:tc>
          <w:tcPr>
            <w:tcW w:type="dxa" w:w="6960"/>
            <w:tcBorders>
              <w:top w:val="single" w:color="CCCCCA" w:sz="1"/>
              <w:left w:val="single" w:color="CCCCCA" w:sz="1"/>
              <w:bottom w:val="single" w:color="CCCCCA" w:sz="1"/>
              <w:right w:val="single" w:color="CCCCCA" w:sz="1"/>
            </w:tcBorders>
            <w:shd w:fill="F5F5F3"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A metric satisfying d(x,z) ≤ max(d(x,y), d(y,z)) — stronger than the triangle inequality. Implies tree-like structure.</w:t>
            </w:r>
          </w:p>
        </w:tc>
      </w:tr>
      <w:tr>
        <w:tc>
          <w:tcPr>
            <w:tcW w:type="dxa" w:w="2400"/>
            <w:tcBorders>
              <w:top w:val="single" w:color="CCCCCA" w:sz="1"/>
              <w:left w:val="single" w:color="CCCCCA" w:sz="1"/>
              <w:bottom w:val="single" w:color="CCCCCA" w:sz="1"/>
              <w:right w:val="single" w:color="CCCCC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Echo State Network</w:t>
            </w:r>
          </w:p>
        </w:tc>
        <w:tc>
          <w:tcPr>
            <w:tcW w:type="dxa" w:w="6960"/>
            <w:tcBorders>
              <w:top w:val="single" w:color="CCCCCA" w:sz="1"/>
              <w:left w:val="single" w:color="CCCCCA" w:sz="1"/>
              <w:bottom w:val="single" w:color="CCCCCA" w:sz="1"/>
              <w:right w:val="single" w:color="CCCCC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A recurrent network with a fixed random “reservoir” and a trained readout layer.</w:t>
            </w:r>
          </w:p>
        </w:tc>
      </w:tr>
      <w:tr>
        <w:tc>
          <w:tcPr>
            <w:tcW w:type="dxa" w:w="2400"/>
            <w:tcBorders>
              <w:top w:val="single" w:color="CCCCCA" w:sz="1"/>
              <w:left w:val="single" w:color="CCCCCA" w:sz="1"/>
              <w:bottom w:val="single" w:color="CCCCCA" w:sz="1"/>
              <w:right w:val="single" w:color="CCCCCA" w:sz="1"/>
            </w:tcBorders>
            <w:shd w:fill="F5F5F3"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Edge of chaos</w:t>
            </w:r>
          </w:p>
        </w:tc>
        <w:tc>
          <w:tcPr>
            <w:tcW w:type="dxa" w:w="6960"/>
            <w:tcBorders>
              <w:top w:val="single" w:color="CCCCCA" w:sz="1"/>
              <w:left w:val="single" w:color="CCCCCA" w:sz="1"/>
              <w:bottom w:val="single" w:color="CCCCCA" w:sz="1"/>
              <w:right w:val="single" w:color="CCCCCA" w:sz="1"/>
            </w:tcBorders>
            <w:shd w:fill="F5F5F3"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The regime of a dynamical system where it is neither frozen (periodic) nor chaotic, maximizing computational capacity.</w:t>
            </w:r>
          </w:p>
        </w:tc>
      </w:tr>
      <w:tr>
        <w:tc>
          <w:tcPr>
            <w:tcW w:type="dxa" w:w="2400"/>
            <w:tcBorders>
              <w:top w:val="single" w:color="CCCCCA" w:sz="1"/>
              <w:left w:val="single" w:color="CCCCCA" w:sz="1"/>
              <w:bottom w:val="single" w:color="CCCCCA" w:sz="1"/>
              <w:right w:val="single" w:color="CCCCC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Capsule Network</w:t>
            </w:r>
          </w:p>
        </w:tc>
        <w:tc>
          <w:tcPr>
            <w:tcW w:type="dxa" w:w="6960"/>
            <w:tcBorders>
              <w:top w:val="single" w:color="CCCCCA" w:sz="1"/>
              <w:left w:val="single" w:color="CCCCCA" w:sz="1"/>
              <w:bottom w:val="single" w:color="CCCCCA" w:sz="1"/>
              <w:right w:val="single" w:color="CCCCC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A neural network where units output pose vectors rather than scalar activations, routing through learned transformations.</w:t>
            </w:r>
          </w:p>
        </w:tc>
      </w:tr>
      <w:tr>
        <w:tc>
          <w:tcPr>
            <w:tcW w:type="dxa" w:w="2400"/>
            <w:tcBorders>
              <w:top w:val="single" w:color="CCCCCA" w:sz="1"/>
              <w:left w:val="single" w:color="CCCCCA" w:sz="1"/>
              <w:bottom w:val="single" w:color="CCCCCA" w:sz="1"/>
              <w:right w:val="single" w:color="CCCCCA" w:sz="1"/>
            </w:tcBorders>
            <w:shd w:fill="F5F5F3"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MERA</w:t>
            </w:r>
          </w:p>
        </w:tc>
        <w:tc>
          <w:tcPr>
            <w:tcW w:type="dxa" w:w="6960"/>
            <w:tcBorders>
              <w:top w:val="single" w:color="CCCCCA" w:sz="1"/>
              <w:left w:val="single" w:color="CCCCCA" w:sz="1"/>
              <w:bottom w:val="single" w:color="CCCCCA" w:sz="1"/>
              <w:right w:val="single" w:color="CCCCCA" w:sz="1"/>
            </w:tcBorders>
            <w:shd w:fill="F5F5F3"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Multi-scale Entanglement Renormalization Ansatz. A tensor network from quantum physics that performs hierarchical coarse-graining.</w:t>
            </w:r>
          </w:p>
        </w:tc>
      </w:tr>
      <w:tr>
        <w:tc>
          <w:tcPr>
            <w:tcW w:type="dxa" w:w="2400"/>
            <w:tcBorders>
              <w:top w:val="single" w:color="CCCCCA" w:sz="1"/>
              <w:left w:val="single" w:color="CCCCCA" w:sz="1"/>
              <w:bottom w:val="single" w:color="CCCCCA" w:sz="1"/>
              <w:right w:val="single" w:color="CCCCC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Adam optimizer</w:t>
            </w:r>
          </w:p>
        </w:tc>
        <w:tc>
          <w:tcPr>
            <w:tcW w:type="dxa" w:w="6960"/>
            <w:tcBorders>
              <w:top w:val="single" w:color="CCCCCA" w:sz="1"/>
              <w:left w:val="single" w:color="CCCCCA" w:sz="1"/>
              <w:bottom w:val="single" w:color="CCCCCA" w:sz="1"/>
              <w:right w:val="single" w:color="CCCCCA"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44441"/>
                <w:sz w:val="18"/>
                <w:szCs w:val="18"/>
              </w:rPr>
              <w:t xml:space="preserve">A gradient descent algorithm that adapts the learning rate per parameter. Standard in modern deep learning.</w:t>
            </w:r>
          </w:p>
        </w:tc>
      </w:tr>
    </w:tbl>
    <w:p>
      <w:pPr>
        <w:spacing w:before="60" w:after="60"/>
      </w:pPr>
      <w:r>
        <w:t xml:space="preserve"/>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A" w:sz="3" w:space="4"/>
      </w:pBdr>
      <w:jc w:val="right"/>
    </w:pPr>
    <w:r>
      <w:rPr>
        <w:rFonts w:ascii="Arial" w:cs="Arial" w:eastAsia="Arial" w:hAnsi="Arial"/>
        <w:i/>
        <w:iCs/>
        <w:color w:val="CCCCCA"/>
        <w:sz w:val="16"/>
        <w:szCs w:val="16"/>
      </w:rPr>
      <w:t xml:space="preserve">TSRN: Tropical Sheaf Renormalization Networks  ·  </w:t>
    </w:r>
    <w:r>
      <w:rPr>
        <w:rFonts w:ascii="Arial" w:cs="Arial" w:eastAsia="Arial" w:hAnsi="Arial"/>
        <w:color w:val="CCCCCA"/>
        <w:sz w:val="16"/>
        <w:szCs w:val="16"/>
      </w:rPr>
      <w:t xml:space="preserve">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80" w:after="8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44444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360" w:after="140"/>
      <w:outlineLvl w:val="1"/>
    </w:pPr>
    <w:rPr>
      <w:rFonts w:ascii="Arial" w:cs="Arial" w:eastAsia="Arial" w:hAnsi="Arial"/>
      <w:b/>
      <w:bCs/>
      <w:color w:val="0F6E56"/>
      <w:sz w:val="26"/>
      <w:szCs w:val="26"/>
    </w:rPr>
  </w:style>
  <w:style w:type="paragraph" w:styleId="Heading3">
    <w:name w:val="Heading 3"/>
    <w:basedOn w:val="Normal"/>
    <w:next w:val="Normal"/>
    <w:qFormat/>
    <w:pPr>
      <w:spacing w:before="280" w:after="100"/>
      <w:outlineLvl w:val="2"/>
    </w:pPr>
    <w:rPr>
      <w:rFonts w:ascii="Arial" w:cs="Arial" w:eastAsia="Arial" w:hAnsi="Arial"/>
      <w:b/>
      <w:bCs/>
      <w:color w:val="44444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2026-03-24T01:24:49.562Z</dcterms:created>
  <dcterms:modified xsi:type="dcterms:W3CDTF">2026-03-24T01:24:49.563Z</dcterms:modified>
</cp:coreProperties>
</file>

<file path=docProps/custom.xml><?xml version="1.0" encoding="utf-8"?>
<Properties xmlns="http://schemas.openxmlformats.org/officeDocument/2006/custom-properties" xmlns:vt="http://schemas.openxmlformats.org/officeDocument/2006/docPropsVTypes"/>
</file>