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9"/>
        </w:rPr>
        <w:t>照时间表推进；来不及时先砍 T1／T4，T2 不许砍。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类型　公式　例子（主题：城市更新）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实　直陈主张，"把/让 + 对象 + 动词 + 结果"　把旧改办到居民心坎上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虚　借一个意象（肌理、活水、毛细血管、钥匙）　让老城区长出新肌理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稳　对仗两句，"既要A，也要B"／"不只有A，还要有B"　既要留住烟火气，也要改出新面貌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每段都藏着"后半截"：材料三的后半截是"也有做得细的"（做法）；材料四整段是困难（也是问题）；材料六的后半截是市里的打算（做法＋结论）。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论证顺序：一、　　　二、　　　三、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9"/>
        </w:rPr>
        <w:t>答案（目标 270–300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个标题：按上表，实／虚／稳各写一个（主题＝执法与治理）。实＝"把/让＋对象＋动词＋结果"（≤14 字）；虚＝借一个意象（肌理／活水／钥匙）；稳＝"既要A，也要B"。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4 · 2026-10-28周三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