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样例：每一格该写什么。练习时照这个格式，内容写你自己的。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①3月公布23类首违不罚清单，首次+轻微+及时改正不罚，改劝导承诺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②半年1.2万件，处罚降31%、投诉降24%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③摊主：第一次被劝不是被罚，心里服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④这套办法有背景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⑤过去运动式一刀切，掀摊子扣东西，一年60多起冲突，视频一片骂声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⑥《行政处罚法》第三十三条：初次+轻微+及时改正可以不予处罚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⑦营商环境与满意度纳入考核，执法方式不得不变　背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⑧走访下来问题并不相同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⑨理解成一律不罚，只劝不记，居民投诉越管越乱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⑩承诺书当免罚金牌，一个摊位半年签三次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⑪不罚改收费，卫生保证金变相罚款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⑫职责交叉，一事多头跑多头管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⑬也有做得细的：扫码建档、承诺书回访、分色管理、留痕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⑭不罚怕追责，罚了怕投诉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⑮清单外无标准；承诺书无强制力；回访缺人手，签完就忘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⑯最难的不是罚不罚，而是不罚之后怎么办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⑰座谈会观点分成两派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⑱一方：柔性执法是进步，处罚不是目的，教育才是　观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⑲另一方：法律不是橡皮筋，不罚就是纵容，守法者反而吃亏，这公平吗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⑳关键不在不罚，而在三个要件：初次、轻微、及时改正，缺一不可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㉑还要回答不罚之后怎么办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㉒建首违数据库、挂钩信用、屡犯从重、危害安全坚决查处、帮扶划区减费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㉓执法要有力度，也要有温度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每段都藏着"后半截"：材料三的后半截是"也有做得细的"（做法）；材料四整段是困难（也是问题）；材料六的后半截是市里的打算（做法＋结论）。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 月公布 23 类首违不罚清单，首次+轻微+及时改正不罚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半年办结 1.2 万件，处罚降 31%、投诉降 24%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摊主：第一次被劝不是被罚，心里服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过去运动式一刀切，一年 60 多起冲突，视频一片骂声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《行政处罚法》第三十三条：初次+轻微+及时改正可不罚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理解成一律不罚、只劝不记，居民投诉越管越乱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承诺书当免罚金牌，一个摊位半年签三次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不罚改收费，卫生保证金变成变相罚款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职责交叉，同一件事多头跑、多头管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也有做得细的：建档、回访、分色管理、执法留痕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不罚怕追责，罚了怕被投诉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最难的不是罚不罚，而是不罚之后怎么办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一方：柔性执法是进步，教育才是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另一方：法律不是橡皮筋，不罚就是纵容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关键在三个要件，缺一不可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建数据库、挂钩信用、屡犯从重、帮扶减费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执法要有力度，也要有温度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两种观点各有道理，但都把「不罚」和「不管」混为一谈了。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执法要宽严相济：轻微违法以教代罚，危害安全、屡教不改的坚决查处。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一、进步在哪　二、边界在哪　三、不罚之后怎么办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两种观点各有道理，但都把「不罚」和「不管」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「不罚」，就会滑向「一律不罚」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「首违」数据库、信用记录和回访帮扶接住「不罚之后」的空档。执法要有力度，也要有温度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6"/>
        </w:rPr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个标题：按上表，实／虚／稳各写一个（主题＝执法与治理）。实＝"把/让＋对象＋动词＋结果"（≤14 字）；虚＝借一个意象（肌理／活水／钥匙）；稳＝"既要A，也要B"。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执法不是一罚了之，而是宽严相济。（18 字）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6"/>
        </w:rPr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实：让首违不罚宽得有理、严得有据（14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虚：执法要握好一把「刻度尺」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稳：宽严相济，罚教并举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6"/>
        </w:rPr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占道摊贩看见执法车就跑，签了三次承诺书照旧摆摊——「首违不罚」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6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材料原句①：法律不是橡皮筋。（材料五）[2026-10]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材料原句②：守法的人天天交租、交税、让道，违法的人反而占便宜，这公平吗。（材料五）[2026-10]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材料原句③：执法要有力度，也要有温度。（材料六）[2026-10]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课外金句①：法安天下，德润人心。[2026-10]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课外金句②：过罚相当——罚当其过，轻过轻罚。[2026-10]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6. 政策①：《行政处罚法》第三十三条，初次违法且危害后果轻微并及时改正的，可以不予行政处罚。[2021-01]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6"/>
        </w:rPr>
      </w: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4 · 2026-10-28周三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