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2"/>
          <w:szCs w:val="32"/>
        </w:rPr>
        <w:t xml:space="preserve">Ondo State AEFI — E2B(R3) Developer Remediation Specification</w:t>
      </w:r>
    </w:p>
    <w:p>
      <w:pPr>
        <w:spacing w:after="40" w:line="260"/>
      </w:pPr>
      <w:r>
        <w:rPr>
          <w:b w:val="false"/>
          <w:bCs w:val="false"/>
          <w:i w:val="false"/>
          <w:iCs w:val="false"/>
          <w:color w:val="444444"/>
          <w:sz w:val="21"/>
          <w:szCs w:val="21"/>
        </w:rPr>
        <w:t xml:space="preserve">Build-ready specification for rebuilding the SafetyCore regulatory export layer for UMC VigiFlow validated import</w:t>
      </w:r>
    </w:p>
    <w:p>
      <w:pPr>
        <w:pBdr>
          <w:bottom w:val="single" w:color="1F3864" w:sz="6"/>
        </w:pBdr>
        <w:spacing w:after="180" w:before="60"/>
      </w:pPr>
      <w:r>
        <w:t xml:space="preserve"/>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2300"/>
        <w:gridCol w:w="6720"/>
      </w:tblGrid>
      <w:tr>
        <w:trPr>
          <w:tblHeader/>
        </w:trPr>
        <w:tc>
          <w:tcPr>
            <w:tcW w:type="dxa" w:w="2300"/>
            <w:shd w:fill="1F3864" w:color="auto" w:val="clear"/>
            <w:tcMar>
              <w:top w:type="dxa" w:w="50"/>
              <w:left w:type="dxa" w:w="90"/>
              <w:bottom w:type="dxa" w:w="50"/>
              <w:right w:type="dxa" w:w="90"/>
            </w:tcMar>
          </w:tcPr>
          <w:p>
            <w:pPr>
              <w:spacing w:after="30" w:before="30" w:line="230"/>
            </w:pPr>
            <w:r>
              <w:rPr>
                <w:b/>
                <w:bCs/>
                <w:color w:val="FFFFFF"/>
                <w:sz w:val="19"/>
                <w:szCs w:val="19"/>
              </w:rPr>
              <w:t xml:space="preserve">Field</w:t>
            </w:r>
          </w:p>
        </w:tc>
        <w:tc>
          <w:tcPr>
            <w:tcW w:type="dxa" w:w="6720"/>
            <w:shd w:fill="1F3864" w:color="auto" w:val="clear"/>
            <w:tcMar>
              <w:top w:type="dxa" w:w="50"/>
              <w:left w:type="dxa" w:w="90"/>
              <w:bottom w:type="dxa" w:w="50"/>
              <w:right w:type="dxa" w:w="90"/>
            </w:tcMar>
          </w:tcPr>
          <w:p>
            <w:pPr>
              <w:spacing w:after="30" w:before="30" w:line="230"/>
            </w:pPr>
            <w:r>
              <w:rPr>
                <w:b/>
                <w:bCs/>
                <w:color w:val="FFFFFF"/>
                <w:sz w:val="19"/>
                <w:szCs w:val="19"/>
              </w:rPr>
              <w:t xml:space="preserve">Value</w:t>
            </w:r>
          </w:p>
        </w:tc>
      </w:tr>
      <w:tr>
        <w:tc>
          <w:tcPr>
            <w:tcW w:type="dxa" w:w="2300"/>
            <w:tcMar>
              <w:top w:type="dxa" w:w="50"/>
              <w:left w:type="dxa" w:w="90"/>
              <w:bottom w:type="dxa" w:w="50"/>
              <w:right w:type="dxa" w:w="90"/>
            </w:tcMar>
          </w:tcPr>
          <w:p>
            <w:pPr>
              <w:spacing w:after="30" w:before="30" w:line="230"/>
            </w:pPr>
            <w:r>
              <w:rPr>
                <w:b/>
                <w:bCs/>
                <w:color w:val="000000"/>
                <w:sz w:val="19"/>
                <w:szCs w:val="19"/>
              </w:rPr>
              <w:t xml:space="preserve">File assessed</w:t>
            </w:r>
          </w:p>
        </w:tc>
        <w:tc>
          <w:tcPr>
            <w:tcW w:type="dxa" w:w="6720"/>
            <w:tcMar>
              <w:top w:type="dxa" w:w="50"/>
              <w:left w:type="dxa" w:w="90"/>
              <w:bottom w:type="dxa" w:w="50"/>
              <w:right w:type="dxa" w:w="90"/>
            </w:tcMar>
          </w:tcPr>
          <w:p>
            <w:pPr>
              <w:spacing w:after="30" w:before="30" w:line="230"/>
            </w:pPr>
            <w:r>
              <w:rPr>
                <w:b w:val="false"/>
                <w:bCs w:val="false"/>
                <w:color w:val="000000"/>
                <w:sz w:val="19"/>
                <w:szCs w:val="19"/>
              </w:rPr>
              <w:t xml:space="preserve">2026, ONDO STATE AEFI-e2b-e2b-mtu30r66oto0.xml</w:t>
            </w:r>
          </w:p>
        </w:tc>
      </w:tr>
      <w:tr>
        <w:tc>
          <w:tcPr>
            <w:tcW w:type="dxa" w:w="2300"/>
            <w:shd w:fill="F2F4F8" w:color="auto" w:val="clear"/>
            <w:tcMar>
              <w:top w:type="dxa" w:w="50"/>
              <w:left w:type="dxa" w:w="90"/>
              <w:bottom w:type="dxa" w:w="50"/>
              <w:right w:type="dxa" w:w="90"/>
            </w:tcMar>
          </w:tcPr>
          <w:p>
            <w:pPr>
              <w:spacing w:after="30" w:before="30" w:line="230"/>
            </w:pPr>
            <w:r>
              <w:rPr>
                <w:b/>
                <w:bCs/>
                <w:color w:val="000000"/>
                <w:sz w:val="19"/>
                <w:szCs w:val="19"/>
              </w:rPr>
              <w:t xml:space="preserve">Source system</w:t>
            </w:r>
          </w:p>
        </w:tc>
        <w:tc>
          <w:tcPr>
            <w:tcW w:type="dxa" w:w="6720"/>
            <w:shd w:fill="F2F4F8" w:color="auto" w:val="clear"/>
            <w:tcMar>
              <w:top w:type="dxa" w:w="50"/>
              <w:left w:type="dxa" w:w="90"/>
              <w:bottom w:type="dxa" w:w="50"/>
              <w:right w:type="dxa" w:w="90"/>
            </w:tcMar>
          </w:tcPr>
          <w:p>
            <w:pPr>
              <w:spacing w:after="30" w:before="30" w:line="230"/>
            </w:pPr>
            <w:r>
              <w:rPr>
                <w:b w:val="false"/>
                <w:bCs w:val="false"/>
                <w:color w:val="000000"/>
                <w:sz w:val="19"/>
                <w:szCs w:val="19"/>
              </w:rPr>
              <w:t xml:space="preserve">SafetyCore MVP export layer</w:t>
            </w:r>
          </w:p>
        </w:tc>
      </w:tr>
      <w:tr>
        <w:tc>
          <w:tcPr>
            <w:tcW w:type="dxa" w:w="2300"/>
            <w:tcMar>
              <w:top w:type="dxa" w:w="50"/>
              <w:left w:type="dxa" w:w="90"/>
              <w:bottom w:type="dxa" w:w="50"/>
              <w:right w:type="dxa" w:w="90"/>
            </w:tcMar>
          </w:tcPr>
          <w:p>
            <w:pPr>
              <w:spacing w:after="30" w:before="30" w:line="230"/>
            </w:pPr>
            <w:r>
              <w:rPr>
                <w:b/>
                <w:bCs/>
                <w:color w:val="000000"/>
                <w:sz w:val="19"/>
                <w:szCs w:val="19"/>
              </w:rPr>
              <w:t xml:space="preserve">Assessment date</w:t>
            </w:r>
          </w:p>
        </w:tc>
        <w:tc>
          <w:tcPr>
            <w:tcW w:type="dxa" w:w="6720"/>
            <w:tcMar>
              <w:top w:type="dxa" w:w="50"/>
              <w:left w:type="dxa" w:w="90"/>
              <w:bottom w:type="dxa" w:w="50"/>
              <w:right w:type="dxa" w:w="90"/>
            </w:tcMar>
          </w:tcPr>
          <w:p>
            <w:pPr>
              <w:spacing w:after="30" w:before="30" w:line="230"/>
            </w:pPr>
            <w:r>
              <w:rPr>
                <w:b w:val="false"/>
                <w:bCs w:val="false"/>
                <w:color w:val="000000"/>
                <w:sz w:val="19"/>
                <w:szCs w:val="19"/>
              </w:rPr>
              <w:t xml:space="preserve">9 September 2026</w:t>
            </w:r>
          </w:p>
        </w:tc>
      </w:tr>
      <w:tr>
        <w:tc>
          <w:tcPr>
            <w:tcW w:type="dxa" w:w="2300"/>
            <w:shd w:fill="F2F4F8" w:color="auto" w:val="clear"/>
            <w:tcMar>
              <w:top w:type="dxa" w:w="50"/>
              <w:left w:type="dxa" w:w="90"/>
              <w:bottom w:type="dxa" w:w="50"/>
              <w:right w:type="dxa" w:w="90"/>
            </w:tcMar>
          </w:tcPr>
          <w:p>
            <w:pPr>
              <w:spacing w:after="30" w:before="30" w:line="230"/>
            </w:pPr>
            <w:r>
              <w:rPr>
                <w:b/>
                <w:bCs/>
                <w:color w:val="000000"/>
                <w:sz w:val="19"/>
                <w:szCs w:val="19"/>
              </w:rPr>
              <w:t xml:space="preserve">Cases in file</w:t>
            </w:r>
          </w:p>
        </w:tc>
        <w:tc>
          <w:tcPr>
            <w:tcW w:type="dxa" w:w="6720"/>
            <w:shd w:fill="F2F4F8" w:color="auto" w:val="clear"/>
            <w:tcMar>
              <w:top w:type="dxa" w:w="50"/>
              <w:left w:type="dxa" w:w="90"/>
              <w:bottom w:type="dxa" w:w="50"/>
              <w:right w:type="dxa" w:w="90"/>
            </w:tcMar>
          </w:tcPr>
          <w:p>
            <w:pPr>
              <w:spacing w:after="30" w:before="30" w:line="230"/>
            </w:pPr>
            <w:r>
              <w:rPr>
                <w:b w:val="false"/>
                <w:bCs w:val="false"/>
                <w:color w:val="000000"/>
                <w:sz w:val="19"/>
                <w:szCs w:val="19"/>
              </w:rPr>
              <w:t xml:space="preserve">231 ICSRs</w:t>
            </w:r>
          </w:p>
        </w:tc>
      </w:tr>
      <w:tr>
        <w:tc>
          <w:tcPr>
            <w:tcW w:type="dxa" w:w="2300"/>
            <w:tcMar>
              <w:top w:type="dxa" w:w="50"/>
              <w:left w:type="dxa" w:w="90"/>
              <w:bottom w:type="dxa" w:w="50"/>
              <w:right w:type="dxa" w:w="90"/>
            </w:tcMar>
          </w:tcPr>
          <w:p>
            <w:pPr>
              <w:spacing w:after="30" w:before="30" w:line="230"/>
            </w:pPr>
            <w:r>
              <w:rPr>
                <w:b/>
                <w:bCs/>
                <w:color w:val="000000"/>
                <w:sz w:val="19"/>
                <w:szCs w:val="19"/>
              </w:rPr>
              <w:t xml:space="preserve">Verdict</w:t>
            </w:r>
          </w:p>
        </w:tc>
        <w:tc>
          <w:tcPr>
            <w:tcW w:type="dxa" w:w="6720"/>
            <w:tcMar>
              <w:top w:type="dxa" w:w="50"/>
              <w:left w:type="dxa" w:w="90"/>
              <w:bottom w:type="dxa" w:w="50"/>
              <w:right w:type="dxa" w:w="90"/>
            </w:tcMar>
          </w:tcPr>
          <w:p>
            <w:pPr>
              <w:spacing w:after="30" w:before="30" w:line="230"/>
            </w:pPr>
            <w:r>
              <w:rPr>
                <w:b w:val="false"/>
                <w:bCs w:val="false"/>
                <w:color w:val="000000"/>
                <w:sz w:val="19"/>
                <w:szCs w:val="19"/>
              </w:rPr>
              <w:t xml:space="preserve">NOT submission-ready for VigiFlow validated import</w:t>
            </w:r>
          </w:p>
        </w:tc>
      </w:tr>
      <w:tr>
        <w:tc>
          <w:tcPr>
            <w:tcW w:type="dxa" w:w="2300"/>
            <w:shd w:fill="F2F4F8" w:color="auto" w:val="clear"/>
            <w:tcMar>
              <w:top w:type="dxa" w:w="50"/>
              <w:left w:type="dxa" w:w="90"/>
              <w:bottom w:type="dxa" w:w="50"/>
              <w:right w:type="dxa" w:w="90"/>
            </w:tcMar>
          </w:tcPr>
          <w:p>
            <w:pPr>
              <w:spacing w:after="30" w:before="30" w:line="230"/>
            </w:pPr>
            <w:r>
              <w:rPr>
                <w:b/>
                <w:bCs/>
                <w:color w:val="000000"/>
                <w:sz w:val="19"/>
                <w:szCs w:val="19"/>
              </w:rPr>
              <w:t xml:space="preserve">Target standard</w:t>
            </w:r>
          </w:p>
        </w:tc>
        <w:tc>
          <w:tcPr>
            <w:tcW w:type="dxa" w:w="6720"/>
            <w:shd w:fill="F2F4F8" w:color="auto" w:val="clear"/>
            <w:tcMar>
              <w:top w:type="dxa" w:w="50"/>
              <w:left w:type="dxa" w:w="90"/>
              <w:bottom w:type="dxa" w:w="50"/>
              <w:right w:type="dxa" w:w="90"/>
            </w:tcMar>
          </w:tcPr>
          <w:p>
            <w:pPr>
              <w:spacing w:after="30" w:before="30" w:line="230"/>
            </w:pPr>
            <w:r>
              <w:rPr>
                <w:b w:val="false"/>
                <w:bCs w:val="false"/>
                <w:color w:val="000000"/>
                <w:sz w:val="19"/>
                <w:szCs w:val="19"/>
              </w:rPr>
              <w:t xml:space="preserve">ICH E2B(R3), ISO/HL7 27953-2 constrained ICH ICSR schema</w:t>
            </w:r>
          </w:p>
        </w:tc>
      </w:tr>
      <w:tr>
        <w:tc>
          <w:tcPr>
            <w:tcW w:type="dxa" w:w="2300"/>
            <w:tcMar>
              <w:top w:type="dxa" w:w="50"/>
              <w:left w:type="dxa" w:w="90"/>
              <w:bottom w:type="dxa" w:w="50"/>
              <w:right w:type="dxa" w:w="90"/>
            </w:tcMar>
          </w:tcPr>
          <w:p>
            <w:pPr>
              <w:spacing w:after="30" w:before="30" w:line="230"/>
            </w:pPr>
            <w:r>
              <w:rPr>
                <w:b/>
                <w:bCs/>
                <w:color w:val="000000"/>
                <w:sz w:val="19"/>
                <w:szCs w:val="19"/>
              </w:rPr>
              <w:t xml:space="preserve">Target receiver</w:t>
            </w:r>
          </w:p>
        </w:tc>
        <w:tc>
          <w:tcPr>
            <w:tcW w:type="dxa" w:w="6720"/>
            <w:tcMar>
              <w:top w:type="dxa" w:w="50"/>
              <w:left w:type="dxa" w:w="90"/>
              <w:bottom w:type="dxa" w:w="50"/>
              <w:right w:type="dxa" w:w="90"/>
            </w:tcMar>
          </w:tcPr>
          <w:p>
            <w:pPr>
              <w:spacing w:after="30" w:before="30" w:line="230"/>
            </w:pPr>
            <w:r>
              <w:rPr>
                <w:b w:val="false"/>
                <w:bCs w:val="false"/>
                <w:color w:val="000000"/>
                <w:sz w:val="19"/>
                <w:szCs w:val="19"/>
              </w:rPr>
              <w:t xml:space="preserve">NAFDAC VigiFlow instance (validated import)</w:t>
            </w:r>
          </w:p>
        </w:tc>
      </w:tr>
      <w:tr>
        <w:tc>
          <w:tcPr>
            <w:tcW w:type="dxa" w:w="2300"/>
            <w:shd w:fill="F2F4F8" w:color="auto" w:val="clear"/>
            <w:tcMar>
              <w:top w:type="dxa" w:w="50"/>
              <w:left w:type="dxa" w:w="90"/>
              <w:bottom w:type="dxa" w:w="50"/>
              <w:right w:type="dxa" w:w="90"/>
            </w:tcMar>
          </w:tcPr>
          <w:p>
            <w:pPr>
              <w:spacing w:after="30" w:before="30" w:line="230"/>
            </w:pPr>
            <w:r>
              <w:rPr>
                <w:b/>
                <w:bCs/>
                <w:color w:val="000000"/>
                <w:sz w:val="19"/>
                <w:szCs w:val="19"/>
              </w:rPr>
              <w:t xml:space="preserve">Document status</w:t>
            </w:r>
          </w:p>
        </w:tc>
        <w:tc>
          <w:tcPr>
            <w:tcW w:type="dxa" w:w="6720"/>
            <w:shd w:fill="F2F4F8" w:color="auto" w:val="clear"/>
            <w:tcMar>
              <w:top w:type="dxa" w:w="50"/>
              <w:left w:type="dxa" w:w="90"/>
              <w:bottom w:type="dxa" w:w="50"/>
              <w:right w:type="dxa" w:w="90"/>
            </w:tcMar>
          </w:tcPr>
          <w:p>
            <w:pPr>
              <w:spacing w:after="30" w:before="30" w:line="230"/>
            </w:pPr>
            <w:r>
              <w:rPr>
                <w:b w:val="false"/>
                <w:bCs w:val="false"/>
                <w:color w:val="000000"/>
                <w:sz w:val="19"/>
                <w:szCs w:val="19"/>
              </w:rPr>
              <w:t xml:space="preserve">For developer build. Sections 3 and 4 require sign-off before Track C can start.</w:t>
            </w:r>
          </w:p>
        </w:tc>
      </w:tr>
    </w:tbl>
    <w:p>
      <w:pPr>
        <w:pStyle w:val="Heading1"/>
        <w:spacing w:after="150" w:before="340"/>
      </w:pPr>
      <w:r>
        <w:rPr>
          <w:b/>
          <w:bCs/>
          <w:color w:val="1F3864"/>
          <w:sz w:val="26"/>
          <w:szCs w:val="26"/>
        </w:rPr>
        <w:t xml:space="preserve">1. How to use this document</w:t>
      </w:r>
    </w:p>
    <w:p>
      <w:pPr>
        <w:spacing w:after="80" w:line="260"/>
      </w:pPr>
      <w:r>
        <w:rPr>
          <w:b w:val="false"/>
          <w:bCs w:val="false"/>
          <w:i w:val="false"/>
          <w:iCs w:val="false"/>
          <w:sz w:val="20"/>
          <w:szCs w:val="20"/>
        </w:rPr>
        <w:t xml:space="preserve">Section 2 states the problem and the build decision. Section 3 lists the decisions that must be made by MedNova before parts of the build can proceed — the developer cannot invent these. Section 4 lists external dependencies with owners. Section 5 is the field-level mapping the developer works from. Sections 6 to 8 give code lists, identifier and batch rules, and the build sequence. Section 9 is the definition of done.</w:t>
      </w:r>
    </w:p>
    <w:p>
      <w:pPr>
        <w:pBdr>
          <w:left w:val="single" w:color="D08A00" w:sz="12"/>
        </w:pBdr>
        <w:shd w:fill="FFF4E0" w:color="auto" w:val="clear"/>
        <w:spacing w:after="140" w:before="100" w:line="260"/>
        <w:ind w:left="120"/>
      </w:pPr>
      <w:r>
        <w:rPr>
          <w:sz w:val="19"/>
          <w:szCs w:val="19"/>
        </w:rPr>
        <w:t xml:space="preserve">Element identifiers used throughout (C.1.1, E.i.2.1b, G.k.2.2, and so on) are ICH E2B(R3) data element numbers as defined in the ICH ICSR Implementation Guide. They are not XML tag names. The XML element and attribute structure comes from the ICH ICSR schema set and reference instances in the implementation package — build against those files, not against the names in this document.</w:t>
      </w:r>
    </w:p>
    <w:p>
      <w:pPr>
        <w:pStyle w:val="Heading1"/>
        <w:spacing w:after="150" w:before="340"/>
      </w:pPr>
      <w:r>
        <w:rPr>
          <w:b/>
          <w:bCs/>
          <w:color w:val="1F3864"/>
          <w:sz w:val="26"/>
          <w:szCs w:val="26"/>
        </w:rPr>
        <w:t xml:space="preserve">2. Diagnosis and build decision</w:t>
      </w:r>
    </w:p>
    <w:p>
      <w:pPr>
        <w:spacing w:after="80" w:line="260"/>
      </w:pPr>
      <w:r>
        <w:rPr>
          <w:b w:val="false"/>
          <w:bCs w:val="false"/>
          <w:i w:val="false"/>
          <w:iCs w:val="false"/>
          <w:sz w:val="20"/>
          <w:szCs w:val="20"/>
        </w:rPr>
        <w:t xml:space="preserve">The file is well-formed XML but is not a conformant E2B(R3) message. Four issues are hard blockers; three more will fail business-rule validation or create a confidentiality exposure.</w:t>
      </w:r>
    </w:p>
    <w:p>
      <w:pPr>
        <w:pStyle w:val="Heading2"/>
        <w:spacing w:after="100" w:before="220"/>
      </w:pPr>
      <w:r>
        <w:rPr>
          <w:b/>
          <w:bCs/>
          <w:color w:val="2E4A7D"/>
          <w:sz w:val="21"/>
          <w:szCs w:val="21"/>
        </w:rPr>
        <w:t xml:space="preserve">Decision</w:t>
      </w:r>
    </w:p>
    <w:p>
      <w:pPr>
        <w:spacing w:after="80" w:line="260"/>
      </w:pPr>
      <w:r>
        <w:rPr>
          <w:b w:val="false"/>
          <w:bCs w:val="false"/>
          <w:i w:val="false"/>
          <w:iCs w:val="false"/>
          <w:sz w:val="20"/>
          <w:szCs w:val="20"/>
        </w:rPr>
        <w:t xml:space="preserve">Do not patch the current XML generator. Replace the regulatory export layer with an E2B(R3) serializer built from the ICH implementation package and validated against its schemas and reference instances. Keep the existing SafetyCore representation as an internal staging format only.</w:t>
      </w:r>
    </w:p>
    <w:p>
      <w:pPr>
        <w:spacing w:after="160" w:line="260"/>
      </w:pPr>
      <w:r>
        <w:rPr>
          <w:b w:val="false"/>
          <w:bCs w:val="false"/>
          <w:i w:val="false"/>
          <w:iCs w:val="false"/>
          <w:sz w:val="20"/>
          <w:szCs w:val="20"/>
        </w:rPr>
        <w:t xml:space="preserve">The current generator emits a hand-invented vocabulary. Every defect below is a symptom of that, not an independent bug, so patching them individually produces a file that looks closer to E2B without ever becoming E2B.</w:t>
      </w:r>
    </w:p>
    <w:p>
      <w:pPr>
        <w:pStyle w:val="Heading2"/>
        <w:spacing w:after="100" w:before="220"/>
      </w:pPr>
      <w:r>
        <w:rPr>
          <w:b/>
          <w:bCs/>
          <w:color w:val="2E4A7D"/>
          <w:sz w:val="21"/>
          <w:szCs w:val="21"/>
        </w:rPr>
        <w:t xml:space="preserve">Blocking findings</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1050"/>
        <w:gridCol w:w="1750"/>
        <w:gridCol w:w="6220"/>
      </w:tblGrid>
      <w:tr>
        <w:trPr>
          <w:tblHeader/>
        </w:trPr>
        <w:tc>
          <w:tcPr>
            <w:tcW w:type="dxa" w:w="1050"/>
            <w:shd w:fill="1F3864" w:color="auto" w:val="clear"/>
            <w:tcMar>
              <w:top w:type="dxa" w:w="50"/>
              <w:left w:type="dxa" w:w="90"/>
              <w:bottom w:type="dxa" w:w="50"/>
              <w:right w:type="dxa" w:w="90"/>
            </w:tcMar>
          </w:tcPr>
          <w:p>
            <w:pPr>
              <w:spacing w:after="30" w:before="30" w:line="230"/>
            </w:pPr>
            <w:r>
              <w:rPr>
                <w:b/>
                <w:bCs/>
                <w:color w:val="FFFFFF"/>
                <w:sz w:val="18"/>
                <w:szCs w:val="18"/>
              </w:rPr>
              <w:t xml:space="preserve">Severity</w:t>
            </w:r>
          </w:p>
        </w:tc>
        <w:tc>
          <w:tcPr>
            <w:tcW w:type="dxa" w:w="1750"/>
            <w:shd w:fill="1F3864" w:color="auto" w:val="clear"/>
            <w:tcMar>
              <w:top w:type="dxa" w:w="50"/>
              <w:left w:type="dxa" w:w="90"/>
              <w:bottom w:type="dxa" w:w="50"/>
              <w:right w:type="dxa" w:w="90"/>
            </w:tcMar>
          </w:tcPr>
          <w:p>
            <w:pPr>
              <w:spacing w:after="30" w:before="30" w:line="230"/>
            </w:pPr>
            <w:r>
              <w:rPr>
                <w:b/>
                <w:bCs/>
                <w:color w:val="FFFFFF"/>
                <w:sz w:val="18"/>
                <w:szCs w:val="18"/>
              </w:rPr>
              <w:t xml:space="preserve">Finding</w:t>
            </w:r>
          </w:p>
        </w:tc>
        <w:tc>
          <w:tcPr>
            <w:tcW w:type="dxa" w:w="6220"/>
            <w:shd w:fill="1F3864" w:color="auto" w:val="clear"/>
            <w:tcMar>
              <w:top w:type="dxa" w:w="50"/>
              <w:left w:type="dxa" w:w="90"/>
              <w:bottom w:type="dxa" w:w="50"/>
              <w:right w:type="dxa" w:w="90"/>
            </w:tcMar>
          </w:tcPr>
          <w:p>
            <w:pPr>
              <w:spacing w:after="30" w:before="30" w:line="230"/>
            </w:pPr>
            <w:r>
              <w:rPr>
                <w:b/>
                <w:bCs/>
                <w:color w:val="FFFFFF"/>
                <w:sz w:val="18"/>
                <w:szCs w:val="18"/>
              </w:rPr>
              <w:t xml:space="preserve">Observed in this file</w:t>
            </w:r>
          </w:p>
        </w:tc>
      </w:tr>
      <w:tr>
        <w:tc>
          <w:tcPr>
            <w:tcW w:type="dxa" w:w="1050"/>
            <w:tcMar>
              <w:top w:type="dxa" w:w="50"/>
              <w:left w:type="dxa" w:w="90"/>
              <w:bottom w:type="dxa" w:w="50"/>
              <w:right w:type="dxa" w:w="90"/>
            </w:tcMar>
          </w:tcPr>
          <w:p>
            <w:pPr>
              <w:spacing w:after="30" w:before="30" w:line="230"/>
            </w:pPr>
            <w:r>
              <w:rPr>
                <w:b/>
                <w:bCs/>
                <w:color w:val="B00020"/>
                <w:sz w:val="18"/>
                <w:szCs w:val="18"/>
              </w:rPr>
              <w:t xml:space="preserve">CRITICAL</w:t>
            </w:r>
          </w:p>
        </w:tc>
        <w:tc>
          <w:tcPr>
            <w:tcW w:type="dxa" w:w="1750"/>
            <w:tcMar>
              <w:top w:type="dxa" w:w="50"/>
              <w:left w:type="dxa" w:w="90"/>
              <w:bottom w:type="dxa" w:w="50"/>
              <w:right w:type="dxa" w:w="90"/>
            </w:tcMar>
          </w:tcPr>
          <w:p>
            <w:pPr>
              <w:spacing w:after="30" w:before="30" w:line="230"/>
            </w:pPr>
            <w:r>
              <w:rPr>
                <w:b/>
                <w:bCs/>
                <w:color w:val="000000"/>
                <w:sz w:val="18"/>
                <w:szCs w:val="18"/>
              </w:rPr>
              <w:t xml:space="preserve">Batch size</w:t>
            </w:r>
          </w:p>
        </w:tc>
        <w:tc>
          <w:tcPr>
            <w:tcW w:type="dxa" w:w="6220"/>
            <w:tcMar>
              <w:top w:type="dxa" w:w="50"/>
              <w:left w:type="dxa" w:w="90"/>
              <w:bottom w:type="dxa" w:w="50"/>
              <w:right w:type="dxa" w:w="90"/>
            </w:tcMar>
          </w:tcPr>
          <w:p>
            <w:pPr>
              <w:spacing w:after="30" w:before="30" w:line="230"/>
            </w:pPr>
            <w:r>
              <w:rPr>
                <w:b w:val="false"/>
                <w:bCs w:val="false"/>
                <w:color w:val="000000"/>
                <w:sz w:val="18"/>
                <w:szCs w:val="18"/>
              </w:rPr>
              <w:t xml:space="preserve">231 ICSRs in one file. UMC recommends a maximum of 100 ICSRs per XML file for system performance. Split into at least three files (100 / 100 / 31).</w:t>
            </w:r>
          </w:p>
        </w:tc>
      </w:tr>
      <w:tr>
        <w:tc>
          <w:tcPr>
            <w:tcW w:type="dxa" w:w="1050"/>
            <w:shd w:fill="F2F4F8" w:color="auto" w:val="clear"/>
            <w:tcMar>
              <w:top w:type="dxa" w:w="50"/>
              <w:left w:type="dxa" w:w="90"/>
              <w:bottom w:type="dxa" w:w="50"/>
              <w:right w:type="dxa" w:w="90"/>
            </w:tcMar>
          </w:tcPr>
          <w:p>
            <w:pPr>
              <w:spacing w:after="30" w:before="30" w:line="230"/>
            </w:pPr>
            <w:r>
              <w:rPr>
                <w:b/>
                <w:bCs/>
                <w:color w:val="B00020"/>
                <w:sz w:val="18"/>
                <w:szCs w:val="18"/>
              </w:rPr>
              <w:t xml:space="preserve">CRITICAL</w:t>
            </w:r>
          </w:p>
        </w:tc>
        <w:tc>
          <w:tcPr>
            <w:tcW w:type="dxa" w:w="1750"/>
            <w:shd w:fill="F2F4F8" w:color="auto" w:val="clear"/>
            <w:tcMar>
              <w:top w:type="dxa" w:w="50"/>
              <w:left w:type="dxa" w:w="90"/>
              <w:bottom w:type="dxa" w:w="50"/>
              <w:right w:type="dxa" w:w="90"/>
            </w:tcMar>
          </w:tcPr>
          <w:p>
            <w:pPr>
              <w:spacing w:after="30" w:before="30" w:line="230"/>
            </w:pPr>
            <w:r>
              <w:rPr>
                <w:b/>
                <w:bCs/>
                <w:color w:val="000000"/>
                <w:sz w:val="18"/>
                <w:szCs w:val="18"/>
              </w:rPr>
              <w:t xml:space="preserve">Message model / schema</w:t>
            </w:r>
          </w:p>
        </w:tc>
        <w:tc>
          <w:tcPr>
            <w:tcW w:type="dxa" w:w="62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Root and case structure are custom / R2-like (&lt;ichicsr&gt;, &lt;safetyreport&gt;) while the file declares release R3. E2B(R3) uses the ICH-constrained ISO/HL7 27953-2 ICSR schema and namespaces.</w:t>
            </w:r>
          </w:p>
        </w:tc>
      </w:tr>
      <w:tr>
        <w:tc>
          <w:tcPr>
            <w:tcW w:type="dxa" w:w="1050"/>
            <w:tcMar>
              <w:top w:type="dxa" w:w="50"/>
              <w:left w:type="dxa" w:w="90"/>
              <w:bottom w:type="dxa" w:w="50"/>
              <w:right w:type="dxa" w:w="90"/>
            </w:tcMar>
          </w:tcPr>
          <w:p>
            <w:pPr>
              <w:spacing w:after="30" w:before="30" w:line="230"/>
            </w:pPr>
            <w:r>
              <w:rPr>
                <w:b/>
                <w:bCs/>
                <w:color w:val="B00020"/>
                <w:sz w:val="18"/>
                <w:szCs w:val="18"/>
              </w:rPr>
              <w:t xml:space="preserve">CRITICAL</w:t>
            </w:r>
          </w:p>
        </w:tc>
        <w:tc>
          <w:tcPr>
            <w:tcW w:type="dxa" w:w="1750"/>
            <w:tcMar>
              <w:top w:type="dxa" w:w="50"/>
              <w:left w:type="dxa" w:w="90"/>
              <w:bottom w:type="dxa" w:w="50"/>
              <w:right w:type="dxa" w:w="90"/>
            </w:tcMar>
          </w:tcPr>
          <w:p>
            <w:pPr>
              <w:spacing w:after="30" w:before="30" w:line="230"/>
            </w:pPr>
            <w:r>
              <w:rPr>
                <w:b/>
                <w:bCs/>
                <w:color w:val="000000"/>
                <w:sz w:val="18"/>
                <w:szCs w:val="18"/>
              </w:rPr>
              <w:t xml:space="preserve">Validated-import minimum content</w:t>
            </w:r>
          </w:p>
        </w:tc>
        <w:tc>
          <w:tcPr>
            <w:tcW w:type="dxa" w:w="6220"/>
            <w:tcMar>
              <w:top w:type="dxa" w:w="50"/>
              <w:left w:type="dxa" w:w="90"/>
              <w:bottom w:type="dxa" w:w="50"/>
              <w:right w:type="dxa" w:w="90"/>
            </w:tcMar>
          </w:tcPr>
          <w:p>
            <w:pPr>
              <w:spacing w:after="30" w:before="30" w:line="230"/>
            </w:pPr>
            <w:r>
              <w:rPr>
                <w:b w:val="false"/>
                <w:bCs w:val="false"/>
                <w:color w:val="000000"/>
                <w:sz w:val="18"/>
                <w:szCs w:val="18"/>
              </w:rPr>
              <w:t xml:space="preserve">No case carries a structured report type or a structured reporter identifier/qualification. VigiFlow validated import also requires a patient identifier, at least one MedDRA-coded reaction and at least one suspect drug.</w:t>
            </w:r>
          </w:p>
        </w:tc>
      </w:tr>
      <w:tr>
        <w:tc>
          <w:tcPr>
            <w:tcW w:type="dxa" w:w="1050"/>
            <w:shd w:fill="F2F4F8" w:color="auto" w:val="clear"/>
            <w:tcMar>
              <w:top w:type="dxa" w:w="50"/>
              <w:left w:type="dxa" w:w="90"/>
              <w:bottom w:type="dxa" w:w="50"/>
              <w:right w:type="dxa" w:w="90"/>
            </w:tcMar>
          </w:tcPr>
          <w:p>
            <w:pPr>
              <w:spacing w:after="30" w:before="30" w:line="230"/>
            </w:pPr>
            <w:r>
              <w:rPr>
                <w:b/>
                <w:bCs/>
                <w:color w:val="B00020"/>
                <w:sz w:val="18"/>
                <w:szCs w:val="18"/>
              </w:rPr>
              <w:t xml:space="preserve">CRITICAL</w:t>
            </w:r>
          </w:p>
        </w:tc>
        <w:tc>
          <w:tcPr>
            <w:tcW w:type="dxa" w:w="1750"/>
            <w:shd w:fill="F2F4F8" w:color="auto" w:val="clear"/>
            <w:tcMar>
              <w:top w:type="dxa" w:w="50"/>
              <w:left w:type="dxa" w:w="90"/>
              <w:bottom w:type="dxa" w:w="50"/>
              <w:right w:type="dxa" w:w="90"/>
            </w:tcMar>
          </w:tcPr>
          <w:p>
            <w:pPr>
              <w:spacing w:after="30" w:before="30" w:line="230"/>
            </w:pPr>
            <w:r>
              <w:rPr>
                <w:b/>
                <w:bCs/>
                <w:color w:val="000000"/>
                <w:sz w:val="18"/>
                <w:szCs w:val="18"/>
              </w:rPr>
              <w:t xml:space="preserve">Reaction coding</w:t>
            </w:r>
          </w:p>
        </w:tc>
        <w:tc>
          <w:tcPr>
            <w:tcW w:type="dxa" w:w="62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reactionmeddrapt_verbatim holds values such as 19, 8, 4 and 11 — source codes, not MedDRA terms. 13 cases have the field blank.</w:t>
            </w:r>
          </w:p>
        </w:tc>
      </w:tr>
      <w:tr>
        <w:tc>
          <w:tcPr>
            <w:tcW w:type="dxa" w:w="1050"/>
            <w:tcMar>
              <w:top w:type="dxa" w:w="50"/>
              <w:left w:type="dxa" w:w="90"/>
              <w:bottom w:type="dxa" w:w="50"/>
              <w:right w:type="dxa" w:w="90"/>
            </w:tcMar>
          </w:tcPr>
          <w:p>
            <w:pPr>
              <w:spacing w:after="30" w:before="30" w:line="230"/>
            </w:pPr>
            <w:r>
              <w:rPr>
                <w:b/>
                <w:bCs/>
                <w:color w:val="B35C00"/>
                <w:sz w:val="18"/>
                <w:szCs w:val="18"/>
              </w:rPr>
              <w:t xml:space="preserve">HIGH</w:t>
            </w:r>
          </w:p>
        </w:tc>
        <w:tc>
          <w:tcPr>
            <w:tcW w:type="dxa" w:w="1750"/>
            <w:tcMar>
              <w:top w:type="dxa" w:w="50"/>
              <w:left w:type="dxa" w:w="90"/>
              <w:bottom w:type="dxa" w:w="50"/>
              <w:right w:type="dxa" w:w="90"/>
            </w:tcMar>
          </w:tcPr>
          <w:p>
            <w:pPr>
              <w:spacing w:after="30" w:before="30" w:line="230"/>
            </w:pPr>
            <w:r>
              <w:rPr>
                <w:b/>
                <w:bCs/>
                <w:color w:val="000000"/>
                <w:sz w:val="18"/>
                <w:szCs w:val="18"/>
              </w:rPr>
              <w:t xml:space="preserve">Drug completeness</w:t>
            </w:r>
          </w:p>
        </w:tc>
        <w:tc>
          <w:tcPr>
            <w:tcW w:type="dxa" w:w="6220"/>
            <w:tcMar>
              <w:top w:type="dxa" w:w="50"/>
              <w:left w:type="dxa" w:w="90"/>
              <w:bottom w:type="dxa" w:w="50"/>
              <w:right w:type="dxa" w:w="90"/>
            </w:tcMar>
          </w:tcPr>
          <w:p>
            <w:pPr>
              <w:spacing w:after="30" w:before="30" w:line="230"/>
            </w:pPr>
            <w:r>
              <w:rPr>
                <w:b w:val="false"/>
                <w:bCs w:val="false"/>
                <w:color w:val="000000"/>
                <w:sz w:val="18"/>
                <w:szCs w:val="18"/>
              </w:rPr>
              <w:t xml:space="preserve">2 cases carry no medicinal product. A valid ICSR needs at least one suspect or interacting drug.</w:t>
            </w:r>
          </w:p>
        </w:tc>
      </w:tr>
      <w:tr>
        <w:tc>
          <w:tcPr>
            <w:tcW w:type="dxa" w:w="1050"/>
            <w:shd w:fill="F2F4F8" w:color="auto" w:val="clear"/>
            <w:tcMar>
              <w:top w:type="dxa" w:w="50"/>
              <w:left w:type="dxa" w:w="90"/>
              <w:bottom w:type="dxa" w:w="50"/>
              <w:right w:type="dxa" w:w="90"/>
            </w:tcMar>
          </w:tcPr>
          <w:p>
            <w:pPr>
              <w:spacing w:after="30" w:before="30" w:line="230"/>
            </w:pPr>
            <w:r>
              <w:rPr>
                <w:b/>
                <w:bCs/>
                <w:color w:val="B35C00"/>
                <w:sz w:val="18"/>
                <w:szCs w:val="18"/>
              </w:rPr>
              <w:t xml:space="preserve">HIGH</w:t>
            </w:r>
          </w:p>
        </w:tc>
        <w:tc>
          <w:tcPr>
            <w:tcW w:type="dxa" w:w="1750"/>
            <w:shd w:fill="F2F4F8" w:color="auto" w:val="clear"/>
            <w:tcMar>
              <w:top w:type="dxa" w:w="50"/>
              <w:left w:type="dxa" w:w="90"/>
              <w:bottom w:type="dxa" w:w="50"/>
              <w:right w:type="dxa" w:w="90"/>
            </w:tcMar>
          </w:tcPr>
          <w:p>
            <w:pPr>
              <w:spacing w:after="30" w:before="30" w:line="230"/>
            </w:pPr>
            <w:r>
              <w:rPr>
                <w:b/>
                <w:bCs/>
                <w:color w:val="000000"/>
                <w:sz w:val="18"/>
                <w:szCs w:val="18"/>
              </w:rPr>
              <w:t xml:space="preserve">Transmission header / date</w:t>
            </w:r>
          </w:p>
        </w:tc>
        <w:tc>
          <w:tcPr>
            <w:tcW w:type="dxa" w:w="62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The header declares messageformatversion 2.1 and messageformatrelease R3 simultaneously. The timestamp 20260909T12355 is malformed and must not carry into an R3 implementation.</w:t>
            </w:r>
          </w:p>
        </w:tc>
      </w:tr>
      <w:tr>
        <w:tc>
          <w:tcPr>
            <w:tcW w:type="dxa" w:w="1050"/>
            <w:tcMar>
              <w:top w:type="dxa" w:w="50"/>
              <w:left w:type="dxa" w:w="90"/>
              <w:bottom w:type="dxa" w:w="50"/>
              <w:right w:type="dxa" w:w="90"/>
            </w:tcMar>
          </w:tcPr>
          <w:p>
            <w:pPr>
              <w:spacing w:after="30" w:before="30" w:line="230"/>
            </w:pPr>
            <w:r>
              <w:rPr>
                <w:b/>
                <w:bCs/>
                <w:color w:val="B35C00"/>
                <w:sz w:val="18"/>
                <w:szCs w:val="18"/>
              </w:rPr>
              <w:t xml:space="preserve">HIGH</w:t>
            </w:r>
          </w:p>
        </w:tc>
        <w:tc>
          <w:tcPr>
            <w:tcW w:type="dxa" w:w="1750"/>
            <w:tcMar>
              <w:top w:type="dxa" w:w="50"/>
              <w:left w:type="dxa" w:w="90"/>
              <w:bottom w:type="dxa" w:w="50"/>
              <w:right w:type="dxa" w:w="90"/>
            </w:tcMar>
          </w:tcPr>
          <w:p>
            <w:pPr>
              <w:spacing w:after="30" w:before="30" w:line="230"/>
            </w:pPr>
            <w:r>
              <w:rPr>
                <w:b/>
                <w:bCs/>
                <w:color w:val="000000"/>
                <w:sz w:val="18"/>
                <w:szCs w:val="18"/>
              </w:rPr>
              <w:t xml:space="preserve">Patient confidentiality</w:t>
            </w:r>
          </w:p>
        </w:tc>
        <w:tc>
          <w:tcPr>
            <w:tcW w:type="dxa" w:w="6220"/>
            <w:tcMar>
              <w:top w:type="dxa" w:w="50"/>
              <w:left w:type="dxa" w:w="90"/>
              <w:bottom w:type="dxa" w:w="50"/>
              <w:right w:type="dxa" w:w="90"/>
            </w:tcMar>
          </w:tcPr>
          <w:p>
            <w:pPr>
              <w:spacing w:after="30" w:before="30" w:line="230"/>
            </w:pPr>
            <w:r>
              <w:rPr>
                <w:b w:val="false"/>
                <w:bCs w:val="false"/>
                <w:color w:val="000000"/>
                <w:sz w:val="18"/>
                <w:szCs w:val="18"/>
              </w:rPr>
              <w:t xml:space="preserve">patientinitials contains full patient names. See decision D1.</w:t>
            </w:r>
          </w:p>
        </w:tc>
      </w:tr>
      <w:tr>
        <w:tc>
          <w:tcPr>
            <w:tcW w:type="dxa" w:w="1050"/>
            <w:shd w:fill="F2F4F8" w:color="auto" w:val="clear"/>
            <w:tcMar>
              <w:top w:type="dxa" w:w="50"/>
              <w:left w:type="dxa" w:w="90"/>
              <w:bottom w:type="dxa" w:w="50"/>
              <w:right w:type="dxa" w:w="90"/>
            </w:tcMar>
          </w:tcPr>
          <w:p>
            <w:pPr>
              <w:spacing w:after="30" w:before="30" w:line="230"/>
            </w:pPr>
            <w:r>
              <w:rPr>
                <w:b/>
                <w:bCs/>
                <w:color w:val="6B6B00"/>
                <w:sz w:val="18"/>
                <w:szCs w:val="18"/>
              </w:rPr>
              <w:t xml:space="preserve">MEDIUM</w:t>
            </w:r>
          </w:p>
        </w:tc>
        <w:tc>
          <w:tcPr>
            <w:tcW w:type="dxa" w:w="1750"/>
            <w:shd w:fill="F2F4F8" w:color="auto" w:val="clear"/>
            <w:tcMar>
              <w:top w:type="dxa" w:w="50"/>
              <w:left w:type="dxa" w:w="90"/>
              <w:bottom w:type="dxa" w:w="50"/>
              <w:right w:type="dxa" w:w="90"/>
            </w:tcMar>
          </w:tcPr>
          <w:p>
            <w:pPr>
              <w:spacing w:after="30" w:before="30" w:line="230"/>
            </w:pPr>
            <w:r>
              <w:rPr>
                <w:b/>
                <w:bCs/>
                <w:color w:val="000000"/>
                <w:sz w:val="18"/>
                <w:szCs w:val="18"/>
              </w:rPr>
              <w:t xml:space="preserve">Reaction date and outcome</w:t>
            </w:r>
          </w:p>
        </w:tc>
        <w:tc>
          <w:tcPr>
            <w:tcW w:type="dxa" w:w="62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All 231 reaction start dates are empty; 43 outcomes are empty. In R3 an optional element with no value must be omitted from the XML entirely, not emitted as an empty tag.</w:t>
            </w:r>
          </w:p>
        </w:tc>
      </w:tr>
    </w:tbl>
    <w:p>
      <w:pPr>
        <w:pStyle w:val="Heading2"/>
        <w:spacing w:after="100" w:before="220"/>
      </w:pPr>
      <w:r>
        <w:rPr>
          <w:b/>
          <w:bCs/>
          <w:color w:val="2E4A7D"/>
          <w:sz w:val="21"/>
          <w:szCs w:val="21"/>
        </w:rPr>
        <w:t xml:space="preserve">File findings</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3100"/>
        <w:gridCol w:w="900"/>
        <w:gridCol w:w="5020"/>
      </w:tblGrid>
      <w:tr>
        <w:trPr>
          <w:tblHeader/>
        </w:trPr>
        <w:tc>
          <w:tcPr>
            <w:tcW w:type="dxa" w:w="3100"/>
            <w:shd w:fill="1F3864" w:color="auto" w:val="clear"/>
            <w:tcMar>
              <w:top w:type="dxa" w:w="50"/>
              <w:left w:type="dxa" w:w="90"/>
              <w:bottom w:type="dxa" w:w="50"/>
              <w:right w:type="dxa" w:w="90"/>
            </w:tcMar>
          </w:tcPr>
          <w:p>
            <w:pPr>
              <w:spacing w:after="30" w:before="30" w:line="230"/>
            </w:pPr>
            <w:r>
              <w:rPr>
                <w:b/>
                <w:bCs/>
                <w:color w:val="FFFFFF"/>
                <w:sz w:val="18"/>
                <w:szCs w:val="18"/>
              </w:rPr>
              <w:t xml:space="preserve">Metric</w:t>
            </w:r>
          </w:p>
        </w:tc>
        <w:tc>
          <w:tcPr>
            <w:tcW w:type="dxa" w:w="900"/>
            <w:shd w:fill="1F3864" w:color="auto" w:val="clear"/>
            <w:tcMar>
              <w:top w:type="dxa" w:w="50"/>
              <w:left w:type="dxa" w:w="90"/>
              <w:bottom w:type="dxa" w:w="50"/>
              <w:right w:type="dxa" w:w="90"/>
            </w:tcMar>
          </w:tcPr>
          <w:p>
            <w:pPr>
              <w:spacing w:after="30" w:before="30" w:line="230"/>
            </w:pPr>
            <w:r>
              <w:rPr>
                <w:b/>
                <w:bCs/>
                <w:color w:val="FFFFFF"/>
                <w:sz w:val="18"/>
                <w:szCs w:val="18"/>
              </w:rPr>
              <w:t xml:space="preserve">Count</w:t>
            </w:r>
          </w:p>
        </w:tc>
        <w:tc>
          <w:tcPr>
            <w:tcW w:type="dxa" w:w="5020"/>
            <w:shd w:fill="1F3864" w:color="auto" w:val="clear"/>
            <w:tcMar>
              <w:top w:type="dxa" w:w="50"/>
              <w:left w:type="dxa" w:w="90"/>
              <w:bottom w:type="dxa" w:w="50"/>
              <w:right w:type="dxa" w:w="90"/>
            </w:tcMar>
          </w:tcPr>
          <w:p>
            <w:pPr>
              <w:spacing w:after="30" w:before="30" w:line="230"/>
            </w:pPr>
            <w:r>
              <w:rPr>
                <w:b/>
                <w:bCs/>
                <w:color w:val="FFFFFF"/>
                <w:sz w:val="18"/>
                <w:szCs w:val="18"/>
              </w:rPr>
              <w:t xml:space="preserve">Detail</w:t>
            </w:r>
          </w:p>
        </w:tc>
      </w:tr>
      <w:tr>
        <w:tc>
          <w:tcPr>
            <w:tcW w:type="dxa" w:w="3100"/>
            <w:tcMar>
              <w:top w:type="dxa" w:w="50"/>
              <w:left w:type="dxa" w:w="90"/>
              <w:bottom w:type="dxa" w:w="50"/>
              <w:right w:type="dxa" w:w="90"/>
            </w:tcMar>
          </w:tcPr>
          <w:p>
            <w:pPr>
              <w:spacing w:after="30" w:before="30" w:line="230"/>
            </w:pPr>
            <w:r>
              <w:rPr>
                <w:b/>
                <w:bCs/>
                <w:color w:val="000000"/>
                <w:sz w:val="18"/>
                <w:szCs w:val="18"/>
              </w:rPr>
              <w:t xml:space="preserve">ICSRs in XML</w:t>
            </w:r>
          </w:p>
        </w:tc>
        <w:tc>
          <w:tcPr>
            <w:tcW w:type="dxa" w:w="900"/>
            <w:tcMar>
              <w:top w:type="dxa" w:w="50"/>
              <w:left w:type="dxa" w:w="90"/>
              <w:bottom w:type="dxa" w:w="50"/>
              <w:right w:type="dxa" w:w="90"/>
            </w:tcMar>
          </w:tcPr>
          <w:p>
            <w:pPr>
              <w:spacing w:after="30" w:before="30" w:line="230"/>
            </w:pPr>
            <w:r>
              <w:rPr>
                <w:b w:val="false"/>
                <w:bCs w:val="false"/>
                <w:color w:val="000000"/>
                <w:sz w:val="18"/>
                <w:szCs w:val="18"/>
              </w:rPr>
              <w:t xml:space="preserve">231</w:t>
            </w:r>
          </w:p>
        </w:tc>
        <w:tc>
          <w:tcPr>
            <w:tcW w:type="dxa" w:w="5020"/>
            <w:tcMar>
              <w:top w:type="dxa" w:w="50"/>
              <w:left w:type="dxa" w:w="90"/>
              <w:bottom w:type="dxa" w:w="50"/>
              <w:right w:type="dxa" w:w="90"/>
            </w:tcMar>
          </w:tcPr>
          <w:p>
            <w:pPr>
              <w:spacing w:after="30" w:before="30" w:line="230"/>
            </w:pPr>
            <w:r>
              <w:rPr>
                <w:b w:val="false"/>
                <w:bCs w:val="false"/>
                <w:color w:val="000000"/>
                <w:sz w:val="18"/>
                <w:szCs w:val="18"/>
              </w:rPr>
              <w:t xml:space="preserve">Exceeds the recommended 100 per file</w:t>
            </w:r>
          </w:p>
        </w:tc>
      </w:tr>
      <w:tr>
        <w:tc>
          <w:tcPr>
            <w:tcW w:type="dxa" w:w="3100"/>
            <w:shd w:fill="F2F4F8" w:color="auto" w:val="clear"/>
            <w:tcMar>
              <w:top w:type="dxa" w:w="50"/>
              <w:left w:type="dxa" w:w="90"/>
              <w:bottom w:type="dxa" w:w="50"/>
              <w:right w:type="dxa" w:w="90"/>
            </w:tcMar>
          </w:tcPr>
          <w:p>
            <w:pPr>
              <w:spacing w:after="30" w:before="30" w:line="230"/>
            </w:pPr>
            <w:r>
              <w:rPr>
                <w:b/>
                <w:bCs/>
                <w:color w:val="000000"/>
                <w:sz w:val="18"/>
                <w:szCs w:val="18"/>
              </w:rPr>
              <w:t xml:space="preserve">Missing patient identifier</w:t>
            </w:r>
          </w:p>
        </w:tc>
        <w:tc>
          <w:tcPr>
            <w:tcW w:type="dxa" w:w="90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0</w:t>
            </w:r>
          </w:p>
        </w:tc>
        <w:tc>
          <w:tcPr>
            <w:tcW w:type="dxa" w:w="50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No blank patientinitials found</w:t>
            </w:r>
          </w:p>
        </w:tc>
      </w:tr>
      <w:tr>
        <w:tc>
          <w:tcPr>
            <w:tcW w:type="dxa" w:w="3100"/>
            <w:tcMar>
              <w:top w:type="dxa" w:w="50"/>
              <w:left w:type="dxa" w:w="90"/>
              <w:bottom w:type="dxa" w:w="50"/>
              <w:right w:type="dxa" w:w="90"/>
            </w:tcMar>
          </w:tcPr>
          <w:p>
            <w:pPr>
              <w:spacing w:after="30" w:before="30" w:line="230"/>
            </w:pPr>
            <w:r>
              <w:rPr>
                <w:b/>
                <w:bCs/>
                <w:color w:val="000000"/>
                <w:sz w:val="18"/>
                <w:szCs w:val="18"/>
              </w:rPr>
              <w:t xml:space="preserve">Missing medicinal product</w:t>
            </w:r>
          </w:p>
        </w:tc>
        <w:tc>
          <w:tcPr>
            <w:tcW w:type="dxa" w:w="900"/>
            <w:tcMar>
              <w:top w:type="dxa" w:w="50"/>
              <w:left w:type="dxa" w:w="90"/>
              <w:bottom w:type="dxa" w:w="50"/>
              <w:right w:type="dxa" w:w="90"/>
            </w:tcMar>
          </w:tcPr>
          <w:p>
            <w:pPr>
              <w:spacing w:after="30" w:before="30" w:line="230"/>
            </w:pPr>
            <w:r>
              <w:rPr>
                <w:b w:val="false"/>
                <w:bCs w:val="false"/>
                <w:color w:val="000000"/>
                <w:sz w:val="18"/>
                <w:szCs w:val="18"/>
              </w:rPr>
              <w:t xml:space="preserve">2</w:t>
            </w:r>
          </w:p>
        </w:tc>
        <w:tc>
          <w:tcPr>
            <w:tcW w:type="dxa" w:w="5020"/>
            <w:tcMar>
              <w:top w:type="dxa" w:w="50"/>
              <w:left w:type="dxa" w:w="90"/>
              <w:bottom w:type="dxa" w:w="50"/>
              <w:right w:type="dxa" w:w="90"/>
            </w:tcMar>
          </w:tcPr>
          <w:p>
            <w:pPr>
              <w:spacing w:after="30" w:before="30" w:line="230"/>
            </w:pPr>
            <w:r>
              <w:rPr>
                <w:b w:val="false"/>
                <w:bCs w:val="false"/>
                <w:color w:val="000000"/>
                <w:sz w:val="18"/>
                <w:szCs w:val="18"/>
              </w:rPr>
              <w:t xml:space="preserve">Cases 112, 116</w:t>
            </w:r>
          </w:p>
        </w:tc>
      </w:tr>
      <w:tr>
        <w:tc>
          <w:tcPr>
            <w:tcW w:type="dxa" w:w="3100"/>
            <w:shd w:fill="F2F4F8" w:color="auto" w:val="clear"/>
            <w:tcMar>
              <w:top w:type="dxa" w:w="50"/>
              <w:left w:type="dxa" w:w="90"/>
              <w:bottom w:type="dxa" w:w="50"/>
              <w:right w:type="dxa" w:w="90"/>
            </w:tcMar>
          </w:tcPr>
          <w:p>
            <w:pPr>
              <w:spacing w:after="30" w:before="30" w:line="230"/>
            </w:pPr>
            <w:r>
              <w:rPr>
                <w:b/>
                <w:bCs/>
                <w:color w:val="000000"/>
                <w:sz w:val="18"/>
                <w:szCs w:val="18"/>
              </w:rPr>
              <w:t xml:space="preserve">Missing reaction value</w:t>
            </w:r>
          </w:p>
        </w:tc>
        <w:tc>
          <w:tcPr>
            <w:tcW w:type="dxa" w:w="90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13</w:t>
            </w:r>
          </w:p>
        </w:tc>
        <w:tc>
          <w:tcPr>
            <w:tcW w:type="dxa" w:w="50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Cases 219–231</w:t>
            </w:r>
          </w:p>
        </w:tc>
      </w:tr>
      <w:tr>
        <w:tc>
          <w:tcPr>
            <w:tcW w:type="dxa" w:w="3100"/>
            <w:tcMar>
              <w:top w:type="dxa" w:w="50"/>
              <w:left w:type="dxa" w:w="90"/>
              <w:bottom w:type="dxa" w:w="50"/>
              <w:right w:type="dxa" w:w="90"/>
            </w:tcMar>
          </w:tcPr>
          <w:p>
            <w:pPr>
              <w:spacing w:after="30" w:before="30" w:line="230"/>
            </w:pPr>
            <w:r>
              <w:rPr>
                <w:b/>
                <w:bCs/>
                <w:color w:val="000000"/>
                <w:sz w:val="18"/>
                <w:szCs w:val="18"/>
              </w:rPr>
              <w:t xml:space="preserve">Missing reaction start date</w:t>
            </w:r>
          </w:p>
        </w:tc>
        <w:tc>
          <w:tcPr>
            <w:tcW w:type="dxa" w:w="900"/>
            <w:tcMar>
              <w:top w:type="dxa" w:w="50"/>
              <w:left w:type="dxa" w:w="90"/>
              <w:bottom w:type="dxa" w:w="50"/>
              <w:right w:type="dxa" w:w="90"/>
            </w:tcMar>
          </w:tcPr>
          <w:p>
            <w:pPr>
              <w:spacing w:after="30" w:before="30" w:line="230"/>
            </w:pPr>
            <w:r>
              <w:rPr>
                <w:b w:val="false"/>
                <w:bCs w:val="false"/>
                <w:color w:val="000000"/>
                <w:sz w:val="18"/>
                <w:szCs w:val="18"/>
              </w:rPr>
              <w:t xml:space="preserve">231</w:t>
            </w:r>
          </w:p>
        </w:tc>
        <w:tc>
          <w:tcPr>
            <w:tcW w:type="dxa" w:w="5020"/>
            <w:tcMar>
              <w:top w:type="dxa" w:w="50"/>
              <w:left w:type="dxa" w:w="90"/>
              <w:bottom w:type="dxa" w:w="50"/>
              <w:right w:type="dxa" w:w="90"/>
            </w:tcMar>
          </w:tcPr>
          <w:p>
            <w:pPr>
              <w:spacing w:after="30" w:before="30" w:line="230"/>
            </w:pPr>
            <w:r>
              <w:rPr>
                <w:b w:val="false"/>
                <w:bCs w:val="false"/>
                <w:color w:val="000000"/>
                <w:sz w:val="18"/>
                <w:szCs w:val="18"/>
              </w:rPr>
              <w:t xml:space="preserve">All cases</w:t>
            </w:r>
          </w:p>
        </w:tc>
      </w:tr>
      <w:tr>
        <w:tc>
          <w:tcPr>
            <w:tcW w:type="dxa" w:w="3100"/>
            <w:shd w:fill="F2F4F8" w:color="auto" w:val="clear"/>
            <w:tcMar>
              <w:top w:type="dxa" w:w="50"/>
              <w:left w:type="dxa" w:w="90"/>
              <w:bottom w:type="dxa" w:w="50"/>
              <w:right w:type="dxa" w:w="90"/>
            </w:tcMar>
          </w:tcPr>
          <w:p>
            <w:pPr>
              <w:spacing w:after="30" w:before="30" w:line="230"/>
            </w:pPr>
            <w:r>
              <w:rPr>
                <w:b/>
                <w:bCs/>
                <w:color w:val="000000"/>
                <w:sz w:val="18"/>
                <w:szCs w:val="18"/>
              </w:rPr>
              <w:t xml:space="preserve">Missing reaction outcome</w:t>
            </w:r>
          </w:p>
        </w:tc>
        <w:tc>
          <w:tcPr>
            <w:tcW w:type="dxa" w:w="90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43</w:t>
            </w:r>
          </w:p>
        </w:tc>
        <w:tc>
          <w:tcPr>
            <w:tcW w:type="dxa" w:w="50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Cases 63–71, 174–191, 216–231</w:t>
            </w:r>
          </w:p>
        </w:tc>
      </w:tr>
      <w:tr>
        <w:tc>
          <w:tcPr>
            <w:tcW w:type="dxa" w:w="3100"/>
            <w:tcMar>
              <w:top w:type="dxa" w:w="50"/>
              <w:left w:type="dxa" w:w="90"/>
              <w:bottom w:type="dxa" w:w="50"/>
              <w:right w:type="dxa" w:w="90"/>
            </w:tcMar>
          </w:tcPr>
          <w:p>
            <w:pPr>
              <w:spacing w:after="30" w:before="30" w:line="230"/>
            </w:pPr>
            <w:r>
              <w:rPr>
                <w:b/>
                <w:bCs/>
                <w:color w:val="000000"/>
                <w:sz w:val="18"/>
                <w:szCs w:val="18"/>
              </w:rPr>
              <w:t xml:space="preserve">Marked NON SERIOUS</w:t>
            </w:r>
          </w:p>
        </w:tc>
        <w:tc>
          <w:tcPr>
            <w:tcW w:type="dxa" w:w="900"/>
            <w:tcMar>
              <w:top w:type="dxa" w:w="50"/>
              <w:left w:type="dxa" w:w="90"/>
              <w:bottom w:type="dxa" w:w="50"/>
              <w:right w:type="dxa" w:w="90"/>
            </w:tcMar>
          </w:tcPr>
          <w:p>
            <w:pPr>
              <w:spacing w:after="30" w:before="30" w:line="230"/>
            </w:pPr>
            <w:r>
              <w:rPr>
                <w:b w:val="false"/>
                <w:bCs w:val="false"/>
                <w:color w:val="000000"/>
                <w:sz w:val="18"/>
                <w:szCs w:val="18"/>
              </w:rPr>
              <w:t xml:space="preserve">231</w:t>
            </w:r>
          </w:p>
        </w:tc>
        <w:tc>
          <w:tcPr>
            <w:tcW w:type="dxa" w:w="5020"/>
            <w:tcMar>
              <w:top w:type="dxa" w:w="50"/>
              <w:left w:type="dxa" w:w="90"/>
              <w:bottom w:type="dxa" w:w="50"/>
              <w:right w:type="dxa" w:w="90"/>
            </w:tcMar>
          </w:tcPr>
          <w:p>
            <w:pPr>
              <w:spacing w:after="30" w:before="30" w:line="230"/>
            </w:pPr>
            <w:r>
              <w:rPr>
                <w:b w:val="false"/>
                <w:bCs w:val="false"/>
                <w:color w:val="000000"/>
                <w:sz w:val="18"/>
                <w:szCs w:val="18"/>
              </w:rPr>
              <w:t xml:space="preserve">All cases; currently free text</w:t>
            </w:r>
          </w:p>
        </w:tc>
      </w:tr>
      <w:tr>
        <w:tc>
          <w:tcPr>
            <w:tcW w:type="dxa" w:w="3100"/>
            <w:shd w:fill="F2F4F8" w:color="auto" w:val="clear"/>
            <w:tcMar>
              <w:top w:type="dxa" w:w="50"/>
              <w:left w:type="dxa" w:w="90"/>
              <w:bottom w:type="dxa" w:w="50"/>
              <w:right w:type="dxa" w:w="90"/>
            </w:tcMar>
          </w:tcPr>
          <w:p>
            <w:pPr>
              <w:spacing w:after="30" w:before="30" w:line="230"/>
            </w:pPr>
            <w:r>
              <w:rPr>
                <w:b/>
                <w:bCs/>
                <w:color w:val="000000"/>
                <w:sz w:val="18"/>
                <w:szCs w:val="18"/>
              </w:rPr>
              <w:t xml:space="preserve">Distinct reaction source values</w:t>
            </w:r>
          </w:p>
        </w:tc>
        <w:tc>
          <w:tcPr>
            <w:tcW w:type="dxa" w:w="90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39</w:t>
            </w:r>
          </w:p>
        </w:tc>
        <w:tc>
          <w:tcPr>
            <w:tcW w:type="dxa" w:w="50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Includes blanks and numeric / multi-value source codes</w:t>
            </w:r>
          </w:p>
        </w:tc>
      </w:tr>
      <w:tr>
        <w:tc>
          <w:tcPr>
            <w:tcW w:type="dxa" w:w="3100"/>
            <w:tcMar>
              <w:top w:type="dxa" w:w="50"/>
              <w:left w:type="dxa" w:w="90"/>
              <w:bottom w:type="dxa" w:w="50"/>
              <w:right w:type="dxa" w:w="90"/>
            </w:tcMar>
          </w:tcPr>
          <w:p>
            <w:pPr>
              <w:spacing w:after="30" w:before="30" w:line="230"/>
            </w:pPr>
            <w:r>
              <w:rPr>
                <w:b/>
                <w:bCs/>
                <w:color w:val="000000"/>
                <w:sz w:val="18"/>
                <w:szCs w:val="18"/>
              </w:rPr>
              <w:t xml:space="preserve">Distinct product strings</w:t>
            </w:r>
          </w:p>
        </w:tc>
        <w:tc>
          <w:tcPr>
            <w:tcW w:type="dxa" w:w="900"/>
            <w:tcMar>
              <w:top w:type="dxa" w:w="50"/>
              <w:left w:type="dxa" w:w="90"/>
              <w:bottom w:type="dxa" w:w="50"/>
              <w:right w:type="dxa" w:w="90"/>
            </w:tcMar>
          </w:tcPr>
          <w:p>
            <w:pPr>
              <w:spacing w:after="30" w:before="30" w:line="230"/>
            </w:pPr>
            <w:r>
              <w:rPr>
                <w:b w:val="false"/>
                <w:bCs w:val="false"/>
                <w:color w:val="000000"/>
                <w:sz w:val="18"/>
                <w:szCs w:val="18"/>
              </w:rPr>
              <w:t xml:space="preserve">22</w:t>
            </w:r>
          </w:p>
        </w:tc>
        <w:tc>
          <w:tcPr>
            <w:tcW w:type="dxa" w:w="5020"/>
            <w:tcMar>
              <w:top w:type="dxa" w:w="50"/>
              <w:left w:type="dxa" w:w="90"/>
              <w:bottom w:type="dxa" w:w="50"/>
              <w:right w:type="dxa" w:w="90"/>
            </w:tcMar>
          </w:tcPr>
          <w:p>
            <w:pPr>
              <w:spacing w:after="30" w:before="30" w:line="230"/>
            </w:pPr>
            <w:r>
              <w:rPr>
                <w:b w:val="false"/>
                <w:bCs w:val="false"/>
                <w:color w:val="000000"/>
                <w:sz w:val="18"/>
                <w:szCs w:val="18"/>
              </w:rPr>
              <w:t xml:space="preserve">Multiple spelling and case variants requiring normalisation</w:t>
            </w:r>
          </w:p>
        </w:tc>
      </w:tr>
    </w:tbl>
    <w:p>
      <w:r>
        <w:br w:type="page"/>
      </w:r>
    </w:p>
    <w:p>
      <w:pPr>
        <w:pStyle w:val="Heading1"/>
        <w:spacing w:after="150" w:before="340"/>
      </w:pPr>
      <w:r>
        <w:rPr>
          <w:b/>
          <w:bCs/>
          <w:color w:val="1F3864"/>
          <w:sz w:val="26"/>
          <w:szCs w:val="26"/>
        </w:rPr>
        <w:t xml:space="preserve">3. Open decisions — required before Track C</w:t>
      </w:r>
    </w:p>
    <w:p>
      <w:pPr>
        <w:spacing w:after="80" w:line="260"/>
      </w:pPr>
      <w:r>
        <w:rPr>
          <w:b w:val="false"/>
          <w:bCs w:val="false"/>
          <w:i w:val="false"/>
          <w:iCs w:val="false"/>
          <w:sz w:val="20"/>
          <w:szCs w:val="20"/>
        </w:rPr>
        <w:t xml:space="preserve">Each of these is a business or regulatory decision, not a technical one. The developer must not choose a default. Until a decision is recorded here, the affected elements cannot be built.</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500"/>
        <w:gridCol w:w="1900"/>
        <w:gridCol w:w="3820"/>
        <w:gridCol w:w="1400"/>
        <w:gridCol w:w="1400"/>
      </w:tblGrid>
      <w:tr>
        <w:trPr>
          <w:tblHeader/>
        </w:trPr>
        <w:tc>
          <w:tcPr>
            <w:tcW w:type="dxa" w:w="500"/>
            <w:shd w:fill="1F3864" w:color="auto" w:val="clear"/>
            <w:tcMar>
              <w:top w:type="dxa" w:w="50"/>
              <w:left w:type="dxa" w:w="90"/>
              <w:bottom w:type="dxa" w:w="50"/>
              <w:right w:type="dxa" w:w="90"/>
            </w:tcMar>
          </w:tcPr>
          <w:p>
            <w:pPr>
              <w:spacing w:after="30" w:before="30" w:line="230"/>
            </w:pPr>
            <w:r>
              <w:rPr>
                <w:b/>
                <w:bCs/>
                <w:color w:val="FFFFFF"/>
                <w:sz w:val="17"/>
                <w:szCs w:val="17"/>
              </w:rPr>
              <w:t xml:space="preserve">#</w:t>
            </w:r>
          </w:p>
        </w:tc>
        <w:tc>
          <w:tcPr>
            <w:tcW w:type="dxa" w:w="1900"/>
            <w:shd w:fill="1F3864" w:color="auto" w:val="clear"/>
            <w:tcMar>
              <w:top w:type="dxa" w:w="50"/>
              <w:left w:type="dxa" w:w="90"/>
              <w:bottom w:type="dxa" w:w="50"/>
              <w:right w:type="dxa" w:w="90"/>
            </w:tcMar>
          </w:tcPr>
          <w:p>
            <w:pPr>
              <w:spacing w:after="30" w:before="30" w:line="230"/>
            </w:pPr>
            <w:r>
              <w:rPr>
                <w:b/>
                <w:bCs/>
                <w:color w:val="FFFFFF"/>
                <w:sz w:val="17"/>
                <w:szCs w:val="17"/>
              </w:rPr>
              <w:t xml:space="preserve">Decision</w:t>
            </w:r>
          </w:p>
        </w:tc>
        <w:tc>
          <w:tcPr>
            <w:tcW w:type="dxa" w:w="3820"/>
            <w:shd w:fill="1F3864" w:color="auto" w:val="clear"/>
            <w:tcMar>
              <w:top w:type="dxa" w:w="50"/>
              <w:left w:type="dxa" w:w="90"/>
              <w:bottom w:type="dxa" w:w="50"/>
              <w:right w:type="dxa" w:w="90"/>
            </w:tcMar>
          </w:tcPr>
          <w:p>
            <w:pPr>
              <w:spacing w:after="30" w:before="30" w:line="230"/>
            </w:pPr>
            <w:r>
              <w:rPr>
                <w:b/>
                <w:bCs/>
                <w:color w:val="FFFFFF"/>
                <w:sz w:val="17"/>
                <w:szCs w:val="17"/>
              </w:rPr>
              <w:t xml:space="preserve">Options</w:t>
            </w:r>
          </w:p>
        </w:tc>
        <w:tc>
          <w:tcPr>
            <w:tcW w:type="dxa" w:w="1400"/>
            <w:shd w:fill="1F3864" w:color="auto" w:val="clear"/>
            <w:tcMar>
              <w:top w:type="dxa" w:w="50"/>
              <w:left w:type="dxa" w:w="90"/>
              <w:bottom w:type="dxa" w:w="50"/>
              <w:right w:type="dxa" w:w="90"/>
            </w:tcMar>
          </w:tcPr>
          <w:p>
            <w:pPr>
              <w:spacing w:after="30" w:before="30" w:line="230"/>
            </w:pPr>
            <w:r>
              <w:rPr>
                <w:b/>
                <w:bCs/>
                <w:color w:val="FFFFFF"/>
                <w:sz w:val="17"/>
                <w:szCs w:val="17"/>
              </w:rPr>
              <w:t xml:space="preserve">Blocks</w:t>
            </w:r>
          </w:p>
        </w:tc>
        <w:tc>
          <w:tcPr>
            <w:tcW w:type="dxa" w:w="1400"/>
            <w:shd w:fill="1F3864" w:color="auto" w:val="clear"/>
            <w:tcMar>
              <w:top w:type="dxa" w:w="50"/>
              <w:left w:type="dxa" w:w="90"/>
              <w:bottom w:type="dxa" w:w="50"/>
              <w:right w:type="dxa" w:w="90"/>
            </w:tcMar>
          </w:tcPr>
          <w:p>
            <w:pPr>
              <w:spacing w:after="30" w:before="30" w:line="230"/>
            </w:pPr>
            <w:r>
              <w:rPr>
                <w:b/>
                <w:bCs/>
                <w:color w:val="FFFFFF"/>
                <w:sz w:val="17"/>
                <w:szCs w:val="17"/>
              </w:rPr>
              <w:t xml:space="preserve">Owner</w:t>
            </w:r>
          </w:p>
        </w:tc>
      </w:tr>
      <w:tr>
        <w:tc>
          <w:tcPr>
            <w:tcW w:type="dxa" w:w="500"/>
            <w:tcMar>
              <w:top w:type="dxa" w:w="50"/>
              <w:left w:type="dxa" w:w="90"/>
              <w:bottom w:type="dxa" w:w="50"/>
              <w:right w:type="dxa" w:w="90"/>
            </w:tcMar>
          </w:tcPr>
          <w:p>
            <w:pPr>
              <w:spacing w:after="30" w:before="30" w:line="230"/>
            </w:pPr>
            <w:r>
              <w:rPr>
                <w:b/>
                <w:bCs/>
                <w:color w:val="000000"/>
                <w:sz w:val="17"/>
                <w:szCs w:val="17"/>
              </w:rPr>
              <w:t xml:space="preserve">D1</w:t>
            </w:r>
          </w:p>
        </w:tc>
        <w:tc>
          <w:tcPr>
            <w:tcW w:type="dxa" w:w="1900"/>
            <w:tcMar>
              <w:top w:type="dxa" w:w="50"/>
              <w:left w:type="dxa" w:w="90"/>
              <w:bottom w:type="dxa" w:w="50"/>
              <w:right w:type="dxa" w:w="90"/>
            </w:tcMar>
          </w:tcPr>
          <w:p>
            <w:pPr>
              <w:spacing w:after="30" w:before="30" w:line="230"/>
            </w:pPr>
            <w:r>
              <w:rPr>
                <w:b/>
                <w:bCs/>
                <w:color w:val="000000"/>
                <w:sz w:val="17"/>
                <w:szCs w:val="17"/>
              </w:rPr>
              <w:t xml:space="preserve">How is patient identity represented?</w:t>
            </w:r>
          </w:p>
        </w:tc>
        <w:tc>
          <w:tcPr>
            <w:tcW w:type="dxa" w:w="3820"/>
            <w:tcMar>
              <w:top w:type="dxa" w:w="50"/>
              <w:left w:type="dxa" w:w="90"/>
              <w:bottom w:type="dxa" w:w="50"/>
              <w:right w:type="dxa" w:w="90"/>
            </w:tcMar>
          </w:tcPr>
          <w:p>
            <w:pPr>
              <w:spacing w:after="30" w:before="30" w:line="230"/>
            </w:pPr>
            <w:r>
              <w:rPr>
                <w:b w:val="false"/>
                <w:bCs w:val="false"/>
                <w:color w:val="000000"/>
                <w:sz w:val="17"/>
                <w:szCs w:val="17"/>
              </w:rPr>
              <w:t xml:space="preserve">(a) derive initials from the full name and populate D.1; (b) populate a medical record number in D.1.1.1–D.1.1.4 with the correct source OID; (c) apply a nullFlavor (MSK / ASKU / NASK / UNK) to D.1. At least one element in section D.1 must be populated.</w:t>
            </w:r>
          </w:p>
        </w:tc>
        <w:tc>
          <w:tcPr>
            <w:tcW w:type="dxa" w:w="1400"/>
            <w:tcMar>
              <w:top w:type="dxa" w:w="50"/>
              <w:left w:type="dxa" w:w="90"/>
              <w:bottom w:type="dxa" w:w="50"/>
              <w:right w:type="dxa" w:w="90"/>
            </w:tcMar>
          </w:tcPr>
          <w:p>
            <w:pPr>
              <w:spacing w:after="30" w:before="30" w:line="230"/>
            </w:pPr>
            <w:r>
              <w:rPr>
                <w:b w:val="false"/>
                <w:bCs w:val="false"/>
                <w:color w:val="000000"/>
                <w:sz w:val="17"/>
                <w:szCs w:val="17"/>
              </w:rPr>
              <w:t xml:space="preserve">D.1</w:t>
            </w:r>
          </w:p>
        </w:tc>
        <w:tc>
          <w:tcPr>
            <w:tcW w:type="dxa" w:w="1400"/>
            <w:tcMar>
              <w:top w:type="dxa" w:w="50"/>
              <w:left w:type="dxa" w:w="90"/>
              <w:bottom w:type="dxa" w:w="50"/>
              <w:right w:type="dxa" w:w="90"/>
            </w:tcMar>
          </w:tcPr>
          <w:p>
            <w:pPr>
              <w:spacing w:after="30" w:before="30" w:line="230"/>
            </w:pPr>
            <w:r>
              <w:rPr>
                <w:b w:val="false"/>
                <w:bCs w:val="false"/>
                <w:color w:val="000000"/>
                <w:sz w:val="17"/>
                <w:szCs w:val="17"/>
              </w:rPr>
              <w:t xml:space="preserve">MedNova + Ondo State data-sharing terms</w:t>
            </w:r>
          </w:p>
        </w:tc>
      </w:tr>
      <w:tr>
        <w:tc>
          <w:tcPr>
            <w:tcW w:type="dxa" w:w="500"/>
            <w:shd w:fill="F2F4F8" w:color="auto" w:val="clear"/>
            <w:tcMar>
              <w:top w:type="dxa" w:w="50"/>
              <w:left w:type="dxa" w:w="90"/>
              <w:bottom w:type="dxa" w:w="50"/>
              <w:right w:type="dxa" w:w="90"/>
            </w:tcMar>
          </w:tcPr>
          <w:p>
            <w:pPr>
              <w:spacing w:after="30" w:before="30" w:line="230"/>
            </w:pPr>
            <w:r>
              <w:rPr>
                <w:b/>
                <w:bCs/>
                <w:color w:val="000000"/>
                <w:sz w:val="17"/>
                <w:szCs w:val="17"/>
              </w:rPr>
              <w:t xml:space="preserve">D2</w:t>
            </w:r>
          </w:p>
        </w:tc>
        <w:tc>
          <w:tcPr>
            <w:tcW w:type="dxa" w:w="1900"/>
            <w:shd w:fill="F2F4F8" w:color="auto" w:val="clear"/>
            <w:tcMar>
              <w:top w:type="dxa" w:w="50"/>
              <w:left w:type="dxa" w:w="90"/>
              <w:bottom w:type="dxa" w:w="50"/>
              <w:right w:type="dxa" w:w="90"/>
            </w:tcMar>
          </w:tcPr>
          <w:p>
            <w:pPr>
              <w:spacing w:after="30" w:before="30" w:line="230"/>
            </w:pPr>
            <w:r>
              <w:rPr>
                <w:b/>
                <w:bCs/>
                <w:color w:val="000000"/>
                <w:sz w:val="17"/>
                <w:szCs w:val="17"/>
              </w:rPr>
              <w:t xml:space="preserve">Who is the reporter, and what qualification code applies?</w:t>
            </w:r>
          </w:p>
        </w:tc>
        <w:tc>
          <w:tcPr>
            <w:tcW w:type="dxa" w:w="382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The AEFI form signatory, the vaccinator, or the state surveillance officer. Determines C.2.r.1 to C.2.r.5.</w:t>
            </w:r>
          </w:p>
        </w:tc>
        <w:tc>
          <w:tcPr>
            <w:tcW w:type="dxa" w:w="14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C.2.r (validated import requirement)</w:t>
            </w:r>
          </w:p>
        </w:tc>
        <w:tc>
          <w:tcPr>
            <w:tcW w:type="dxa" w:w="14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MedNova + Ondo State AEFI focal person</w:t>
            </w:r>
          </w:p>
        </w:tc>
      </w:tr>
      <w:tr>
        <w:tc>
          <w:tcPr>
            <w:tcW w:type="dxa" w:w="500"/>
            <w:tcMar>
              <w:top w:type="dxa" w:w="50"/>
              <w:left w:type="dxa" w:w="90"/>
              <w:bottom w:type="dxa" w:w="50"/>
              <w:right w:type="dxa" w:w="90"/>
            </w:tcMar>
          </w:tcPr>
          <w:p>
            <w:pPr>
              <w:spacing w:after="30" w:before="30" w:line="230"/>
            </w:pPr>
            <w:r>
              <w:rPr>
                <w:b/>
                <w:bCs/>
                <w:color w:val="000000"/>
                <w:sz w:val="17"/>
                <w:szCs w:val="17"/>
              </w:rPr>
              <w:t xml:space="preserve">D3</w:t>
            </w:r>
          </w:p>
        </w:tc>
        <w:tc>
          <w:tcPr>
            <w:tcW w:type="dxa" w:w="1900"/>
            <w:tcMar>
              <w:top w:type="dxa" w:w="50"/>
              <w:left w:type="dxa" w:w="90"/>
              <w:bottom w:type="dxa" w:w="50"/>
              <w:right w:type="dxa" w:w="90"/>
            </w:tcMar>
          </w:tcPr>
          <w:p>
            <w:pPr>
              <w:spacing w:after="30" w:before="30" w:line="230"/>
            </w:pPr>
            <w:r>
              <w:rPr>
                <w:b/>
                <w:bCs/>
                <w:color w:val="000000"/>
                <w:sz w:val="17"/>
                <w:szCs w:val="17"/>
              </w:rPr>
              <w:t xml:space="preserve">What is the report type for routine AEFI surveillance?</w:t>
            </w:r>
          </w:p>
        </w:tc>
        <w:tc>
          <w:tcPr>
            <w:tcW w:type="dxa" w:w="3820"/>
            <w:tcMar>
              <w:top w:type="dxa" w:w="50"/>
              <w:left w:type="dxa" w:w="90"/>
              <w:bottom w:type="dxa" w:w="50"/>
              <w:right w:type="dxa" w:w="90"/>
            </w:tcMar>
          </w:tcPr>
          <w:p>
            <w:pPr>
              <w:spacing w:after="30" w:before="30" w:line="230"/>
            </w:pPr>
            <w:r>
              <w:rPr>
                <w:b w:val="false"/>
                <w:bCs w:val="false"/>
                <w:color w:val="000000"/>
                <w:sz w:val="17"/>
                <w:szCs w:val="17"/>
              </w:rPr>
              <w:t xml:space="preserve">C.1.3 = 1 (Spontaneous report), 3 (Other), or 4 (Not available to sender). Confirm with NAFDAC pharmacovigilance.</w:t>
            </w:r>
          </w:p>
        </w:tc>
        <w:tc>
          <w:tcPr>
            <w:tcW w:type="dxa" w:w="1400"/>
            <w:tcMar>
              <w:top w:type="dxa" w:w="50"/>
              <w:left w:type="dxa" w:w="90"/>
              <w:bottom w:type="dxa" w:w="50"/>
              <w:right w:type="dxa" w:w="90"/>
            </w:tcMar>
          </w:tcPr>
          <w:p>
            <w:pPr>
              <w:spacing w:after="30" w:before="30" w:line="230"/>
            </w:pPr>
            <w:r>
              <w:rPr>
                <w:b w:val="false"/>
                <w:bCs w:val="false"/>
                <w:color w:val="000000"/>
                <w:sz w:val="17"/>
                <w:szCs w:val="17"/>
              </w:rPr>
              <w:t xml:space="preserve">C.1.3 (validated import requirement)</w:t>
            </w:r>
          </w:p>
        </w:tc>
        <w:tc>
          <w:tcPr>
            <w:tcW w:type="dxa" w:w="1400"/>
            <w:tcMar>
              <w:top w:type="dxa" w:w="50"/>
              <w:left w:type="dxa" w:w="90"/>
              <w:bottom w:type="dxa" w:w="50"/>
              <w:right w:type="dxa" w:w="90"/>
            </w:tcMar>
          </w:tcPr>
          <w:p>
            <w:pPr>
              <w:spacing w:after="30" w:before="30" w:line="230"/>
            </w:pPr>
            <w:r>
              <w:rPr>
                <w:b w:val="false"/>
                <w:bCs w:val="false"/>
                <w:color w:val="000000"/>
                <w:sz w:val="17"/>
                <w:szCs w:val="17"/>
              </w:rPr>
              <w:t xml:space="preserve">MedNova + NAFDAC</w:t>
            </w:r>
          </w:p>
        </w:tc>
      </w:tr>
      <w:tr>
        <w:tc>
          <w:tcPr>
            <w:tcW w:type="dxa" w:w="500"/>
            <w:shd w:fill="F2F4F8" w:color="auto" w:val="clear"/>
            <w:tcMar>
              <w:top w:type="dxa" w:w="50"/>
              <w:left w:type="dxa" w:w="90"/>
              <w:bottom w:type="dxa" w:w="50"/>
              <w:right w:type="dxa" w:w="90"/>
            </w:tcMar>
          </w:tcPr>
          <w:p>
            <w:pPr>
              <w:spacing w:after="30" w:before="30" w:line="230"/>
            </w:pPr>
            <w:r>
              <w:rPr>
                <w:b/>
                <w:bCs/>
                <w:color w:val="000000"/>
                <w:sz w:val="17"/>
                <w:szCs w:val="17"/>
              </w:rPr>
              <w:t xml:space="preserve">D4</w:t>
            </w:r>
          </w:p>
        </w:tc>
        <w:tc>
          <w:tcPr>
            <w:tcW w:type="dxa" w:w="1900"/>
            <w:shd w:fill="F2F4F8" w:color="auto" w:val="clear"/>
            <w:tcMar>
              <w:top w:type="dxa" w:w="50"/>
              <w:left w:type="dxa" w:w="90"/>
              <w:bottom w:type="dxa" w:w="50"/>
              <w:right w:type="dxa" w:w="90"/>
            </w:tcMar>
          </w:tcPr>
          <w:p>
            <w:pPr>
              <w:spacing w:after="30" w:before="30" w:line="230"/>
            </w:pPr>
            <w:r>
              <w:rPr>
                <w:b/>
                <w:bCs/>
                <w:color w:val="000000"/>
                <w:sz w:val="17"/>
                <w:szCs w:val="17"/>
              </w:rPr>
              <w:t xml:space="preserve">What sender and receiver identifiers are used?</w:t>
            </w:r>
          </w:p>
        </w:tc>
        <w:tc>
          <w:tcPr>
            <w:tcW w:type="dxa" w:w="382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N.1.3, N.1.4, N.2.r.2, N.2.r.3 and C.3.2 must be agreed bilaterally with NAFDAC. The IG treats these as trading-partner agreement values.</w:t>
            </w:r>
          </w:p>
        </w:tc>
        <w:tc>
          <w:tcPr>
            <w:tcW w:type="dxa" w:w="14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All wrapper elements</w:t>
            </w:r>
          </w:p>
        </w:tc>
        <w:tc>
          <w:tcPr>
            <w:tcW w:type="dxa" w:w="14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MedNova ↔ NAFDAC</w:t>
            </w:r>
          </w:p>
        </w:tc>
      </w:tr>
      <w:tr>
        <w:tc>
          <w:tcPr>
            <w:tcW w:type="dxa" w:w="500"/>
            <w:tcMar>
              <w:top w:type="dxa" w:w="50"/>
              <w:left w:type="dxa" w:w="90"/>
              <w:bottom w:type="dxa" w:w="50"/>
              <w:right w:type="dxa" w:w="90"/>
            </w:tcMar>
          </w:tcPr>
          <w:p>
            <w:pPr>
              <w:spacing w:after="30" w:before="30" w:line="230"/>
            </w:pPr>
            <w:r>
              <w:rPr>
                <w:b/>
                <w:bCs/>
                <w:color w:val="000000"/>
                <w:sz w:val="17"/>
                <w:szCs w:val="17"/>
              </w:rPr>
              <w:t xml:space="preserve">D5</w:t>
            </w:r>
          </w:p>
        </w:tc>
        <w:tc>
          <w:tcPr>
            <w:tcW w:type="dxa" w:w="1900"/>
            <w:tcMar>
              <w:top w:type="dxa" w:w="50"/>
              <w:left w:type="dxa" w:w="90"/>
              <w:bottom w:type="dxa" w:w="50"/>
              <w:right w:type="dxa" w:w="90"/>
            </w:tcMar>
          </w:tcPr>
          <w:p>
            <w:pPr>
              <w:spacing w:after="30" w:before="30" w:line="230"/>
            </w:pPr>
            <w:r>
              <w:rPr>
                <w:b/>
                <w:bCs/>
                <w:color w:val="000000"/>
                <w:sz w:val="17"/>
                <w:szCs w:val="17"/>
              </w:rPr>
              <w:t xml:space="preserve">Which MedDRA version, and who performs coding?</w:t>
            </w:r>
          </w:p>
        </w:tc>
        <w:tc>
          <w:tcPr>
            <w:tcW w:type="dxa" w:w="3820"/>
            <w:tcMar>
              <w:top w:type="dxa" w:w="50"/>
              <w:left w:type="dxa" w:w="90"/>
              <w:bottom w:type="dxa" w:w="50"/>
              <w:right w:type="dxa" w:w="90"/>
            </w:tcMar>
          </w:tcPr>
          <w:p>
            <w:pPr>
              <w:spacing w:after="30" w:before="30" w:line="230"/>
            </w:pPr>
            <w:r>
              <w:rPr>
                <w:b w:val="false"/>
                <w:bCs w:val="false"/>
                <w:color w:val="000000"/>
                <w:sz w:val="17"/>
                <w:szCs w:val="17"/>
              </w:rPr>
              <w:t xml:space="preserve">Requires an active MedDRA subscription. Only one MedDRA version may be used within a single ICSR, though different ICSRs in one batch may use different versions.</w:t>
            </w:r>
          </w:p>
        </w:tc>
        <w:tc>
          <w:tcPr>
            <w:tcW w:type="dxa" w:w="1400"/>
            <w:tcMar>
              <w:top w:type="dxa" w:w="50"/>
              <w:left w:type="dxa" w:w="90"/>
              <w:bottom w:type="dxa" w:w="50"/>
              <w:right w:type="dxa" w:w="90"/>
            </w:tcMar>
          </w:tcPr>
          <w:p>
            <w:pPr>
              <w:spacing w:after="30" w:before="30" w:line="230"/>
            </w:pPr>
            <w:r>
              <w:rPr>
                <w:b w:val="false"/>
                <w:bCs w:val="false"/>
                <w:color w:val="000000"/>
                <w:sz w:val="17"/>
                <w:szCs w:val="17"/>
              </w:rPr>
              <w:t xml:space="preserve">E.i.2.1a / E.i.2.1b</w:t>
            </w:r>
          </w:p>
        </w:tc>
        <w:tc>
          <w:tcPr>
            <w:tcW w:type="dxa" w:w="1400"/>
            <w:tcMar>
              <w:top w:type="dxa" w:w="50"/>
              <w:left w:type="dxa" w:w="90"/>
              <w:bottom w:type="dxa" w:w="50"/>
              <w:right w:type="dxa" w:w="90"/>
            </w:tcMar>
          </w:tcPr>
          <w:p>
            <w:pPr>
              <w:spacing w:after="30" w:before="30" w:line="230"/>
            </w:pPr>
            <w:r>
              <w:rPr>
                <w:b w:val="false"/>
                <w:bCs w:val="false"/>
                <w:color w:val="000000"/>
                <w:sz w:val="17"/>
                <w:szCs w:val="17"/>
              </w:rPr>
              <w:t xml:space="preserve">MedNova</w:t>
            </w:r>
          </w:p>
        </w:tc>
      </w:tr>
      <w:tr>
        <w:tc>
          <w:tcPr>
            <w:tcW w:type="dxa" w:w="500"/>
            <w:shd w:fill="F2F4F8" w:color="auto" w:val="clear"/>
            <w:tcMar>
              <w:top w:type="dxa" w:w="50"/>
              <w:left w:type="dxa" w:w="90"/>
              <w:bottom w:type="dxa" w:w="50"/>
              <w:right w:type="dxa" w:w="90"/>
            </w:tcMar>
          </w:tcPr>
          <w:p>
            <w:pPr>
              <w:spacing w:after="30" w:before="30" w:line="230"/>
            </w:pPr>
            <w:r>
              <w:rPr>
                <w:b/>
                <w:bCs/>
                <w:color w:val="000000"/>
                <w:sz w:val="17"/>
                <w:szCs w:val="17"/>
              </w:rPr>
              <w:t xml:space="preserve">D6</w:t>
            </w:r>
          </w:p>
        </w:tc>
        <w:tc>
          <w:tcPr>
            <w:tcW w:type="dxa" w:w="1900"/>
            <w:shd w:fill="F2F4F8" w:color="auto" w:val="clear"/>
            <w:tcMar>
              <w:top w:type="dxa" w:w="50"/>
              <w:left w:type="dxa" w:w="90"/>
              <w:bottom w:type="dxa" w:w="50"/>
              <w:right w:type="dxa" w:w="90"/>
            </w:tcMar>
          </w:tcPr>
          <w:p>
            <w:pPr>
              <w:spacing w:after="30" w:before="30" w:line="230"/>
            </w:pPr>
            <w:r>
              <w:rPr>
                <w:b/>
                <w:bCs/>
                <w:color w:val="000000"/>
                <w:sz w:val="17"/>
                <w:szCs w:val="17"/>
              </w:rPr>
              <w:t xml:space="preserve">Is WHODrug coding required by NAFDAC?</w:t>
            </w:r>
          </w:p>
        </w:tc>
        <w:tc>
          <w:tcPr>
            <w:tcW w:type="dxa" w:w="382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If yes, the UMC E2B(R3) WHODrug extension is needed. UMC directs this question to vigibase@who-umc.org. If no, products imported without a WHODrug code must be coded manually in VigiFlow by the NRA.</w:t>
            </w:r>
          </w:p>
        </w:tc>
        <w:tc>
          <w:tcPr>
            <w:tcW w:type="dxa" w:w="14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G.k.2 coded representation</w:t>
            </w:r>
          </w:p>
        </w:tc>
        <w:tc>
          <w:tcPr>
            <w:tcW w:type="dxa" w:w="14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MedNova ↔ UMC / NAFDAC</w:t>
            </w:r>
          </w:p>
        </w:tc>
      </w:tr>
      <w:tr>
        <w:tc>
          <w:tcPr>
            <w:tcW w:type="dxa" w:w="500"/>
            <w:tcMar>
              <w:top w:type="dxa" w:w="50"/>
              <w:left w:type="dxa" w:w="90"/>
              <w:bottom w:type="dxa" w:w="50"/>
              <w:right w:type="dxa" w:w="90"/>
            </w:tcMar>
          </w:tcPr>
          <w:p>
            <w:pPr>
              <w:spacing w:after="30" w:before="30" w:line="230"/>
            </w:pPr>
            <w:r>
              <w:rPr>
                <w:b/>
                <w:bCs/>
                <w:color w:val="000000"/>
                <w:sz w:val="17"/>
                <w:szCs w:val="17"/>
              </w:rPr>
              <w:t xml:space="preserve">D7</w:t>
            </w:r>
          </w:p>
        </w:tc>
        <w:tc>
          <w:tcPr>
            <w:tcW w:type="dxa" w:w="1900"/>
            <w:tcMar>
              <w:top w:type="dxa" w:w="50"/>
              <w:left w:type="dxa" w:w="90"/>
              <w:bottom w:type="dxa" w:w="50"/>
              <w:right w:type="dxa" w:w="90"/>
            </w:tcMar>
          </w:tcPr>
          <w:p>
            <w:pPr>
              <w:spacing w:after="30" w:before="30" w:line="230"/>
            </w:pPr>
            <w:r>
              <w:rPr>
                <w:b/>
                <w:bCs/>
                <w:color w:val="000000"/>
                <w:sz w:val="17"/>
                <w:szCs w:val="17"/>
              </w:rPr>
              <w:t xml:space="preserve">Validated or non-validated import?</w:t>
            </w:r>
          </w:p>
        </w:tc>
        <w:tc>
          <w:tcPr>
            <w:tcW w:type="dxa" w:w="3820"/>
            <w:tcMar>
              <w:top w:type="dxa" w:w="50"/>
              <w:left w:type="dxa" w:w="90"/>
              <w:bottom w:type="dxa" w:w="50"/>
              <w:right w:type="dxa" w:w="90"/>
            </w:tcMar>
          </w:tcPr>
          <w:p>
            <w:pPr>
              <w:spacing w:after="30" w:before="30" w:line="230"/>
            </w:pPr>
            <w:r>
              <w:rPr>
                <w:b w:val="false"/>
                <w:bCs w:val="false"/>
                <w:color w:val="000000"/>
                <w:sz w:val="17"/>
                <w:szCs w:val="17"/>
              </w:rPr>
              <w:t xml:space="preserve">Recommend validated. Non-validated has no administrative-content requirements but admits incomplete and incorrectly formatted data.</w:t>
            </w:r>
          </w:p>
        </w:tc>
        <w:tc>
          <w:tcPr>
            <w:tcW w:type="dxa" w:w="1400"/>
            <w:tcMar>
              <w:top w:type="dxa" w:w="50"/>
              <w:left w:type="dxa" w:w="90"/>
              <w:bottom w:type="dxa" w:w="50"/>
              <w:right w:type="dxa" w:w="90"/>
            </w:tcMar>
          </w:tcPr>
          <w:p>
            <w:pPr>
              <w:spacing w:after="30" w:before="30" w:line="230"/>
            </w:pPr>
            <w:r>
              <w:rPr>
                <w:b w:val="false"/>
                <w:bCs w:val="false"/>
                <w:color w:val="000000"/>
                <w:sz w:val="17"/>
                <w:szCs w:val="17"/>
              </w:rPr>
              <w:t xml:space="preserve">Whole acceptance standard</w:t>
            </w:r>
          </w:p>
        </w:tc>
        <w:tc>
          <w:tcPr>
            <w:tcW w:type="dxa" w:w="1400"/>
            <w:tcMar>
              <w:top w:type="dxa" w:w="50"/>
              <w:left w:type="dxa" w:w="90"/>
              <w:bottom w:type="dxa" w:w="50"/>
              <w:right w:type="dxa" w:w="90"/>
            </w:tcMar>
          </w:tcPr>
          <w:p>
            <w:pPr>
              <w:spacing w:after="30" w:before="30" w:line="230"/>
            </w:pPr>
            <w:r>
              <w:rPr>
                <w:b w:val="false"/>
                <w:bCs w:val="false"/>
                <w:color w:val="000000"/>
                <w:sz w:val="17"/>
                <w:szCs w:val="17"/>
              </w:rPr>
              <w:t xml:space="preserve">MedNova</w:t>
            </w:r>
          </w:p>
        </w:tc>
      </w:tr>
    </w:tbl>
    <w:p>
      <w:pPr>
        <w:pStyle w:val="Heading1"/>
        <w:spacing w:after="150" w:before="340"/>
      </w:pPr>
      <w:r>
        <w:rPr>
          <w:b/>
          <w:bCs/>
          <w:color w:val="1F3864"/>
          <w:sz w:val="26"/>
          <w:szCs w:val="26"/>
        </w:rPr>
        <w:t xml:space="preserve">4. External dependencies</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3000"/>
        <w:gridCol w:w="2600"/>
        <w:gridCol w:w="1900"/>
        <w:gridCol w:w="1520"/>
      </w:tblGrid>
      <w:tr>
        <w:trPr>
          <w:tblHeader/>
        </w:trPr>
        <w:tc>
          <w:tcPr>
            <w:tcW w:type="dxa" w:w="3000"/>
            <w:shd w:fill="1F3864" w:color="auto" w:val="clear"/>
            <w:tcMar>
              <w:top w:type="dxa" w:w="50"/>
              <w:left w:type="dxa" w:w="90"/>
              <w:bottom w:type="dxa" w:w="50"/>
              <w:right w:type="dxa" w:w="90"/>
            </w:tcMar>
          </w:tcPr>
          <w:p>
            <w:pPr>
              <w:spacing w:after="30" w:before="30" w:line="230"/>
            </w:pPr>
            <w:r>
              <w:rPr>
                <w:b/>
                <w:bCs/>
                <w:color w:val="FFFFFF"/>
                <w:sz w:val="17"/>
                <w:szCs w:val="17"/>
              </w:rPr>
              <w:t xml:space="preserve">Dependency</w:t>
            </w:r>
          </w:p>
        </w:tc>
        <w:tc>
          <w:tcPr>
            <w:tcW w:type="dxa" w:w="2600"/>
            <w:shd w:fill="1F3864" w:color="auto" w:val="clear"/>
            <w:tcMar>
              <w:top w:type="dxa" w:w="50"/>
              <w:left w:type="dxa" w:w="90"/>
              <w:bottom w:type="dxa" w:w="50"/>
              <w:right w:type="dxa" w:w="90"/>
            </w:tcMar>
          </w:tcPr>
          <w:p>
            <w:pPr>
              <w:spacing w:after="30" w:before="30" w:line="230"/>
            </w:pPr>
            <w:r>
              <w:rPr>
                <w:b/>
                <w:bCs/>
                <w:color w:val="FFFFFF"/>
                <w:sz w:val="17"/>
                <w:szCs w:val="17"/>
              </w:rPr>
              <w:t xml:space="preserve">Needed for</w:t>
            </w:r>
          </w:p>
        </w:tc>
        <w:tc>
          <w:tcPr>
            <w:tcW w:type="dxa" w:w="1900"/>
            <w:shd w:fill="1F3864" w:color="auto" w:val="clear"/>
            <w:tcMar>
              <w:top w:type="dxa" w:w="50"/>
              <w:left w:type="dxa" w:w="90"/>
              <w:bottom w:type="dxa" w:w="50"/>
              <w:right w:type="dxa" w:w="90"/>
            </w:tcMar>
          </w:tcPr>
          <w:p>
            <w:pPr>
              <w:spacing w:after="30" w:before="30" w:line="230"/>
            </w:pPr>
            <w:r>
              <w:rPr>
                <w:b/>
                <w:bCs/>
                <w:color w:val="FFFFFF"/>
                <w:sz w:val="17"/>
                <w:szCs w:val="17"/>
              </w:rPr>
              <w:t xml:space="preserve">Owner</w:t>
            </w:r>
          </w:p>
        </w:tc>
        <w:tc>
          <w:tcPr>
            <w:tcW w:type="dxa" w:w="1520"/>
            <w:shd w:fill="1F3864" w:color="auto" w:val="clear"/>
            <w:tcMar>
              <w:top w:type="dxa" w:w="50"/>
              <w:left w:type="dxa" w:w="90"/>
              <w:bottom w:type="dxa" w:w="50"/>
              <w:right w:type="dxa" w:w="90"/>
            </w:tcMar>
          </w:tcPr>
          <w:p>
            <w:pPr>
              <w:spacing w:after="30" w:before="30" w:line="230"/>
            </w:pPr>
            <w:r>
              <w:rPr>
                <w:b/>
                <w:bCs/>
                <w:color w:val="FFFFFF"/>
                <w:sz w:val="17"/>
                <w:szCs w:val="17"/>
              </w:rPr>
              <w:t xml:space="preserve">Status</w:t>
            </w:r>
          </w:p>
        </w:tc>
      </w:tr>
      <w:tr>
        <w:tc>
          <w:tcPr>
            <w:tcW w:type="dxa" w:w="3000"/>
            <w:tcMar>
              <w:top w:type="dxa" w:w="50"/>
              <w:left w:type="dxa" w:w="90"/>
              <w:bottom w:type="dxa" w:w="50"/>
              <w:right w:type="dxa" w:w="90"/>
            </w:tcMar>
          </w:tcPr>
          <w:p>
            <w:pPr>
              <w:spacing w:after="30" w:before="30" w:line="230"/>
            </w:pPr>
            <w:r>
              <w:rPr>
                <w:b/>
                <w:bCs/>
                <w:color w:val="000000"/>
                <w:sz w:val="17"/>
                <w:szCs w:val="17"/>
              </w:rPr>
              <w:t xml:space="preserve">Ondo State reaction codebook — the meaning of source values 4, 5, 7, 8, 9, 10, 11, 14, 17, 18, 19, 20, 21 and the multi-value combinations</w:t>
            </w:r>
          </w:p>
        </w:tc>
        <w:tc>
          <w:tcPr>
            <w:tcW w:type="dxa" w:w="2600"/>
            <w:tcMar>
              <w:top w:type="dxa" w:w="50"/>
              <w:left w:type="dxa" w:w="90"/>
              <w:bottom w:type="dxa" w:w="50"/>
              <w:right w:type="dxa" w:w="90"/>
            </w:tcMar>
          </w:tcPr>
          <w:p>
            <w:pPr>
              <w:spacing w:after="30" w:before="30" w:line="230"/>
            </w:pPr>
            <w:r>
              <w:rPr>
                <w:b w:val="false"/>
                <w:bCs w:val="false"/>
                <w:color w:val="000000"/>
                <w:sz w:val="17"/>
                <w:szCs w:val="17"/>
              </w:rPr>
              <w:t xml:space="preserve">Every E.i reaction. Without it no case can be MedDRA-coded and no case can pass validated import.</w:t>
            </w:r>
          </w:p>
        </w:tc>
        <w:tc>
          <w:tcPr>
            <w:tcW w:type="dxa" w:w="1900"/>
            <w:tcMar>
              <w:top w:type="dxa" w:w="50"/>
              <w:left w:type="dxa" w:w="90"/>
              <w:bottom w:type="dxa" w:w="50"/>
              <w:right w:type="dxa" w:w="90"/>
            </w:tcMar>
          </w:tcPr>
          <w:p>
            <w:pPr>
              <w:spacing w:after="30" w:before="30" w:line="230"/>
            </w:pPr>
            <w:r>
              <w:rPr>
                <w:b w:val="false"/>
                <w:bCs w:val="false"/>
                <w:color w:val="000000"/>
                <w:sz w:val="17"/>
                <w:szCs w:val="17"/>
              </w:rPr>
              <w:t xml:space="preserve">Ondo State AEFI / immunisation focal person</w:t>
            </w:r>
          </w:p>
        </w:tc>
        <w:tc>
          <w:tcPr>
            <w:tcW w:type="dxa" w:w="1520"/>
            <w:tcMar>
              <w:top w:type="dxa" w:w="50"/>
              <w:left w:type="dxa" w:w="90"/>
              <w:bottom w:type="dxa" w:w="50"/>
              <w:right w:type="dxa" w:w="90"/>
            </w:tcMar>
          </w:tcPr>
          <w:p>
            <w:pPr>
              <w:spacing w:after="30" w:before="30" w:line="230"/>
            </w:pPr>
            <w:r>
              <w:rPr>
                <w:b w:val="false"/>
                <w:bCs w:val="false"/>
                <w:color w:val="000000"/>
                <w:sz w:val="17"/>
                <w:szCs w:val="17"/>
              </w:rPr>
              <w:t xml:space="preserve">NOT REQUESTED</w:t>
            </w:r>
          </w:p>
        </w:tc>
      </w:tr>
      <w:tr>
        <w:tc>
          <w:tcPr>
            <w:tcW w:type="dxa" w:w="3000"/>
            <w:shd w:fill="F2F4F8" w:color="auto" w:val="clear"/>
            <w:tcMar>
              <w:top w:type="dxa" w:w="50"/>
              <w:left w:type="dxa" w:w="90"/>
              <w:bottom w:type="dxa" w:w="50"/>
              <w:right w:type="dxa" w:w="90"/>
            </w:tcMar>
          </w:tcPr>
          <w:p>
            <w:pPr>
              <w:spacing w:after="30" w:before="30" w:line="230"/>
            </w:pPr>
            <w:r>
              <w:rPr>
                <w:b/>
                <w:bCs/>
                <w:color w:val="000000"/>
                <w:sz w:val="17"/>
                <w:szCs w:val="17"/>
              </w:rPr>
              <w:t xml:space="preserve">Ondo State outcome codebook — the meaning of the numeric values in reactionoutcome_verbatim</w:t>
            </w:r>
          </w:p>
        </w:tc>
        <w:tc>
          <w:tcPr>
            <w:tcW w:type="dxa" w:w="26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E.i.7 outcome mapping</w:t>
            </w:r>
          </w:p>
        </w:tc>
        <w:tc>
          <w:tcPr>
            <w:tcW w:type="dxa" w:w="19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Ondo State AEFI focal person</w:t>
            </w:r>
          </w:p>
        </w:tc>
        <w:tc>
          <w:tcPr>
            <w:tcW w:type="dxa" w:w="152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NOT REQUESTED</w:t>
            </w:r>
          </w:p>
        </w:tc>
      </w:tr>
      <w:tr>
        <w:tc>
          <w:tcPr>
            <w:tcW w:type="dxa" w:w="3000"/>
            <w:tcMar>
              <w:top w:type="dxa" w:w="50"/>
              <w:left w:type="dxa" w:w="90"/>
              <w:bottom w:type="dxa" w:w="50"/>
              <w:right w:type="dxa" w:w="90"/>
            </w:tcMar>
          </w:tcPr>
          <w:p>
            <w:pPr>
              <w:spacing w:after="30" w:before="30" w:line="230"/>
            </w:pPr>
            <w:r>
              <w:rPr>
                <w:b/>
                <w:bCs/>
                <w:color w:val="000000"/>
                <w:sz w:val="17"/>
                <w:szCs w:val="17"/>
              </w:rPr>
              <w:t xml:space="preserve">Vaccine batch / lot numbers, where recorded at source</w:t>
            </w:r>
          </w:p>
        </w:tc>
        <w:tc>
          <w:tcPr>
            <w:tcW w:type="dxa" w:w="2600"/>
            <w:tcMar>
              <w:top w:type="dxa" w:w="50"/>
              <w:left w:type="dxa" w:w="90"/>
              <w:bottom w:type="dxa" w:w="50"/>
              <w:right w:type="dxa" w:w="90"/>
            </w:tcMar>
          </w:tcPr>
          <w:p>
            <w:pPr>
              <w:spacing w:after="30" w:before="30" w:line="230"/>
            </w:pPr>
            <w:r>
              <w:rPr>
                <w:b w:val="false"/>
                <w:bCs w:val="false"/>
                <w:color w:val="000000"/>
                <w:sz w:val="17"/>
                <w:szCs w:val="17"/>
              </w:rPr>
              <w:t xml:space="preserve">G.k.4.r.7. Central to AEFI signal detection; strongly worth recovering even though it is not a validation blocker.</w:t>
            </w:r>
          </w:p>
        </w:tc>
        <w:tc>
          <w:tcPr>
            <w:tcW w:type="dxa" w:w="1900"/>
            <w:tcMar>
              <w:top w:type="dxa" w:w="50"/>
              <w:left w:type="dxa" w:w="90"/>
              <w:bottom w:type="dxa" w:w="50"/>
              <w:right w:type="dxa" w:w="90"/>
            </w:tcMar>
          </w:tcPr>
          <w:p>
            <w:pPr>
              <w:spacing w:after="30" w:before="30" w:line="230"/>
            </w:pPr>
            <w:r>
              <w:rPr>
                <w:b w:val="false"/>
                <w:bCs w:val="false"/>
                <w:color w:val="000000"/>
                <w:sz w:val="17"/>
                <w:szCs w:val="17"/>
              </w:rPr>
              <w:t xml:space="preserve">Ondo State</w:t>
            </w:r>
          </w:p>
        </w:tc>
        <w:tc>
          <w:tcPr>
            <w:tcW w:type="dxa" w:w="1520"/>
            <w:tcMar>
              <w:top w:type="dxa" w:w="50"/>
              <w:left w:type="dxa" w:w="90"/>
              <w:bottom w:type="dxa" w:w="50"/>
              <w:right w:type="dxa" w:w="90"/>
            </w:tcMar>
          </w:tcPr>
          <w:p>
            <w:pPr>
              <w:spacing w:after="30" w:before="30" w:line="230"/>
            </w:pPr>
            <w:r>
              <w:rPr>
                <w:b w:val="false"/>
                <w:bCs w:val="false"/>
                <w:color w:val="000000"/>
                <w:sz w:val="17"/>
                <w:szCs w:val="17"/>
              </w:rPr>
              <w:t xml:space="preserve">NOT REQUESTED</w:t>
            </w:r>
          </w:p>
        </w:tc>
      </w:tr>
      <w:tr>
        <w:tc>
          <w:tcPr>
            <w:tcW w:type="dxa" w:w="3000"/>
            <w:shd w:fill="F2F4F8" w:color="auto" w:val="clear"/>
            <w:tcMar>
              <w:top w:type="dxa" w:w="50"/>
              <w:left w:type="dxa" w:w="90"/>
              <w:bottom w:type="dxa" w:w="50"/>
              <w:right w:type="dxa" w:w="90"/>
            </w:tcMar>
          </w:tcPr>
          <w:p>
            <w:pPr>
              <w:spacing w:after="30" w:before="30" w:line="230"/>
            </w:pPr>
            <w:r>
              <w:rPr>
                <w:b/>
                <w:bCs/>
                <w:color w:val="000000"/>
                <w:sz w:val="17"/>
                <w:szCs w:val="17"/>
              </w:rPr>
              <w:t xml:space="preserve">ICH E2B(R3) implementation package — IG, BFC appendix, ICH ICSR XML schema set, reference instances, Appendix I(F) code lists</w:t>
            </w:r>
          </w:p>
        </w:tc>
        <w:tc>
          <w:tcPr>
            <w:tcW w:type="dxa" w:w="26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The serializer and the XSD validator</w:t>
            </w:r>
          </w:p>
        </w:tc>
        <w:tc>
          <w:tcPr>
            <w:tcW w:type="dxa" w:w="19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Developer</w:t>
            </w:r>
          </w:p>
        </w:tc>
        <w:tc>
          <w:tcPr>
            <w:tcW w:type="dxa" w:w="152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Free download — see section 10</w:t>
            </w:r>
          </w:p>
        </w:tc>
      </w:tr>
      <w:tr>
        <w:tc>
          <w:tcPr>
            <w:tcW w:type="dxa" w:w="3000"/>
            <w:tcMar>
              <w:top w:type="dxa" w:w="50"/>
              <w:left w:type="dxa" w:w="90"/>
              <w:bottom w:type="dxa" w:w="50"/>
              <w:right w:type="dxa" w:w="90"/>
            </w:tcMar>
          </w:tcPr>
          <w:p>
            <w:pPr>
              <w:spacing w:after="30" w:before="30" w:line="230"/>
            </w:pPr>
            <w:r>
              <w:rPr>
                <w:b/>
                <w:bCs/>
                <w:color w:val="000000"/>
                <w:sz w:val="17"/>
                <w:szCs w:val="17"/>
              </w:rPr>
              <w:t xml:space="preserve">MedDRA subscription and coding workflow</w:t>
            </w:r>
          </w:p>
        </w:tc>
        <w:tc>
          <w:tcPr>
            <w:tcW w:type="dxa" w:w="2600"/>
            <w:tcMar>
              <w:top w:type="dxa" w:w="50"/>
              <w:left w:type="dxa" w:w="90"/>
              <w:bottom w:type="dxa" w:w="50"/>
              <w:right w:type="dxa" w:w="90"/>
            </w:tcMar>
          </w:tcPr>
          <w:p>
            <w:pPr>
              <w:spacing w:after="30" w:before="30" w:line="230"/>
            </w:pPr>
            <w:r>
              <w:rPr>
                <w:b w:val="false"/>
                <w:bCs w:val="false"/>
                <w:color w:val="000000"/>
                <w:sz w:val="17"/>
                <w:szCs w:val="17"/>
              </w:rPr>
              <w:t xml:space="preserve">E.i.2.1</w:t>
            </w:r>
          </w:p>
        </w:tc>
        <w:tc>
          <w:tcPr>
            <w:tcW w:type="dxa" w:w="1900"/>
            <w:tcMar>
              <w:top w:type="dxa" w:w="50"/>
              <w:left w:type="dxa" w:w="90"/>
              <w:bottom w:type="dxa" w:w="50"/>
              <w:right w:type="dxa" w:w="90"/>
            </w:tcMar>
          </w:tcPr>
          <w:p>
            <w:pPr>
              <w:spacing w:after="30" w:before="30" w:line="230"/>
            </w:pPr>
            <w:r>
              <w:rPr>
                <w:b w:val="false"/>
                <w:bCs w:val="false"/>
                <w:color w:val="000000"/>
                <w:sz w:val="17"/>
                <w:szCs w:val="17"/>
              </w:rPr>
              <w:t xml:space="preserve">MedNova</w:t>
            </w:r>
          </w:p>
        </w:tc>
        <w:tc>
          <w:tcPr>
            <w:tcW w:type="dxa" w:w="1520"/>
            <w:tcMar>
              <w:top w:type="dxa" w:w="50"/>
              <w:left w:type="dxa" w:w="90"/>
              <w:bottom w:type="dxa" w:w="50"/>
              <w:right w:type="dxa" w:w="90"/>
            </w:tcMar>
          </w:tcPr>
          <w:p>
            <w:pPr>
              <w:spacing w:after="30" w:before="30" w:line="230"/>
            </w:pPr>
            <w:r>
              <w:rPr>
                <w:b w:val="false"/>
                <w:bCs w:val="false"/>
                <w:color w:val="000000"/>
                <w:sz w:val="17"/>
                <w:szCs w:val="17"/>
              </w:rPr>
              <w:t xml:space="preserve">See D5</w:t>
            </w:r>
          </w:p>
        </w:tc>
      </w:tr>
      <w:tr>
        <w:tc>
          <w:tcPr>
            <w:tcW w:type="dxa" w:w="3000"/>
            <w:shd w:fill="F2F4F8" w:color="auto" w:val="clear"/>
            <w:tcMar>
              <w:top w:type="dxa" w:w="50"/>
              <w:left w:type="dxa" w:w="90"/>
              <w:bottom w:type="dxa" w:w="50"/>
              <w:right w:type="dxa" w:w="90"/>
            </w:tcMar>
          </w:tcPr>
          <w:p>
            <w:pPr>
              <w:spacing w:after="30" w:before="30" w:line="230"/>
            </w:pPr>
            <w:r>
              <w:rPr>
                <w:b/>
                <w:bCs/>
                <w:color w:val="000000"/>
                <w:sz w:val="17"/>
                <w:szCs w:val="17"/>
              </w:rPr>
              <w:t xml:space="preserve">NAFDAC / UMC sender and receiver identifiers</w:t>
            </w:r>
          </w:p>
        </w:tc>
        <w:tc>
          <w:tcPr>
            <w:tcW w:type="dxa" w:w="26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Wrapper elements</w:t>
            </w:r>
          </w:p>
        </w:tc>
        <w:tc>
          <w:tcPr>
            <w:tcW w:type="dxa" w:w="19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MedNova</w:t>
            </w:r>
          </w:p>
        </w:tc>
        <w:tc>
          <w:tcPr>
            <w:tcW w:type="dxa" w:w="152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See D4</w:t>
            </w:r>
          </w:p>
        </w:tc>
      </w:tr>
    </w:tbl>
    <w:p>
      <w:pPr>
        <w:pBdr>
          <w:left w:val="single" w:color="D08A00" w:sz="12"/>
        </w:pBdr>
        <w:shd w:fill="FFF4E0" w:color="auto" w:val="clear"/>
        <w:spacing w:after="140" w:before="100" w:line="260"/>
        <w:ind w:left="120"/>
      </w:pPr>
      <w:r>
        <w:rPr>
          <w:sz w:val="19"/>
          <w:szCs w:val="19"/>
        </w:rPr>
        <w:t xml:space="preserve">The reaction codebook is the single highest-value item on this list and it is external to the development team. Request it before the sprint starts. Everything in Track B is idle until it arrives.</w:t>
      </w:r>
    </w:p>
    <w:p>
      <w:r>
        <w:br w:type="page"/>
      </w:r>
    </w:p>
    <w:p>
      <w:pPr>
        <w:pStyle w:val="Heading1"/>
        <w:spacing w:after="150" w:before="340"/>
      </w:pPr>
      <w:r>
        <w:rPr>
          <w:b/>
          <w:bCs/>
          <w:color w:val="1F3864"/>
          <w:sz w:val="26"/>
          <w:szCs w:val="26"/>
        </w:rPr>
        <w:t xml:space="preserve">5. Field-level mapping</w:t>
      </w:r>
    </w:p>
    <w:p>
      <w:pPr>
        <w:spacing w:after="80" w:line="260"/>
      </w:pPr>
      <w:r>
        <w:rPr>
          <w:b w:val="false"/>
          <w:bCs w:val="false"/>
          <w:i w:val="false"/>
          <w:iCs w:val="false"/>
          <w:sz w:val="20"/>
          <w:szCs w:val="20"/>
        </w:rPr>
        <w:t xml:space="preserve">Conformance values are as stated in the ICH IG. "Required" means the element must be present in a valid message. Where a required element has no value, it must be transmitted with a nullFlavor; where an optional element has no value, it must be omitted entirely — a blank optional tag must not appear in the XML.</w:t>
      </w:r>
    </w:p>
    <w:p>
      <w:pPr>
        <w:pStyle w:val="Heading2"/>
        <w:spacing w:after="100" w:before="220"/>
      </w:pPr>
      <w:r>
        <w:rPr>
          <w:b/>
          <w:bCs/>
          <w:color w:val="2E4A7D"/>
          <w:sz w:val="21"/>
          <w:szCs w:val="21"/>
        </w:rPr>
        <w:t xml:space="preserve">5.1 Transmission wrappers (N)</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1900"/>
        <w:gridCol w:w="2300"/>
        <w:gridCol w:w="850"/>
        <w:gridCol w:w="3970"/>
      </w:tblGrid>
      <w:tr>
        <w:trPr>
          <w:tblHeader/>
        </w:trPr>
        <w:tc>
          <w:tcPr>
            <w:tcW w:type="dxa" w:w="1900"/>
            <w:shd w:fill="1F3864" w:color="auto" w:val="clear"/>
            <w:tcMar>
              <w:top w:type="dxa" w:w="50"/>
              <w:left w:type="dxa" w:w="90"/>
              <w:bottom w:type="dxa" w:w="50"/>
              <w:right w:type="dxa" w:w="90"/>
            </w:tcMar>
          </w:tcPr>
          <w:p>
            <w:pPr>
              <w:spacing w:after="30" w:before="30" w:line="230"/>
            </w:pPr>
            <w:r>
              <w:rPr>
                <w:b/>
                <w:bCs/>
                <w:color w:val="FFFFFF"/>
                <w:sz w:val="17"/>
                <w:szCs w:val="17"/>
              </w:rPr>
              <w:t xml:space="preserve">Current tag</w:t>
            </w:r>
          </w:p>
        </w:tc>
        <w:tc>
          <w:tcPr>
            <w:tcW w:type="dxa" w:w="2300"/>
            <w:shd w:fill="1F3864" w:color="auto" w:val="clear"/>
            <w:tcMar>
              <w:top w:type="dxa" w:w="50"/>
              <w:left w:type="dxa" w:w="90"/>
              <w:bottom w:type="dxa" w:w="50"/>
              <w:right w:type="dxa" w:w="90"/>
            </w:tcMar>
          </w:tcPr>
          <w:p>
            <w:pPr>
              <w:spacing w:after="30" w:before="30" w:line="230"/>
            </w:pPr>
            <w:r>
              <w:rPr>
                <w:b/>
                <w:bCs/>
                <w:color w:val="FFFFFF"/>
                <w:sz w:val="17"/>
                <w:szCs w:val="17"/>
              </w:rPr>
              <w:t xml:space="preserve">E2B(R3) element</w:t>
            </w:r>
          </w:p>
        </w:tc>
        <w:tc>
          <w:tcPr>
            <w:tcW w:type="dxa" w:w="850"/>
            <w:shd w:fill="1F3864" w:color="auto" w:val="clear"/>
            <w:tcMar>
              <w:top w:type="dxa" w:w="50"/>
              <w:left w:type="dxa" w:w="90"/>
              <w:bottom w:type="dxa" w:w="50"/>
              <w:right w:type="dxa" w:w="90"/>
            </w:tcMar>
          </w:tcPr>
          <w:p>
            <w:pPr>
              <w:spacing w:after="30" w:before="30" w:line="230"/>
            </w:pPr>
            <w:r>
              <w:rPr>
                <w:b/>
                <w:bCs/>
                <w:color w:val="FFFFFF"/>
                <w:sz w:val="17"/>
                <w:szCs w:val="17"/>
              </w:rPr>
              <w:t xml:space="preserve">Conf.</w:t>
            </w:r>
          </w:p>
        </w:tc>
        <w:tc>
          <w:tcPr>
            <w:tcW w:type="dxa" w:w="3970"/>
            <w:shd w:fill="1F3864" w:color="auto" w:val="clear"/>
            <w:tcMar>
              <w:top w:type="dxa" w:w="50"/>
              <w:left w:type="dxa" w:w="90"/>
              <w:bottom w:type="dxa" w:w="50"/>
              <w:right w:type="dxa" w:w="90"/>
            </w:tcMar>
          </w:tcPr>
          <w:p>
            <w:pPr>
              <w:spacing w:after="30" w:before="30" w:line="230"/>
            </w:pPr>
            <w:r>
              <w:rPr>
                <w:b/>
                <w:bCs/>
                <w:color w:val="FFFFFF"/>
                <w:sz w:val="17"/>
                <w:szCs w:val="17"/>
              </w:rPr>
              <w:t xml:space="preserve">Rule</w:t>
            </w:r>
          </w:p>
        </w:tc>
      </w:tr>
      <w:tr>
        <w:tc>
          <w:tcPr>
            <w:tcW w:type="dxa" w:w="19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messageformatversion / messageformatrelease</w:t>
            </w:r>
          </w:p>
        </w:tc>
        <w:tc>
          <w:tcPr>
            <w:tcW w:type="dxa" w:w="2300"/>
            <w:tcMar>
              <w:top w:type="dxa" w:w="50"/>
              <w:left w:type="dxa" w:w="90"/>
              <w:bottom w:type="dxa" w:w="50"/>
              <w:right w:type="dxa" w:w="90"/>
            </w:tcMar>
          </w:tcPr>
          <w:p>
            <w:pPr>
              <w:spacing w:after="30" w:before="30" w:line="230"/>
            </w:pPr>
            <w:r>
              <w:rPr>
                <w:b w:val="false"/>
                <w:bCs w:val="false"/>
                <w:color w:val="000000"/>
                <w:sz w:val="17"/>
                <w:szCs w:val="17"/>
              </w:rPr>
              <w:t xml:space="preserve">— (no equivalent)</w:t>
            </w:r>
          </w:p>
        </w:tc>
        <w:tc>
          <w:tcPr>
            <w:tcW w:type="dxa" w:w="850"/>
            <w:tcMar>
              <w:top w:type="dxa" w:w="50"/>
              <w:left w:type="dxa" w:w="90"/>
              <w:bottom w:type="dxa" w:w="50"/>
              <w:right w:type="dxa" w:w="90"/>
            </w:tcMar>
          </w:tcPr>
          <w:p>
            <w:pPr>
              <w:spacing w:after="30" w:before="30" w:line="230"/>
            </w:pPr>
            <w:r>
              <w:rPr>
                <w:b w:val="false"/>
                <w:bCs w:val="false"/>
                <w:color w:val="000000"/>
                <w:sz w:val="17"/>
                <w:szCs w:val="17"/>
              </w:rPr>
              <w:t xml:space="preserve">n/a</w:t>
            </w:r>
          </w:p>
        </w:tc>
        <w:tc>
          <w:tcPr>
            <w:tcW w:type="dxa" w:w="3970"/>
            <w:tcMar>
              <w:top w:type="dxa" w:w="50"/>
              <w:left w:type="dxa" w:w="90"/>
              <w:bottom w:type="dxa" w:w="50"/>
              <w:right w:type="dxa" w:w="90"/>
            </w:tcMar>
          </w:tcPr>
          <w:p>
            <w:pPr>
              <w:spacing w:after="30" w:before="30" w:line="230"/>
            </w:pPr>
            <w:r>
              <w:rPr>
                <w:b w:val="false"/>
                <w:bCs w:val="false"/>
                <w:color w:val="000000"/>
                <w:sz w:val="17"/>
                <w:szCs w:val="17"/>
              </w:rPr>
              <w:t xml:space="preserve">Delete both. In R3 the version is carried by the schema and namespaces, not by a declared value. Emitting them is what makes the current file self-contradictory.</w:t>
            </w:r>
          </w:p>
        </w:tc>
      </w:tr>
      <w:tr>
        <w:tc>
          <w:tcPr>
            <w:tcW w:type="dxa" w:w="190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N.1.1 Type of Messages in Batch</w:t>
            </w:r>
          </w:p>
        </w:tc>
        <w:tc>
          <w:tcPr>
            <w:tcW w:type="dxa" w:w="8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39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Value 1 = ichicsr. Case-sensitive; lower case only. OID 2.16.840.1.113883.3.989.2.1.1.1</w:t>
            </w:r>
          </w:p>
        </w:tc>
      </w:tr>
      <w:tr>
        <w:tc>
          <w:tcPr>
            <w:tcW w:type="dxa" w:w="19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00"/>
            <w:tcMar>
              <w:top w:type="dxa" w:w="50"/>
              <w:left w:type="dxa" w:w="90"/>
              <w:bottom w:type="dxa" w:w="50"/>
              <w:right w:type="dxa" w:w="90"/>
            </w:tcMar>
          </w:tcPr>
          <w:p>
            <w:pPr>
              <w:spacing w:after="30" w:before="30" w:line="230"/>
            </w:pPr>
            <w:r>
              <w:rPr>
                <w:b w:val="false"/>
                <w:bCs w:val="false"/>
                <w:color w:val="000000"/>
                <w:sz w:val="17"/>
                <w:szCs w:val="17"/>
              </w:rPr>
              <w:t xml:space="preserve">N.1.2 Batch Number</w:t>
            </w:r>
          </w:p>
        </w:tc>
        <w:tc>
          <w:tcPr>
            <w:tcW w:type="dxa" w:w="850"/>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3970"/>
            <w:tcMar>
              <w:top w:type="dxa" w:w="50"/>
              <w:left w:type="dxa" w:w="90"/>
              <w:bottom w:type="dxa" w:w="50"/>
              <w:right w:type="dxa" w:w="90"/>
            </w:tcMar>
          </w:tcPr>
          <w:p>
            <w:pPr>
              <w:spacing w:after="30" w:before="30" w:line="230"/>
            </w:pPr>
            <w:r>
              <w:rPr>
                <w:b w:val="false"/>
                <w:bCs w:val="false"/>
                <w:color w:val="000000"/>
                <w:sz w:val="17"/>
                <w:szCs w:val="17"/>
              </w:rPr>
              <w:t xml:space="preserve">Unique tracking number per outbound batch, unique to the sender. 100AN. Namespace OID ...2.1.3.22</w:t>
            </w:r>
          </w:p>
        </w:tc>
      </w:tr>
      <w:tr>
        <w:tc>
          <w:tcPr>
            <w:tcW w:type="dxa" w:w="190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N.1.3 Batch Sender Identifier</w:t>
            </w:r>
          </w:p>
        </w:tc>
        <w:tc>
          <w:tcPr>
            <w:tcW w:type="dxa" w:w="8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39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60AN. Agreed with NAFDAC (D4). Namespace OID ...2.1.3.13</w:t>
            </w:r>
          </w:p>
        </w:tc>
      </w:tr>
      <w:tr>
        <w:tc>
          <w:tcPr>
            <w:tcW w:type="dxa" w:w="19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00"/>
            <w:tcMar>
              <w:top w:type="dxa" w:w="50"/>
              <w:left w:type="dxa" w:w="90"/>
              <w:bottom w:type="dxa" w:w="50"/>
              <w:right w:type="dxa" w:w="90"/>
            </w:tcMar>
          </w:tcPr>
          <w:p>
            <w:pPr>
              <w:spacing w:after="30" w:before="30" w:line="230"/>
            </w:pPr>
            <w:r>
              <w:rPr>
                <w:b w:val="false"/>
                <w:bCs w:val="false"/>
                <w:color w:val="000000"/>
                <w:sz w:val="17"/>
                <w:szCs w:val="17"/>
              </w:rPr>
              <w:t xml:space="preserve">N.1.4 Batch Receiver Identifier</w:t>
            </w:r>
          </w:p>
        </w:tc>
        <w:tc>
          <w:tcPr>
            <w:tcW w:type="dxa" w:w="850"/>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3970"/>
            <w:tcMar>
              <w:top w:type="dxa" w:w="50"/>
              <w:left w:type="dxa" w:w="90"/>
              <w:bottom w:type="dxa" w:w="50"/>
              <w:right w:type="dxa" w:w="90"/>
            </w:tcMar>
          </w:tcPr>
          <w:p>
            <w:pPr>
              <w:spacing w:after="30" w:before="30" w:line="230"/>
            </w:pPr>
            <w:r>
              <w:rPr>
                <w:b w:val="false"/>
                <w:bCs w:val="false"/>
                <w:color w:val="000000"/>
                <w:sz w:val="17"/>
                <w:szCs w:val="17"/>
              </w:rPr>
              <w:t xml:space="preserve">60AN. Agreed with NAFDAC (D4). Namespace OID ...2.1.3.14</w:t>
            </w:r>
          </w:p>
        </w:tc>
      </w:tr>
      <w:tr>
        <w:tc>
          <w:tcPr>
            <w:tcW w:type="dxa" w:w="190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messagedate 20260909T12355</w:t>
            </w:r>
          </w:p>
        </w:tc>
        <w:tc>
          <w:tcPr>
            <w:tcW w:type="dxa" w:w="23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N.1.5 Date of Batch Transmission</w:t>
            </w:r>
          </w:p>
        </w:tc>
        <w:tc>
          <w:tcPr>
            <w:tcW w:type="dxa" w:w="8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39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CCYYMMDDhhmmss[+/-ZZzz], full precision to the second. Local time at point of transmission. Future dates are rejected.</w:t>
            </w:r>
          </w:p>
        </w:tc>
      </w:tr>
      <w:tr>
        <w:tc>
          <w:tcPr>
            <w:tcW w:type="dxa" w:w="19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00"/>
            <w:tcMar>
              <w:top w:type="dxa" w:w="50"/>
              <w:left w:type="dxa" w:w="90"/>
              <w:bottom w:type="dxa" w:w="50"/>
              <w:right w:type="dxa" w:w="90"/>
            </w:tcMar>
          </w:tcPr>
          <w:p>
            <w:pPr>
              <w:spacing w:after="30" w:before="30" w:line="230"/>
            </w:pPr>
            <w:r>
              <w:rPr>
                <w:b w:val="false"/>
                <w:bCs w:val="false"/>
                <w:color w:val="000000"/>
                <w:sz w:val="17"/>
                <w:szCs w:val="17"/>
              </w:rPr>
              <w:t xml:space="preserve">N.2.r.1 Message Identifier</w:t>
            </w:r>
          </w:p>
        </w:tc>
        <w:tc>
          <w:tcPr>
            <w:tcW w:type="dxa" w:w="850"/>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3970"/>
            <w:tcMar>
              <w:top w:type="dxa" w:w="50"/>
              <w:left w:type="dxa" w:w="90"/>
              <w:bottom w:type="dxa" w:w="50"/>
              <w:right w:type="dxa" w:w="90"/>
            </w:tcMar>
          </w:tcPr>
          <w:p>
            <w:pPr>
              <w:spacing w:after="30" w:before="30" w:line="230"/>
            </w:pPr>
            <w:r>
              <w:rPr>
                <w:b w:val="false"/>
                <w:bCs w:val="false"/>
                <w:color w:val="000000"/>
                <w:sz w:val="17"/>
                <w:szCs w:val="17"/>
              </w:rPr>
              <w:t xml:space="preserve">Must equal C.1.1. One message contains exactly one ICSR. Namespace OID ...2.1.3.1</w:t>
            </w:r>
          </w:p>
        </w:tc>
      </w:tr>
      <w:tr>
        <w:tc>
          <w:tcPr>
            <w:tcW w:type="dxa" w:w="190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N.2.r.2 / N.2.r.3 Message Sender / Receiver Identifier</w:t>
            </w:r>
          </w:p>
        </w:tc>
        <w:tc>
          <w:tcPr>
            <w:tcW w:type="dxa" w:w="8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39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60AN each. Namespace OIDs ...2.1.3.11 and ...2.1.3.12</w:t>
            </w:r>
          </w:p>
        </w:tc>
      </w:tr>
      <w:tr>
        <w:tc>
          <w:tcPr>
            <w:tcW w:type="dxa" w:w="19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00"/>
            <w:tcMar>
              <w:top w:type="dxa" w:w="50"/>
              <w:left w:type="dxa" w:w="90"/>
              <w:bottom w:type="dxa" w:w="50"/>
              <w:right w:type="dxa" w:w="90"/>
            </w:tcMar>
          </w:tcPr>
          <w:p>
            <w:pPr>
              <w:spacing w:after="30" w:before="30" w:line="230"/>
            </w:pPr>
            <w:r>
              <w:rPr>
                <w:b w:val="false"/>
                <w:bCs w:val="false"/>
                <w:color w:val="000000"/>
                <w:sz w:val="17"/>
                <w:szCs w:val="17"/>
              </w:rPr>
              <w:t xml:space="preserve">N.2.r.4 Date of Message Creation</w:t>
            </w:r>
          </w:p>
        </w:tc>
        <w:tc>
          <w:tcPr>
            <w:tcW w:type="dxa" w:w="850"/>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3970"/>
            <w:tcMar>
              <w:top w:type="dxa" w:w="50"/>
              <w:left w:type="dxa" w:w="90"/>
              <w:bottom w:type="dxa" w:w="50"/>
              <w:right w:type="dxa" w:w="90"/>
            </w:tcMar>
          </w:tcPr>
          <w:p>
            <w:pPr>
              <w:spacing w:after="30" w:before="30" w:line="230"/>
            </w:pPr>
            <w:r>
              <w:rPr>
                <w:b w:val="false"/>
                <w:bCs w:val="false"/>
                <w:color w:val="000000"/>
                <w:sz w:val="17"/>
                <w:szCs w:val="17"/>
              </w:rPr>
              <w:t xml:space="preserve">Must equal C.1.2. Precision to the second.</w:t>
            </w:r>
          </w:p>
        </w:tc>
      </w:tr>
    </w:tbl>
    <w:p>
      <w:pPr>
        <w:pStyle w:val="Heading2"/>
        <w:spacing w:after="100" w:before="220"/>
      </w:pPr>
      <w:r>
        <w:rPr>
          <w:b/>
          <w:bCs/>
          <w:color w:val="2E4A7D"/>
          <w:sz w:val="21"/>
          <w:szCs w:val="21"/>
        </w:rPr>
        <w:t xml:space="preserve">5.2 Case identification (C.1)</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1400"/>
        <w:gridCol w:w="2500"/>
        <w:gridCol w:w="850"/>
        <w:gridCol w:w="4270"/>
      </w:tblGrid>
      <w:tr>
        <w:trPr>
          <w:tblHeader/>
        </w:trPr>
        <w:tc>
          <w:tcPr>
            <w:tcW w:type="dxa" w:w="1400"/>
            <w:shd w:fill="1F3864" w:color="auto" w:val="clear"/>
            <w:tcMar>
              <w:top w:type="dxa" w:w="50"/>
              <w:left w:type="dxa" w:w="90"/>
              <w:bottom w:type="dxa" w:w="50"/>
              <w:right w:type="dxa" w:w="90"/>
            </w:tcMar>
          </w:tcPr>
          <w:p>
            <w:pPr>
              <w:spacing w:after="30" w:before="30" w:line="230"/>
            </w:pPr>
            <w:r>
              <w:rPr>
                <w:b/>
                <w:bCs/>
                <w:color w:val="FFFFFF"/>
                <w:sz w:val="17"/>
                <w:szCs w:val="17"/>
              </w:rPr>
              <w:t xml:space="preserve">Current tag</w:t>
            </w:r>
          </w:p>
        </w:tc>
        <w:tc>
          <w:tcPr>
            <w:tcW w:type="dxa" w:w="2500"/>
            <w:shd w:fill="1F3864" w:color="auto" w:val="clear"/>
            <w:tcMar>
              <w:top w:type="dxa" w:w="50"/>
              <w:left w:type="dxa" w:w="90"/>
              <w:bottom w:type="dxa" w:w="50"/>
              <w:right w:type="dxa" w:w="90"/>
            </w:tcMar>
          </w:tcPr>
          <w:p>
            <w:pPr>
              <w:spacing w:after="30" w:before="30" w:line="230"/>
            </w:pPr>
            <w:r>
              <w:rPr>
                <w:b/>
                <w:bCs/>
                <w:color w:val="FFFFFF"/>
                <w:sz w:val="17"/>
                <w:szCs w:val="17"/>
              </w:rPr>
              <w:t xml:space="preserve">E2B(R3) element</w:t>
            </w:r>
          </w:p>
        </w:tc>
        <w:tc>
          <w:tcPr>
            <w:tcW w:type="dxa" w:w="850"/>
            <w:shd w:fill="1F3864" w:color="auto" w:val="clear"/>
            <w:tcMar>
              <w:top w:type="dxa" w:w="50"/>
              <w:left w:type="dxa" w:w="90"/>
              <w:bottom w:type="dxa" w:w="50"/>
              <w:right w:type="dxa" w:w="90"/>
            </w:tcMar>
          </w:tcPr>
          <w:p>
            <w:pPr>
              <w:spacing w:after="30" w:before="30" w:line="230"/>
            </w:pPr>
            <w:r>
              <w:rPr>
                <w:b/>
                <w:bCs/>
                <w:color w:val="FFFFFF"/>
                <w:sz w:val="17"/>
                <w:szCs w:val="17"/>
              </w:rPr>
              <w:t xml:space="preserve">Conf.</w:t>
            </w:r>
          </w:p>
        </w:tc>
        <w:tc>
          <w:tcPr>
            <w:tcW w:type="dxa" w:w="4270"/>
            <w:shd w:fill="1F3864" w:color="auto" w:val="clear"/>
            <w:tcMar>
              <w:top w:type="dxa" w:w="50"/>
              <w:left w:type="dxa" w:w="90"/>
              <w:bottom w:type="dxa" w:w="50"/>
              <w:right w:type="dxa" w:w="90"/>
            </w:tcMar>
          </w:tcPr>
          <w:p>
            <w:pPr>
              <w:spacing w:after="30" w:before="30" w:line="230"/>
            </w:pPr>
            <w:r>
              <w:rPr>
                <w:b/>
                <w:bCs/>
                <w:color w:val="FFFFFF"/>
                <w:sz w:val="17"/>
                <w:szCs w:val="17"/>
              </w:rPr>
              <w:t xml:space="preserve">Rule</w:t>
            </w:r>
          </w:p>
        </w:tc>
      </w:tr>
      <w:tr>
        <w:tc>
          <w:tcPr>
            <w:tcW w:type="dxa" w:w="14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safetyreportid</w:t>
            </w:r>
          </w:p>
        </w:tc>
        <w:tc>
          <w:tcPr>
            <w:tcW w:type="dxa" w:w="2500"/>
            <w:tcMar>
              <w:top w:type="dxa" w:w="50"/>
              <w:left w:type="dxa" w:w="90"/>
              <w:bottom w:type="dxa" w:w="50"/>
              <w:right w:type="dxa" w:w="90"/>
            </w:tcMar>
          </w:tcPr>
          <w:p>
            <w:pPr>
              <w:spacing w:after="30" w:before="30" w:line="230"/>
            </w:pPr>
            <w:r>
              <w:rPr>
                <w:b w:val="false"/>
                <w:bCs w:val="false"/>
                <w:color w:val="000000"/>
                <w:sz w:val="17"/>
                <w:szCs w:val="17"/>
              </w:rPr>
              <w:t xml:space="preserve">C.1.1 Sender's (case) Safety Report Unique Identifier</w:t>
            </w:r>
          </w:p>
        </w:tc>
        <w:tc>
          <w:tcPr>
            <w:tcW w:type="dxa" w:w="850"/>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4270"/>
            <w:tcMar>
              <w:top w:type="dxa" w:w="50"/>
              <w:left w:type="dxa" w:w="90"/>
              <w:bottom w:type="dxa" w:w="50"/>
              <w:right w:type="dxa" w:w="90"/>
            </w:tcMar>
          </w:tcPr>
          <w:p>
            <w:pPr>
              <w:spacing w:after="30" w:before="30" w:line="230"/>
            </w:pPr>
            <w:r>
              <w:rPr>
                <w:b w:val="false"/>
                <w:bCs w:val="false"/>
                <w:color w:val="000000"/>
                <w:sz w:val="17"/>
                <w:szCs w:val="17"/>
              </w:rPr>
              <w:t xml:space="preserve">Concatenation of three segments separated by hyphens: country code – organisation – report number. Country code is the ISO 3166-1 alpha-2 code of the primary source country (NG). No hyphen inside the organisation segment. Example: NG-MEDNOVA-000112. 100AN, namespace OID ...2.1.3.1</w:t>
            </w:r>
          </w:p>
        </w:tc>
      </w:tr>
      <w:tr>
        <w:tc>
          <w:tcPr>
            <w:tcW w:type="dxa" w:w="140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5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C.1.2 Date of Creation</w:t>
            </w:r>
          </w:p>
        </w:tc>
        <w:tc>
          <w:tcPr>
            <w:tcW w:type="dxa" w:w="8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42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Functions as the version number. Every version of an ICSR must have a different value. Precision to the second, no future dates.</w:t>
            </w:r>
          </w:p>
        </w:tc>
      </w:tr>
      <w:tr>
        <w:tc>
          <w:tcPr>
            <w:tcW w:type="dxa" w:w="14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500"/>
            <w:tcMar>
              <w:top w:type="dxa" w:w="50"/>
              <w:left w:type="dxa" w:w="90"/>
              <w:bottom w:type="dxa" w:w="50"/>
              <w:right w:type="dxa" w:w="90"/>
            </w:tcMar>
          </w:tcPr>
          <w:p>
            <w:pPr>
              <w:spacing w:after="30" w:before="30" w:line="230"/>
            </w:pPr>
            <w:r>
              <w:rPr>
                <w:b w:val="false"/>
                <w:bCs w:val="false"/>
                <w:color w:val="000000"/>
                <w:sz w:val="17"/>
                <w:szCs w:val="17"/>
              </w:rPr>
              <w:t xml:space="preserve">C.1.3 Type of Report</w:t>
            </w:r>
          </w:p>
        </w:tc>
        <w:tc>
          <w:tcPr>
            <w:tcW w:type="dxa" w:w="850"/>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4270"/>
            <w:tcMar>
              <w:top w:type="dxa" w:w="50"/>
              <w:left w:type="dxa" w:w="90"/>
              <w:bottom w:type="dxa" w:w="50"/>
              <w:right w:type="dxa" w:w="90"/>
            </w:tcMar>
          </w:tcPr>
          <w:p>
            <w:pPr>
              <w:spacing w:after="30" w:before="30" w:line="230"/>
            </w:pPr>
            <w:r>
              <w:rPr>
                <w:b w:val="false"/>
                <w:bCs w:val="false"/>
                <w:color w:val="000000"/>
                <w:sz w:val="17"/>
                <w:szCs w:val="17"/>
              </w:rPr>
              <w:t xml:space="preserve">1 = Spontaneous report, 2 = Report from study, 3 = Other, 4 = Not available to sender. See D3. OID ...2.1.1.2</w:t>
            </w:r>
          </w:p>
        </w:tc>
      </w:tr>
      <w:tr>
        <w:tc>
          <w:tcPr>
            <w:tcW w:type="dxa" w:w="140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5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C.1.4 Date Report Was First Received from Source</w:t>
            </w:r>
          </w:p>
        </w:tc>
        <w:tc>
          <w:tcPr>
            <w:tcW w:type="dxa" w:w="8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42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Date the information first arrived meeting the four minimum criteria. Precision to the day.</w:t>
            </w:r>
          </w:p>
        </w:tc>
      </w:tr>
      <w:tr>
        <w:tc>
          <w:tcPr>
            <w:tcW w:type="dxa" w:w="14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500"/>
            <w:tcMar>
              <w:top w:type="dxa" w:w="50"/>
              <w:left w:type="dxa" w:w="90"/>
              <w:bottom w:type="dxa" w:w="50"/>
              <w:right w:type="dxa" w:w="90"/>
            </w:tcMar>
          </w:tcPr>
          <w:p>
            <w:pPr>
              <w:spacing w:after="30" w:before="30" w:line="230"/>
            </w:pPr>
            <w:r>
              <w:rPr>
                <w:b w:val="false"/>
                <w:bCs w:val="false"/>
                <w:color w:val="000000"/>
                <w:sz w:val="17"/>
                <w:szCs w:val="17"/>
              </w:rPr>
              <w:t xml:space="preserve">C.1.5 Date of Most Recent Information for This Report</w:t>
            </w:r>
          </w:p>
        </w:tc>
        <w:tc>
          <w:tcPr>
            <w:tcW w:type="dxa" w:w="850"/>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4270"/>
            <w:tcMar>
              <w:top w:type="dxa" w:w="50"/>
              <w:left w:type="dxa" w:w="90"/>
              <w:bottom w:type="dxa" w:w="50"/>
              <w:right w:type="dxa" w:w="90"/>
            </w:tcMar>
          </w:tcPr>
          <w:p>
            <w:pPr>
              <w:spacing w:after="30" w:before="30" w:line="230"/>
            </w:pPr>
            <w:r>
              <w:rPr>
                <w:b w:val="false"/>
                <w:bCs w:val="false"/>
                <w:color w:val="000000"/>
                <w:sz w:val="17"/>
                <w:szCs w:val="17"/>
              </w:rPr>
              <w:t xml:space="preserve">Updated each time follow-up information is received. Precision to the day.</w:t>
            </w:r>
          </w:p>
        </w:tc>
      </w:tr>
      <w:tr>
        <w:tc>
          <w:tcPr>
            <w:tcW w:type="dxa" w:w="140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5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C.1.6.1 Are Additional Documents Available?</w:t>
            </w:r>
          </w:p>
        </w:tc>
        <w:tc>
          <w:tcPr>
            <w:tcW w:type="dxa" w:w="8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42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Boolean. If true, list each document in C.1.6.1.r.1.</w:t>
            </w:r>
          </w:p>
        </w:tc>
      </w:tr>
      <w:tr>
        <w:tc>
          <w:tcPr>
            <w:tcW w:type="dxa" w:w="14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500"/>
            <w:tcMar>
              <w:top w:type="dxa" w:w="50"/>
              <w:left w:type="dxa" w:w="90"/>
              <w:bottom w:type="dxa" w:w="50"/>
              <w:right w:type="dxa" w:w="90"/>
            </w:tcMar>
          </w:tcPr>
          <w:p>
            <w:pPr>
              <w:spacing w:after="30" w:before="30" w:line="230"/>
            </w:pPr>
            <w:r>
              <w:rPr>
                <w:b w:val="false"/>
                <w:bCs w:val="false"/>
                <w:color w:val="000000"/>
                <w:sz w:val="17"/>
                <w:szCs w:val="17"/>
              </w:rPr>
              <w:t xml:space="preserve">C.1.7 Does This Case Fulfil the Local Criteria for an Expedited Report?</w:t>
            </w:r>
          </w:p>
        </w:tc>
        <w:tc>
          <w:tcPr>
            <w:tcW w:type="dxa" w:w="850"/>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4270"/>
            <w:tcMar>
              <w:top w:type="dxa" w:w="50"/>
              <w:left w:type="dxa" w:w="90"/>
              <w:bottom w:type="dxa" w:w="50"/>
              <w:right w:type="dxa" w:w="90"/>
            </w:tcMar>
          </w:tcPr>
          <w:p>
            <w:pPr>
              <w:spacing w:after="30" w:before="30" w:line="230"/>
            </w:pPr>
            <w:r>
              <w:rPr>
                <w:b w:val="false"/>
                <w:bCs w:val="false"/>
                <w:color w:val="000000"/>
                <w:sz w:val="17"/>
                <w:szCs w:val="17"/>
              </w:rPr>
              <w:t xml:space="preserve">Boolean. nullFlavor NI is permitted only when retransmitting a case first received in R2 format.</w:t>
            </w:r>
          </w:p>
        </w:tc>
      </w:tr>
      <w:tr>
        <w:tc>
          <w:tcPr>
            <w:tcW w:type="dxa" w:w="140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5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C.1.8.1 Worldwide Unique Case Identification Number</w:t>
            </w:r>
          </w:p>
        </w:tc>
        <w:tc>
          <w:tcPr>
            <w:tcW w:type="dxa" w:w="8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42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Same format as C.1.1. Must never change across any retransmission. When MedNova creates the first electronic ICSR for a case, C.1.1 and C.1.8.1 are identical. Namespace OID ...2.1.3.2</w:t>
            </w:r>
          </w:p>
        </w:tc>
      </w:tr>
      <w:tr>
        <w:tc>
          <w:tcPr>
            <w:tcW w:type="dxa" w:w="14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500"/>
            <w:tcMar>
              <w:top w:type="dxa" w:w="50"/>
              <w:left w:type="dxa" w:w="90"/>
              <w:bottom w:type="dxa" w:w="50"/>
              <w:right w:type="dxa" w:w="90"/>
            </w:tcMar>
          </w:tcPr>
          <w:p>
            <w:pPr>
              <w:spacing w:after="30" w:before="30" w:line="230"/>
            </w:pPr>
            <w:r>
              <w:rPr>
                <w:b w:val="false"/>
                <w:bCs w:val="false"/>
                <w:color w:val="000000"/>
                <w:sz w:val="17"/>
                <w:szCs w:val="17"/>
              </w:rPr>
              <w:t xml:space="preserve">C.1.8.2 First Sender of This Case</w:t>
            </w:r>
          </w:p>
        </w:tc>
        <w:tc>
          <w:tcPr>
            <w:tcW w:type="dxa" w:w="850"/>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4270"/>
            <w:tcMar>
              <w:top w:type="dxa" w:w="50"/>
              <w:left w:type="dxa" w:w="90"/>
              <w:bottom w:type="dxa" w:w="50"/>
              <w:right w:type="dxa" w:w="90"/>
            </w:tcMar>
          </w:tcPr>
          <w:p>
            <w:pPr>
              <w:spacing w:after="30" w:before="30" w:line="230"/>
            </w:pPr>
            <w:r>
              <w:rPr>
                <w:b w:val="false"/>
                <w:bCs w:val="false"/>
                <w:color w:val="000000"/>
                <w:sz w:val="17"/>
                <w:szCs w:val="17"/>
              </w:rPr>
              <w:t xml:space="preserve">1 = Regulator, 2 = Other. OID ...2.1.1.3</w:t>
            </w:r>
          </w:p>
        </w:tc>
      </w:tr>
      <w:tr>
        <w:tc>
          <w:tcPr>
            <w:tcW w:type="dxa" w:w="140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5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C.1.9.1 Other Case Identifiers in Previous Transmissions</w:t>
            </w:r>
          </w:p>
        </w:tc>
        <w:tc>
          <w:tcPr>
            <w:tcW w:type="dxa" w:w="8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42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Boolean-typed but false is NOT an allowed value. Emit either true (and populate C.1.9.1.r.1 / r.2) or nullFlavor NI. This is a common source of validation failures.</w:t>
            </w:r>
          </w:p>
        </w:tc>
      </w:tr>
      <w:tr>
        <w:tc>
          <w:tcPr>
            <w:tcW w:type="dxa" w:w="14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500"/>
            <w:tcMar>
              <w:top w:type="dxa" w:w="50"/>
              <w:left w:type="dxa" w:w="90"/>
              <w:bottom w:type="dxa" w:w="50"/>
              <w:right w:type="dxa" w:w="90"/>
            </w:tcMar>
          </w:tcPr>
          <w:p>
            <w:pPr>
              <w:spacing w:after="30" w:before="30" w:line="230"/>
            </w:pPr>
            <w:r>
              <w:rPr>
                <w:b w:val="false"/>
                <w:bCs w:val="false"/>
                <w:color w:val="000000"/>
                <w:sz w:val="17"/>
                <w:szCs w:val="17"/>
              </w:rPr>
              <w:t xml:space="preserve">C.1.11.1 Report Nullification / Amendment</w:t>
            </w:r>
          </w:p>
        </w:tc>
        <w:tc>
          <w:tcPr>
            <w:tcW w:type="dxa" w:w="850"/>
            <w:tcMar>
              <w:top w:type="dxa" w:w="50"/>
              <w:left w:type="dxa" w:w="90"/>
              <w:bottom w:type="dxa" w:w="50"/>
              <w:right w:type="dxa" w:w="90"/>
            </w:tcMar>
          </w:tcPr>
          <w:p>
            <w:pPr>
              <w:spacing w:after="30" w:before="30" w:line="230"/>
            </w:pPr>
            <w:r>
              <w:rPr>
                <w:b w:val="false"/>
                <w:bCs w:val="false"/>
                <w:color w:val="000000"/>
                <w:sz w:val="17"/>
                <w:szCs w:val="17"/>
              </w:rPr>
              <w:t xml:space="preserve">Optional</w:t>
            </w:r>
          </w:p>
        </w:tc>
        <w:tc>
          <w:tcPr>
            <w:tcW w:type="dxa" w:w="4270"/>
            <w:tcMar>
              <w:top w:type="dxa" w:w="50"/>
              <w:left w:type="dxa" w:w="90"/>
              <w:bottom w:type="dxa" w:w="50"/>
              <w:right w:type="dxa" w:w="90"/>
            </w:tcMar>
          </w:tcPr>
          <w:p>
            <w:pPr>
              <w:spacing w:after="30" w:before="30" w:line="230"/>
            </w:pPr>
            <w:r>
              <w:rPr>
                <w:b w:val="false"/>
                <w:bCs w:val="false"/>
                <w:color w:val="000000"/>
                <w:sz w:val="17"/>
                <w:szCs w:val="17"/>
              </w:rPr>
              <w:t xml:space="preserve">Needed once cases are live, to void an erroneous case or amend a corrected one. Build it now rather than retrofitting.</w:t>
            </w:r>
          </w:p>
        </w:tc>
      </w:tr>
    </w:tbl>
    <w:p>
      <w:pPr>
        <w:pStyle w:val="Heading2"/>
        <w:spacing w:after="100" w:before="220"/>
      </w:pPr>
      <w:r>
        <w:rPr>
          <w:b/>
          <w:bCs/>
          <w:color w:val="2E4A7D"/>
          <w:sz w:val="21"/>
          <w:szCs w:val="21"/>
        </w:rPr>
        <w:t xml:space="preserve">5.3 Primary source and sender (C.2, C.3)</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1700"/>
        <w:gridCol w:w="2400"/>
        <w:gridCol w:w="1150"/>
        <w:gridCol w:w="3770"/>
      </w:tblGrid>
      <w:tr>
        <w:trPr>
          <w:tblHeader/>
        </w:trPr>
        <w:tc>
          <w:tcPr>
            <w:tcW w:type="dxa" w:w="1700"/>
            <w:shd w:fill="1F3864" w:color="auto" w:val="clear"/>
            <w:tcMar>
              <w:top w:type="dxa" w:w="50"/>
              <w:left w:type="dxa" w:w="90"/>
              <w:bottom w:type="dxa" w:w="50"/>
              <w:right w:type="dxa" w:w="90"/>
            </w:tcMar>
          </w:tcPr>
          <w:p>
            <w:pPr>
              <w:spacing w:after="30" w:before="30" w:line="230"/>
            </w:pPr>
            <w:r>
              <w:rPr>
                <w:b/>
                <w:bCs/>
                <w:color w:val="FFFFFF"/>
                <w:sz w:val="17"/>
                <w:szCs w:val="17"/>
              </w:rPr>
              <w:t xml:space="preserve">Current tag</w:t>
            </w:r>
          </w:p>
        </w:tc>
        <w:tc>
          <w:tcPr>
            <w:tcW w:type="dxa" w:w="2400"/>
            <w:shd w:fill="1F3864" w:color="auto" w:val="clear"/>
            <w:tcMar>
              <w:top w:type="dxa" w:w="50"/>
              <w:left w:type="dxa" w:w="90"/>
              <w:bottom w:type="dxa" w:w="50"/>
              <w:right w:type="dxa" w:w="90"/>
            </w:tcMar>
          </w:tcPr>
          <w:p>
            <w:pPr>
              <w:spacing w:after="30" w:before="30" w:line="230"/>
            </w:pPr>
            <w:r>
              <w:rPr>
                <w:b/>
                <w:bCs/>
                <w:color w:val="FFFFFF"/>
                <w:sz w:val="17"/>
                <w:szCs w:val="17"/>
              </w:rPr>
              <w:t xml:space="preserve">E2B(R3) element</w:t>
            </w:r>
          </w:p>
        </w:tc>
        <w:tc>
          <w:tcPr>
            <w:tcW w:type="dxa" w:w="1150"/>
            <w:shd w:fill="1F3864" w:color="auto" w:val="clear"/>
            <w:tcMar>
              <w:top w:type="dxa" w:w="50"/>
              <w:left w:type="dxa" w:w="90"/>
              <w:bottom w:type="dxa" w:w="50"/>
              <w:right w:type="dxa" w:w="90"/>
            </w:tcMar>
          </w:tcPr>
          <w:p>
            <w:pPr>
              <w:spacing w:after="30" w:before="30" w:line="230"/>
            </w:pPr>
            <w:r>
              <w:rPr>
                <w:b/>
                <w:bCs/>
                <w:color w:val="FFFFFF"/>
                <w:sz w:val="17"/>
                <w:szCs w:val="17"/>
              </w:rPr>
              <w:t xml:space="preserve">Conf.</w:t>
            </w:r>
          </w:p>
        </w:tc>
        <w:tc>
          <w:tcPr>
            <w:tcW w:type="dxa" w:w="3770"/>
            <w:shd w:fill="1F3864" w:color="auto" w:val="clear"/>
            <w:tcMar>
              <w:top w:type="dxa" w:w="50"/>
              <w:left w:type="dxa" w:w="90"/>
              <w:bottom w:type="dxa" w:w="50"/>
              <w:right w:type="dxa" w:w="90"/>
            </w:tcMar>
          </w:tcPr>
          <w:p>
            <w:pPr>
              <w:spacing w:after="30" w:before="30" w:line="230"/>
            </w:pPr>
            <w:r>
              <w:rPr>
                <w:b/>
                <w:bCs/>
                <w:color w:val="FFFFFF"/>
                <w:sz w:val="17"/>
                <w:szCs w:val="17"/>
              </w:rPr>
              <w:t xml:space="preserve">Rule</w:t>
            </w:r>
          </w:p>
        </w:tc>
      </w:tr>
      <w:tr>
        <w:tc>
          <w:tcPr>
            <w:tcW w:type="dxa" w:w="17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400"/>
            <w:tcMar>
              <w:top w:type="dxa" w:w="50"/>
              <w:left w:type="dxa" w:w="90"/>
              <w:bottom w:type="dxa" w:w="50"/>
              <w:right w:type="dxa" w:w="90"/>
            </w:tcMar>
          </w:tcPr>
          <w:p>
            <w:pPr>
              <w:spacing w:after="30" w:before="30" w:line="230"/>
            </w:pPr>
            <w:r>
              <w:rPr>
                <w:b w:val="false"/>
                <w:bCs w:val="false"/>
                <w:color w:val="000000"/>
                <w:sz w:val="17"/>
                <w:szCs w:val="17"/>
              </w:rPr>
              <w:t xml:space="preserve">C.2.r.1 Reporter's Name</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See D2</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Repeatable. At least one identifiable reporter is required for a valid ICSR.</w:t>
            </w:r>
          </w:p>
        </w:tc>
      </w:tr>
      <w:tr>
        <w:tc>
          <w:tcPr>
            <w:tcW w:type="dxa" w:w="170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4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C.2.r.3 Reporter's Country Code</w:t>
            </w:r>
          </w:p>
        </w:tc>
        <w:tc>
          <w:tcPr>
            <w:tcW w:type="dxa" w:w="11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Required admin info</w:t>
            </w:r>
          </w:p>
        </w:tc>
        <w:tc>
          <w:tcPr>
            <w:tcW w:type="dxa" w:w="37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NG. ISO 3166-1 alpha-2, OID 1.0.3166.1.2.2. Also feeds the country segment of C.1.1.</w:t>
            </w:r>
          </w:p>
        </w:tc>
      </w:tr>
      <w:tr>
        <w:tc>
          <w:tcPr>
            <w:tcW w:type="dxa" w:w="17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400"/>
            <w:tcMar>
              <w:top w:type="dxa" w:w="50"/>
              <w:left w:type="dxa" w:w="90"/>
              <w:bottom w:type="dxa" w:w="50"/>
              <w:right w:type="dxa" w:w="90"/>
            </w:tcMar>
          </w:tcPr>
          <w:p>
            <w:pPr>
              <w:spacing w:after="30" w:before="30" w:line="230"/>
            </w:pPr>
            <w:r>
              <w:rPr>
                <w:b w:val="false"/>
                <w:bCs w:val="false"/>
                <w:color w:val="000000"/>
                <w:sz w:val="17"/>
                <w:szCs w:val="17"/>
              </w:rPr>
              <w:t xml:space="preserve">C.2.r.4 Qualification</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See D2</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Coded. OID ...2.1.1.6. Bind the numeric values from Appendix I(F). This is one of the two fields whose absence currently fails validated import.</w:t>
            </w:r>
          </w:p>
        </w:tc>
      </w:tr>
      <w:tr>
        <w:tc>
          <w:tcPr>
            <w:tcW w:type="dxa" w:w="170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4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C.2.r.5 Primary Source for Regulatory Purposes</w:t>
            </w:r>
          </w:p>
        </w:tc>
        <w:tc>
          <w:tcPr>
            <w:tcW w:type="dxa" w:w="11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Required when C.2.r repeats</w:t>
            </w:r>
          </w:p>
        </w:tc>
        <w:tc>
          <w:tcPr>
            <w:tcW w:type="dxa" w:w="37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Exactly one primary source must be flagged.</w:t>
            </w:r>
          </w:p>
        </w:tc>
      </w:tr>
      <w:tr>
        <w:tc>
          <w:tcPr>
            <w:tcW w:type="dxa" w:w="17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preparedby (SafetyCore MVP…)</w:t>
            </w:r>
          </w:p>
        </w:tc>
        <w:tc>
          <w:tcPr>
            <w:tcW w:type="dxa" w:w="2400"/>
            <w:tcMar>
              <w:top w:type="dxa" w:w="50"/>
              <w:left w:type="dxa" w:w="90"/>
              <w:bottom w:type="dxa" w:w="50"/>
              <w:right w:type="dxa" w:w="90"/>
            </w:tcMar>
          </w:tcPr>
          <w:p>
            <w:pPr>
              <w:spacing w:after="30" w:before="30" w:line="230"/>
            </w:pPr>
            <w:r>
              <w:rPr>
                <w:b w:val="false"/>
                <w:bCs w:val="false"/>
                <w:color w:val="000000"/>
                <w:sz w:val="17"/>
                <w:szCs w:val="17"/>
              </w:rPr>
              <w:t xml:space="preserve">C.3.1 Sender Type / C.3.2 Sender's Organisation</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C.3.2 required admin info</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Replace the custom per-case preparedby tag. Sender identity belongs in C.3, once per case, using the values agreed under D4. Build provenance and audit metadata into the application database instead.</w:t>
            </w:r>
          </w:p>
        </w:tc>
      </w:tr>
    </w:tbl>
    <w:p>
      <w:pPr>
        <w:pStyle w:val="Heading2"/>
        <w:spacing w:after="100" w:before="220"/>
      </w:pPr>
      <w:r>
        <w:rPr>
          <w:b/>
          <w:bCs/>
          <w:color w:val="2E4A7D"/>
          <w:sz w:val="21"/>
          <w:szCs w:val="21"/>
        </w:rPr>
        <w:t xml:space="preserve">5.4 Patient (D)</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1750"/>
        <w:gridCol w:w="2350"/>
        <w:gridCol w:w="1150"/>
        <w:gridCol w:w="3770"/>
      </w:tblGrid>
      <w:tr>
        <w:trPr>
          <w:tblHeader/>
        </w:trPr>
        <w:tc>
          <w:tcPr>
            <w:tcW w:type="dxa" w:w="1750"/>
            <w:shd w:fill="1F3864" w:color="auto" w:val="clear"/>
            <w:tcMar>
              <w:top w:type="dxa" w:w="50"/>
              <w:left w:type="dxa" w:w="90"/>
              <w:bottom w:type="dxa" w:w="50"/>
              <w:right w:type="dxa" w:w="90"/>
            </w:tcMar>
          </w:tcPr>
          <w:p>
            <w:pPr>
              <w:spacing w:after="30" w:before="30" w:line="230"/>
            </w:pPr>
            <w:r>
              <w:rPr>
                <w:b/>
                <w:bCs/>
                <w:color w:val="FFFFFF"/>
                <w:sz w:val="17"/>
                <w:szCs w:val="17"/>
              </w:rPr>
              <w:t xml:space="preserve">Current tag</w:t>
            </w:r>
          </w:p>
        </w:tc>
        <w:tc>
          <w:tcPr>
            <w:tcW w:type="dxa" w:w="2350"/>
            <w:shd w:fill="1F3864" w:color="auto" w:val="clear"/>
            <w:tcMar>
              <w:top w:type="dxa" w:w="50"/>
              <w:left w:type="dxa" w:w="90"/>
              <w:bottom w:type="dxa" w:w="50"/>
              <w:right w:type="dxa" w:w="90"/>
            </w:tcMar>
          </w:tcPr>
          <w:p>
            <w:pPr>
              <w:spacing w:after="30" w:before="30" w:line="230"/>
            </w:pPr>
            <w:r>
              <w:rPr>
                <w:b/>
                <w:bCs/>
                <w:color w:val="FFFFFF"/>
                <w:sz w:val="17"/>
                <w:szCs w:val="17"/>
              </w:rPr>
              <w:t xml:space="preserve">E2B(R3) element</w:t>
            </w:r>
          </w:p>
        </w:tc>
        <w:tc>
          <w:tcPr>
            <w:tcW w:type="dxa" w:w="1150"/>
            <w:shd w:fill="1F3864" w:color="auto" w:val="clear"/>
            <w:tcMar>
              <w:top w:type="dxa" w:w="50"/>
              <w:left w:type="dxa" w:w="90"/>
              <w:bottom w:type="dxa" w:w="50"/>
              <w:right w:type="dxa" w:w="90"/>
            </w:tcMar>
          </w:tcPr>
          <w:p>
            <w:pPr>
              <w:spacing w:after="30" w:before="30" w:line="230"/>
            </w:pPr>
            <w:r>
              <w:rPr>
                <w:b/>
                <w:bCs/>
                <w:color w:val="FFFFFF"/>
                <w:sz w:val="17"/>
                <w:szCs w:val="17"/>
              </w:rPr>
              <w:t xml:space="preserve">Conf.</w:t>
            </w:r>
          </w:p>
        </w:tc>
        <w:tc>
          <w:tcPr>
            <w:tcW w:type="dxa" w:w="3770"/>
            <w:shd w:fill="1F3864" w:color="auto" w:val="clear"/>
            <w:tcMar>
              <w:top w:type="dxa" w:w="50"/>
              <w:left w:type="dxa" w:w="90"/>
              <w:bottom w:type="dxa" w:w="50"/>
              <w:right w:type="dxa" w:w="90"/>
            </w:tcMar>
          </w:tcPr>
          <w:p>
            <w:pPr>
              <w:spacing w:after="30" w:before="30" w:line="230"/>
            </w:pPr>
            <w:r>
              <w:rPr>
                <w:b/>
                <w:bCs/>
                <w:color w:val="FFFFFF"/>
                <w:sz w:val="17"/>
                <w:szCs w:val="17"/>
              </w:rPr>
              <w:t xml:space="preserve">Rule</w:t>
            </w:r>
          </w:p>
        </w:tc>
      </w:tr>
      <w:tr>
        <w:tc>
          <w:tcPr>
            <w:tcW w:type="dxa" w:w="175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patientinitials (holding full names)</w:t>
            </w:r>
          </w:p>
        </w:tc>
        <w:tc>
          <w:tcPr>
            <w:tcW w:type="dxa" w:w="2350"/>
            <w:tcMar>
              <w:top w:type="dxa" w:w="50"/>
              <w:left w:type="dxa" w:w="90"/>
              <w:bottom w:type="dxa" w:w="50"/>
              <w:right w:type="dxa" w:w="90"/>
            </w:tcMar>
          </w:tcPr>
          <w:p>
            <w:pPr>
              <w:spacing w:after="30" w:before="30" w:line="230"/>
            </w:pPr>
            <w:r>
              <w:rPr>
                <w:b w:val="false"/>
                <w:bCs w:val="false"/>
                <w:color w:val="000000"/>
                <w:sz w:val="17"/>
                <w:szCs w:val="17"/>
              </w:rPr>
              <w:t xml:space="preserve">D.1 Patient (name or initials)</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At least one D.1 element required</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See D1. The IG notes explicitly that data privacy legislation in some countries prevents exchange of patient initials and other identifiers, and permits nullFlavors MSK, ASKU, NASK and UNK for D.1 — but at least one element in section D.1 must be populated. Full names must not be carried in this field.</w:t>
            </w:r>
          </w:p>
        </w:tc>
      </w:tr>
      <w:tr>
        <w:tc>
          <w:tcPr>
            <w:tcW w:type="dxa" w:w="175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D.1.1.1 – D.1.1.4 Patient Medical Record Number(s)</w:t>
            </w:r>
          </w:p>
        </w:tc>
        <w:tc>
          <w:tcPr>
            <w:tcW w:type="dxa" w:w="11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Optional</w:t>
            </w:r>
          </w:p>
        </w:tc>
        <w:tc>
          <w:tcPr>
            <w:tcW w:type="dxa" w:w="37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Four separate namespace OIDs by record source: GP ...2.1.3.7, specialist ...2.1.3.8, hospital ...2.1.3.9, investigation ...2.1.3.10. Use the OID matching the actual source of the number.</w:t>
            </w:r>
          </w:p>
        </w:tc>
      </w:tr>
      <w:tr>
        <w:tc>
          <w:tcPr>
            <w:tcW w:type="dxa" w:w="175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tcMar>
              <w:top w:type="dxa" w:w="50"/>
              <w:left w:type="dxa" w:w="90"/>
              <w:bottom w:type="dxa" w:w="50"/>
              <w:right w:type="dxa" w:w="90"/>
            </w:tcMar>
          </w:tcPr>
          <w:p>
            <w:pPr>
              <w:spacing w:after="30" w:before="30" w:line="230"/>
            </w:pPr>
            <w:r>
              <w:rPr>
                <w:b w:val="false"/>
                <w:bCs w:val="false"/>
                <w:color w:val="000000"/>
                <w:sz w:val="17"/>
                <w:szCs w:val="17"/>
              </w:rPr>
              <w:t xml:space="preserve">D.2.1 Date of Birth / D.2.2 Age at Onset / D.2.3 Age Group</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Optional</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Any one of these supports patient identifiability. Age unit codes come from the ICH-constrained UCUM list, OID ...2.1.1.26.</w:t>
            </w:r>
          </w:p>
        </w:tc>
      </w:tr>
      <w:tr>
        <w:tc>
          <w:tcPr>
            <w:tcW w:type="dxa" w:w="175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D.5 Sex</w:t>
            </w:r>
          </w:p>
        </w:tc>
        <w:tc>
          <w:tcPr>
            <w:tcW w:type="dxa" w:w="11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Optional</w:t>
            </w:r>
          </w:p>
        </w:tc>
        <w:tc>
          <w:tcPr>
            <w:tcW w:type="dxa" w:w="37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ISO 5218, OID 1.0.5218.</w:t>
            </w:r>
          </w:p>
        </w:tc>
      </w:tr>
    </w:tbl>
    <w:p>
      <w:pPr>
        <w:pStyle w:val="Heading2"/>
        <w:spacing w:after="100" w:before="220"/>
      </w:pPr>
      <w:r>
        <w:rPr>
          <w:b/>
          <w:bCs/>
          <w:color w:val="2E4A7D"/>
          <w:sz w:val="21"/>
          <w:szCs w:val="21"/>
        </w:rPr>
        <w:t xml:space="preserve">5.5 Reaction / event (E.i)</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1750"/>
        <w:gridCol w:w="2350"/>
        <w:gridCol w:w="1150"/>
        <w:gridCol w:w="3770"/>
      </w:tblGrid>
      <w:tr>
        <w:trPr>
          <w:tblHeader/>
        </w:trPr>
        <w:tc>
          <w:tcPr>
            <w:tcW w:type="dxa" w:w="1750"/>
            <w:shd w:fill="1F3864" w:color="auto" w:val="clear"/>
            <w:tcMar>
              <w:top w:type="dxa" w:w="50"/>
              <w:left w:type="dxa" w:w="90"/>
              <w:bottom w:type="dxa" w:w="50"/>
              <w:right w:type="dxa" w:w="90"/>
            </w:tcMar>
          </w:tcPr>
          <w:p>
            <w:pPr>
              <w:spacing w:after="30" w:before="30" w:line="230"/>
            </w:pPr>
            <w:r>
              <w:rPr>
                <w:b/>
                <w:bCs/>
                <w:color w:val="FFFFFF"/>
                <w:sz w:val="17"/>
                <w:szCs w:val="17"/>
              </w:rPr>
              <w:t xml:space="preserve">Current tag</w:t>
            </w:r>
          </w:p>
        </w:tc>
        <w:tc>
          <w:tcPr>
            <w:tcW w:type="dxa" w:w="2350"/>
            <w:shd w:fill="1F3864" w:color="auto" w:val="clear"/>
            <w:tcMar>
              <w:top w:type="dxa" w:w="50"/>
              <w:left w:type="dxa" w:w="90"/>
              <w:bottom w:type="dxa" w:w="50"/>
              <w:right w:type="dxa" w:w="90"/>
            </w:tcMar>
          </w:tcPr>
          <w:p>
            <w:pPr>
              <w:spacing w:after="30" w:before="30" w:line="230"/>
            </w:pPr>
            <w:r>
              <w:rPr>
                <w:b/>
                <w:bCs/>
                <w:color w:val="FFFFFF"/>
                <w:sz w:val="17"/>
                <w:szCs w:val="17"/>
              </w:rPr>
              <w:t xml:space="preserve">E2B(R3) element</w:t>
            </w:r>
          </w:p>
        </w:tc>
        <w:tc>
          <w:tcPr>
            <w:tcW w:type="dxa" w:w="1150"/>
            <w:shd w:fill="1F3864" w:color="auto" w:val="clear"/>
            <w:tcMar>
              <w:top w:type="dxa" w:w="50"/>
              <w:left w:type="dxa" w:w="90"/>
              <w:bottom w:type="dxa" w:w="50"/>
              <w:right w:type="dxa" w:w="90"/>
            </w:tcMar>
          </w:tcPr>
          <w:p>
            <w:pPr>
              <w:spacing w:after="30" w:before="30" w:line="230"/>
            </w:pPr>
            <w:r>
              <w:rPr>
                <w:b/>
                <w:bCs/>
                <w:color w:val="FFFFFF"/>
                <w:sz w:val="17"/>
                <w:szCs w:val="17"/>
              </w:rPr>
              <w:t xml:space="preserve">Conf.</w:t>
            </w:r>
          </w:p>
        </w:tc>
        <w:tc>
          <w:tcPr>
            <w:tcW w:type="dxa" w:w="3770"/>
            <w:shd w:fill="1F3864" w:color="auto" w:val="clear"/>
            <w:tcMar>
              <w:top w:type="dxa" w:w="50"/>
              <w:left w:type="dxa" w:w="90"/>
              <w:bottom w:type="dxa" w:w="50"/>
              <w:right w:type="dxa" w:w="90"/>
            </w:tcMar>
          </w:tcPr>
          <w:p>
            <w:pPr>
              <w:spacing w:after="30" w:before="30" w:line="230"/>
            </w:pPr>
            <w:r>
              <w:rPr>
                <w:b/>
                <w:bCs/>
                <w:color w:val="FFFFFF"/>
                <w:sz w:val="17"/>
                <w:szCs w:val="17"/>
              </w:rPr>
              <w:t xml:space="preserve">Rule</w:t>
            </w:r>
          </w:p>
        </w:tc>
      </w:tr>
      <w:tr>
        <w:tc>
          <w:tcPr>
            <w:tcW w:type="dxa" w:w="175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reactionmeddrapt_verbatim (values 19, 8, 4, 11…)</w:t>
            </w:r>
          </w:p>
        </w:tc>
        <w:tc>
          <w:tcPr>
            <w:tcW w:type="dxa" w:w="2350"/>
            <w:tcMar>
              <w:top w:type="dxa" w:w="50"/>
              <w:left w:type="dxa" w:w="90"/>
              <w:bottom w:type="dxa" w:w="50"/>
              <w:right w:type="dxa" w:w="90"/>
            </w:tcMar>
          </w:tcPr>
          <w:p>
            <w:pPr>
              <w:spacing w:after="30" w:before="30" w:line="230"/>
            </w:pPr>
            <w:r>
              <w:rPr>
                <w:b w:val="false"/>
                <w:bCs w:val="false"/>
                <w:color w:val="000000"/>
                <w:sz w:val="17"/>
                <w:szCs w:val="17"/>
              </w:rPr>
              <w:t xml:space="preserve">E.i.1.1a Reaction as Reported in Native Language + E.i.1.1b language code</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One of E.i.1.1a / E.i.1.2 required</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After the codebook decode, the human-readable source term goes here. E.i.1.1a is one of only two free-text fields exempt from the English-language requirement. Language code is ISO 639-2/RA alpha-3, OID 1.0.639.2.</w:t>
            </w:r>
          </w:p>
        </w:tc>
      </w:tr>
      <w:tr>
        <w:tc>
          <w:tcPr>
            <w:tcW w:type="dxa" w:w="175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E.i.1.2 Reaction as Reported for Translation</w:t>
            </w:r>
          </w:p>
        </w:tc>
        <w:tc>
          <w:tcPr>
            <w:tcW w:type="dxa" w:w="11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See above</w:t>
            </w:r>
          </w:p>
        </w:tc>
        <w:tc>
          <w:tcPr>
            <w:tcW w:type="dxa" w:w="37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English rendering of the source term.</w:t>
            </w:r>
          </w:p>
        </w:tc>
      </w:tr>
      <w:tr>
        <w:tc>
          <w:tcPr>
            <w:tcW w:type="dxa" w:w="175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tcMar>
              <w:top w:type="dxa" w:w="50"/>
              <w:left w:type="dxa" w:w="90"/>
              <w:bottom w:type="dxa" w:w="50"/>
              <w:right w:type="dxa" w:w="90"/>
            </w:tcMar>
          </w:tcPr>
          <w:p>
            <w:pPr>
              <w:spacing w:after="30" w:before="30" w:line="230"/>
            </w:pPr>
            <w:r>
              <w:rPr>
                <w:b w:val="false"/>
                <w:bCs w:val="false"/>
                <w:color w:val="000000"/>
                <w:sz w:val="17"/>
                <w:szCs w:val="17"/>
              </w:rPr>
              <w:t xml:space="preserve">E.i.2.1a MedDRA Version for Reaction / Event</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Required if coded</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One MedDRA version per ICSR. Different ICSRs within a batch may use different versions.</w:t>
            </w:r>
          </w:p>
        </w:tc>
      </w:tr>
      <w:tr>
        <w:tc>
          <w:tcPr>
            <w:tcW w:type="dxa" w:w="175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E.i.2.1b Reaction / Event (MedDRA code)</w:t>
            </w:r>
          </w:p>
        </w:tc>
        <w:tc>
          <w:tcPr>
            <w:tcW w:type="dxa" w:w="11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Required for validated import</w:t>
            </w:r>
          </w:p>
        </w:tc>
        <w:tc>
          <w:tcPr>
            <w:tcW w:type="dxa" w:w="37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Coded at Lowest Level Term. MedDRA OID 2.16.840.1.113883.6.163. A source category number must never be emitted here.</w:t>
            </w:r>
          </w:p>
        </w:tc>
      </w:tr>
      <w:tr>
        <w:tc>
          <w:tcPr>
            <w:tcW w:type="dxa" w:w="175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serious_verbatim (NON SERIOUS)</w:t>
            </w:r>
          </w:p>
        </w:tc>
        <w:tc>
          <w:tcPr>
            <w:tcW w:type="dxa" w:w="2350"/>
            <w:tcMar>
              <w:top w:type="dxa" w:w="50"/>
              <w:left w:type="dxa" w:w="90"/>
              <w:bottom w:type="dxa" w:w="50"/>
              <w:right w:type="dxa" w:w="90"/>
            </w:tcMar>
          </w:tcPr>
          <w:p>
            <w:pPr>
              <w:spacing w:after="30" w:before="30" w:line="230"/>
            </w:pPr>
            <w:r>
              <w:rPr>
                <w:b w:val="false"/>
                <w:bCs w:val="false"/>
                <w:color w:val="000000"/>
                <w:sz w:val="17"/>
                <w:szCs w:val="17"/>
              </w:rPr>
              <w:t xml:space="preserve">E.i.3.2a – E.i.3.2f Seriousness Criteria at Event Level</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Six separate booleans: results in death, life threatening, caused/prolonged hospitalisation, disabling/incapacitating, congenital anomaly, other medically important condition. In R3 seriousness is captured per event, not once per case — there is no single case-level serious flag to map the current free-text value onto.</w:t>
            </w:r>
          </w:p>
        </w:tc>
      </w:tr>
      <w:tr>
        <w:tc>
          <w:tcPr>
            <w:tcW w:type="dxa" w:w="175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reactionstartdate (empty on all 231)</w:t>
            </w:r>
          </w:p>
        </w:tc>
        <w:tc>
          <w:tcPr>
            <w:tcW w:type="dxa" w:w="23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E.i.4 Date of Start of Reaction / Event</w:t>
            </w:r>
          </w:p>
        </w:tc>
        <w:tc>
          <w:tcPr>
            <w:tcW w:type="dxa" w:w="11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Optional</w:t>
            </w:r>
          </w:p>
        </w:tc>
        <w:tc>
          <w:tcPr>
            <w:tcW w:type="dxa" w:w="37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Populate where known. Where unknown, omit the element — do not emit an empty tag.</w:t>
            </w:r>
          </w:p>
        </w:tc>
      </w:tr>
      <w:tr>
        <w:tc>
          <w:tcPr>
            <w:tcW w:type="dxa" w:w="175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tcMar>
              <w:top w:type="dxa" w:w="50"/>
              <w:left w:type="dxa" w:w="90"/>
              <w:bottom w:type="dxa" w:w="50"/>
              <w:right w:type="dxa" w:w="90"/>
            </w:tcMar>
          </w:tcPr>
          <w:p>
            <w:pPr>
              <w:spacing w:after="30" w:before="30" w:line="230"/>
            </w:pPr>
            <w:r>
              <w:rPr>
                <w:b w:val="false"/>
                <w:bCs w:val="false"/>
                <w:color w:val="000000"/>
                <w:sz w:val="17"/>
                <w:szCs w:val="17"/>
              </w:rPr>
              <w:t xml:space="preserve">E.i.5 Date of End of Reaction / Event</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Optional</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As above.</w:t>
            </w:r>
          </w:p>
        </w:tc>
      </w:tr>
      <w:tr>
        <w:tc>
          <w:tcPr>
            <w:tcW w:type="dxa" w:w="175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reactionoutcome_verbatim (1)</w:t>
            </w:r>
          </w:p>
        </w:tc>
        <w:tc>
          <w:tcPr>
            <w:tcW w:type="dxa" w:w="23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E.i.7 Outcome of Reaction / Event at Time of Last Observation</w:t>
            </w:r>
          </w:p>
        </w:tc>
        <w:tc>
          <w:tcPr>
            <w:tcW w:type="dxa" w:w="11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Optional but expected</w:t>
            </w:r>
          </w:p>
        </w:tc>
        <w:tc>
          <w:tcPr>
            <w:tcW w:type="dxa" w:w="37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Coded, OID ...2.1.1.11. Permitted concepts: recovered/resolved, recovering/resolving, not recovered/not resolved, recovered/resolved with sequelae, fatal, unknown. Bind numeric values from Appendix I(F).</w:t>
            </w:r>
          </w:p>
        </w:tc>
      </w:tr>
      <w:tr>
        <w:tc>
          <w:tcPr>
            <w:tcW w:type="dxa" w:w="175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tcMar>
              <w:top w:type="dxa" w:w="50"/>
              <w:left w:type="dxa" w:w="90"/>
              <w:bottom w:type="dxa" w:w="50"/>
              <w:right w:type="dxa" w:w="90"/>
            </w:tcMar>
          </w:tcPr>
          <w:p>
            <w:pPr>
              <w:spacing w:after="30" w:before="30" w:line="230"/>
            </w:pPr>
            <w:r>
              <w:rPr>
                <w:b w:val="false"/>
                <w:bCs w:val="false"/>
                <w:color w:val="000000"/>
                <w:sz w:val="17"/>
                <w:szCs w:val="17"/>
              </w:rPr>
              <w:t xml:space="preserve">E.i.9 Country Where the Reaction / Event Occurred</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Optional</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NG. ISO 3166-1 alpha-2, OID 1.0.3166.1.2.2.</w:t>
            </w:r>
          </w:p>
        </w:tc>
      </w:tr>
    </w:tbl>
    <w:p>
      <w:pPr>
        <w:pStyle w:val="Heading2"/>
        <w:spacing w:after="100" w:before="220"/>
      </w:pPr>
      <w:r>
        <w:rPr>
          <w:b/>
          <w:bCs/>
          <w:color w:val="2E4A7D"/>
          <w:sz w:val="21"/>
          <w:szCs w:val="21"/>
        </w:rPr>
        <w:t xml:space="preserve">5.6 Drug / vaccine (G.k)</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1750"/>
        <w:gridCol w:w="2350"/>
        <w:gridCol w:w="1150"/>
        <w:gridCol w:w="3770"/>
      </w:tblGrid>
      <w:tr>
        <w:trPr>
          <w:tblHeader/>
        </w:trPr>
        <w:tc>
          <w:tcPr>
            <w:tcW w:type="dxa" w:w="1750"/>
            <w:shd w:fill="1F3864" w:color="auto" w:val="clear"/>
            <w:tcMar>
              <w:top w:type="dxa" w:w="50"/>
              <w:left w:type="dxa" w:w="90"/>
              <w:bottom w:type="dxa" w:w="50"/>
              <w:right w:type="dxa" w:w="90"/>
            </w:tcMar>
          </w:tcPr>
          <w:p>
            <w:pPr>
              <w:spacing w:after="30" w:before="30" w:line="230"/>
            </w:pPr>
            <w:r>
              <w:rPr>
                <w:b/>
                <w:bCs/>
                <w:color w:val="FFFFFF"/>
                <w:sz w:val="17"/>
                <w:szCs w:val="17"/>
              </w:rPr>
              <w:t xml:space="preserve">Current tag</w:t>
            </w:r>
          </w:p>
        </w:tc>
        <w:tc>
          <w:tcPr>
            <w:tcW w:type="dxa" w:w="2350"/>
            <w:shd w:fill="1F3864" w:color="auto" w:val="clear"/>
            <w:tcMar>
              <w:top w:type="dxa" w:w="50"/>
              <w:left w:type="dxa" w:w="90"/>
              <w:bottom w:type="dxa" w:w="50"/>
              <w:right w:type="dxa" w:w="90"/>
            </w:tcMar>
          </w:tcPr>
          <w:p>
            <w:pPr>
              <w:spacing w:after="30" w:before="30" w:line="230"/>
            </w:pPr>
            <w:r>
              <w:rPr>
                <w:b/>
                <w:bCs/>
                <w:color w:val="FFFFFF"/>
                <w:sz w:val="17"/>
                <w:szCs w:val="17"/>
              </w:rPr>
              <w:t xml:space="preserve">E2B(R3) element</w:t>
            </w:r>
          </w:p>
        </w:tc>
        <w:tc>
          <w:tcPr>
            <w:tcW w:type="dxa" w:w="1150"/>
            <w:shd w:fill="1F3864" w:color="auto" w:val="clear"/>
            <w:tcMar>
              <w:top w:type="dxa" w:w="50"/>
              <w:left w:type="dxa" w:w="90"/>
              <w:bottom w:type="dxa" w:w="50"/>
              <w:right w:type="dxa" w:w="90"/>
            </w:tcMar>
          </w:tcPr>
          <w:p>
            <w:pPr>
              <w:spacing w:after="30" w:before="30" w:line="230"/>
            </w:pPr>
            <w:r>
              <w:rPr>
                <w:b/>
                <w:bCs/>
                <w:color w:val="FFFFFF"/>
                <w:sz w:val="17"/>
                <w:szCs w:val="17"/>
              </w:rPr>
              <w:t xml:space="preserve">Conf.</w:t>
            </w:r>
          </w:p>
        </w:tc>
        <w:tc>
          <w:tcPr>
            <w:tcW w:type="dxa" w:w="3770"/>
            <w:shd w:fill="1F3864" w:color="auto" w:val="clear"/>
            <w:tcMar>
              <w:top w:type="dxa" w:w="50"/>
              <w:left w:type="dxa" w:w="90"/>
              <w:bottom w:type="dxa" w:w="50"/>
              <w:right w:type="dxa" w:w="90"/>
            </w:tcMar>
          </w:tcPr>
          <w:p>
            <w:pPr>
              <w:spacing w:after="30" w:before="30" w:line="230"/>
            </w:pPr>
            <w:r>
              <w:rPr>
                <w:b/>
                <w:bCs/>
                <w:color w:val="FFFFFF"/>
                <w:sz w:val="17"/>
                <w:szCs w:val="17"/>
              </w:rPr>
              <w:t xml:space="preserve">Rule</w:t>
            </w:r>
          </w:p>
        </w:tc>
      </w:tr>
      <w:tr>
        <w:tc>
          <w:tcPr>
            <w:tcW w:type="dxa" w:w="175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 (role never asserted)</w:t>
            </w:r>
          </w:p>
        </w:tc>
        <w:tc>
          <w:tcPr>
            <w:tcW w:type="dxa" w:w="2350"/>
            <w:tcMar>
              <w:top w:type="dxa" w:w="50"/>
              <w:left w:type="dxa" w:w="90"/>
              <w:bottom w:type="dxa" w:w="50"/>
              <w:right w:type="dxa" w:w="90"/>
            </w:tcMar>
          </w:tcPr>
          <w:p>
            <w:pPr>
              <w:spacing w:after="30" w:before="30" w:line="230"/>
            </w:pPr>
            <w:r>
              <w:rPr>
                <w:b w:val="false"/>
                <w:bCs w:val="false"/>
                <w:color w:val="000000"/>
                <w:sz w:val="17"/>
                <w:szCs w:val="17"/>
              </w:rPr>
              <w:t xml:space="preserve">G.k.1 Characterisation of Drug Role</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1 = Suspect, 2 = Concomitant, 3 = Interacting, 4 = Drug not administered. OID ...2.1.1.13. The vaccine under investigation in an AEFI case is 1. At least one suspect or interacting drug is required for a valid ICSR.</w:t>
            </w:r>
          </w:p>
        </w:tc>
      </w:tr>
      <w:tr>
        <w:tc>
          <w:tcPr>
            <w:tcW w:type="dxa" w:w="175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medicinalproduct (MR, PENTA, …)</w:t>
            </w:r>
          </w:p>
        </w:tc>
        <w:tc>
          <w:tcPr>
            <w:tcW w:type="dxa" w:w="23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G.k.2.2 Medicinal Product Name as Reported by the Primary Source</w:t>
            </w:r>
          </w:p>
        </w:tc>
        <w:tc>
          <w:tcPr>
            <w:tcW w:type="dxa" w:w="11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Required</w:t>
            </w:r>
          </w:p>
        </w:tc>
        <w:tc>
          <w:tcPr>
            <w:tcW w:type="dxa" w:w="37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The source verbatim string goes here unchanged. Normalisation is an internal data-model concern and must not overwrite what the primary source reported.</w:t>
            </w:r>
          </w:p>
        </w:tc>
      </w:tr>
      <w:tr>
        <w:tc>
          <w:tcPr>
            <w:tcW w:type="dxa" w:w="175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tcMar>
              <w:top w:type="dxa" w:w="50"/>
              <w:left w:type="dxa" w:w="90"/>
              <w:bottom w:type="dxa" w:w="50"/>
              <w:right w:type="dxa" w:w="90"/>
            </w:tcMar>
          </w:tcPr>
          <w:p>
            <w:pPr>
              <w:spacing w:after="30" w:before="30" w:line="230"/>
            </w:pPr>
            <w:r>
              <w:rPr>
                <w:b w:val="false"/>
                <w:bCs w:val="false"/>
                <w:color w:val="000000"/>
                <w:sz w:val="17"/>
                <w:szCs w:val="17"/>
              </w:rPr>
              <w:t xml:space="preserve">G.k.2.1.1b Medicinal Product Identifier (MPID)</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Optional</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ISO 11615. Where WHODrug is used instead, see D6 — the UMC E2B(R3) WHODrug extension is required and UMC directs that question to vigibase@who-umc.org.</w:t>
            </w:r>
          </w:p>
        </w:tc>
      </w:tr>
      <w:tr>
        <w:tc>
          <w:tcPr>
            <w:tcW w:type="dxa" w:w="175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G.k.4.r.7 Batch / Lot Number</w:t>
            </w:r>
          </w:p>
        </w:tc>
        <w:tc>
          <w:tcPr>
            <w:tcW w:type="dxa" w:w="11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Optional</w:t>
            </w:r>
          </w:p>
        </w:tc>
        <w:tc>
          <w:tcPr>
            <w:tcW w:type="dxa" w:w="37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High value for AEFI signal detection. Recover from source if recorded.</w:t>
            </w:r>
          </w:p>
        </w:tc>
      </w:tr>
      <w:tr>
        <w:tc>
          <w:tcPr>
            <w:tcW w:type="dxa" w:w="175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tcMar>
              <w:top w:type="dxa" w:w="50"/>
              <w:left w:type="dxa" w:w="90"/>
              <w:bottom w:type="dxa" w:w="50"/>
              <w:right w:type="dxa" w:w="90"/>
            </w:tcMar>
          </w:tcPr>
          <w:p>
            <w:pPr>
              <w:spacing w:after="30" w:before="30" w:line="230"/>
            </w:pPr>
            <w:r>
              <w:rPr>
                <w:b w:val="false"/>
                <w:bCs w:val="false"/>
                <w:color w:val="000000"/>
                <w:sz w:val="17"/>
                <w:szCs w:val="17"/>
              </w:rPr>
              <w:t xml:space="preserve">G.k.4.r.4 Date and Time of Start of Drug</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Optional</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Vaccination date, where recorded.</w:t>
            </w:r>
          </w:p>
        </w:tc>
      </w:tr>
      <w:tr>
        <w:tc>
          <w:tcPr>
            <w:tcW w:type="dxa" w:w="175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G.k.4.r.10 Route of Administration</w:t>
            </w:r>
          </w:p>
        </w:tc>
        <w:tc>
          <w:tcPr>
            <w:tcW w:type="dxa" w:w="11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Optional</w:t>
            </w:r>
          </w:p>
        </w:tc>
        <w:tc>
          <w:tcPr>
            <w:tcW w:type="dxa" w:w="37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Coded via ISO 11239 TermID or the ICH R2 route list, OID ...2.1.1.14.</w:t>
            </w:r>
          </w:p>
        </w:tc>
      </w:tr>
      <w:tr>
        <w:tc>
          <w:tcPr>
            <w:tcW w:type="dxa" w:w="175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tcMar>
              <w:top w:type="dxa" w:w="50"/>
              <w:left w:type="dxa" w:w="90"/>
              <w:bottom w:type="dxa" w:w="50"/>
              <w:right w:type="dxa" w:w="90"/>
            </w:tcMar>
          </w:tcPr>
          <w:p>
            <w:pPr>
              <w:spacing w:after="30" w:before="30" w:line="230"/>
            </w:pPr>
            <w:r>
              <w:rPr>
                <w:b w:val="false"/>
                <w:bCs w:val="false"/>
                <w:color w:val="000000"/>
                <w:sz w:val="17"/>
                <w:szCs w:val="17"/>
              </w:rPr>
              <w:t xml:space="preserve">G.k.8 Action(s) Taken with Drug</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Optional</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OID ...2.1.1.15.</w:t>
            </w:r>
          </w:p>
        </w:tc>
      </w:tr>
      <w:tr>
        <w:tc>
          <w:tcPr>
            <w:tcW w:type="dxa" w:w="175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G.k.9.i Drug-reaction Matrix</w:t>
            </w:r>
          </w:p>
        </w:tc>
        <w:tc>
          <w:tcPr>
            <w:tcW w:type="dxa" w:w="11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Optional</w:t>
            </w:r>
          </w:p>
        </w:tc>
        <w:tc>
          <w:tcPr>
            <w:tcW w:type="dxa" w:w="37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Links each drug to the specific reactions assessed. Needed for multi-vaccine cases such as OPV-2, PENTA-2, PCV-2, ROTA-2.</w:t>
            </w:r>
          </w:p>
        </w:tc>
      </w:tr>
    </w:tbl>
    <w:p>
      <w:pPr>
        <w:pStyle w:val="Heading2"/>
        <w:spacing w:after="100" w:before="220"/>
      </w:pPr>
      <w:r>
        <w:rPr>
          <w:b/>
          <w:bCs/>
          <w:color w:val="2E4A7D"/>
          <w:sz w:val="21"/>
          <w:szCs w:val="21"/>
        </w:rPr>
        <w:t xml:space="preserve">5.7 Narrative (H)</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1750"/>
        <w:gridCol w:w="2350"/>
        <w:gridCol w:w="1150"/>
        <w:gridCol w:w="3770"/>
      </w:tblGrid>
      <w:tr>
        <w:trPr>
          <w:tblHeader/>
        </w:trPr>
        <w:tc>
          <w:tcPr>
            <w:tcW w:type="dxa" w:w="1750"/>
            <w:shd w:fill="1F3864" w:color="auto" w:val="clear"/>
            <w:tcMar>
              <w:top w:type="dxa" w:w="50"/>
              <w:left w:type="dxa" w:w="90"/>
              <w:bottom w:type="dxa" w:w="50"/>
              <w:right w:type="dxa" w:w="90"/>
            </w:tcMar>
          </w:tcPr>
          <w:p>
            <w:pPr>
              <w:spacing w:after="30" w:before="30" w:line="230"/>
            </w:pPr>
            <w:r>
              <w:rPr>
                <w:b/>
                <w:bCs/>
                <w:color w:val="FFFFFF"/>
                <w:sz w:val="17"/>
                <w:szCs w:val="17"/>
              </w:rPr>
              <w:t xml:space="preserve">Current tag</w:t>
            </w:r>
          </w:p>
        </w:tc>
        <w:tc>
          <w:tcPr>
            <w:tcW w:type="dxa" w:w="2350"/>
            <w:shd w:fill="1F3864" w:color="auto" w:val="clear"/>
            <w:tcMar>
              <w:top w:type="dxa" w:w="50"/>
              <w:left w:type="dxa" w:w="90"/>
              <w:bottom w:type="dxa" w:w="50"/>
              <w:right w:type="dxa" w:w="90"/>
            </w:tcMar>
          </w:tcPr>
          <w:p>
            <w:pPr>
              <w:spacing w:after="30" w:before="30" w:line="230"/>
            </w:pPr>
            <w:r>
              <w:rPr>
                <w:b/>
                <w:bCs/>
                <w:color w:val="FFFFFF"/>
                <w:sz w:val="17"/>
                <w:szCs w:val="17"/>
              </w:rPr>
              <w:t xml:space="preserve">E2B(R3) element</w:t>
            </w:r>
          </w:p>
        </w:tc>
        <w:tc>
          <w:tcPr>
            <w:tcW w:type="dxa" w:w="1150"/>
            <w:shd w:fill="1F3864" w:color="auto" w:val="clear"/>
            <w:tcMar>
              <w:top w:type="dxa" w:w="50"/>
              <w:left w:type="dxa" w:w="90"/>
              <w:bottom w:type="dxa" w:w="50"/>
              <w:right w:type="dxa" w:w="90"/>
            </w:tcMar>
          </w:tcPr>
          <w:p>
            <w:pPr>
              <w:spacing w:after="30" w:before="30" w:line="230"/>
            </w:pPr>
            <w:r>
              <w:rPr>
                <w:b/>
                <w:bCs/>
                <w:color w:val="FFFFFF"/>
                <w:sz w:val="17"/>
                <w:szCs w:val="17"/>
              </w:rPr>
              <w:t xml:space="preserve">Conf.</w:t>
            </w:r>
          </w:p>
        </w:tc>
        <w:tc>
          <w:tcPr>
            <w:tcW w:type="dxa" w:w="3770"/>
            <w:shd w:fill="1F3864" w:color="auto" w:val="clear"/>
            <w:tcMar>
              <w:top w:type="dxa" w:w="50"/>
              <w:left w:type="dxa" w:w="90"/>
              <w:bottom w:type="dxa" w:w="50"/>
              <w:right w:type="dxa" w:w="90"/>
            </w:tcMar>
          </w:tcPr>
          <w:p>
            <w:pPr>
              <w:spacing w:after="30" w:before="30" w:line="230"/>
            </w:pPr>
            <w:r>
              <w:rPr>
                <w:b/>
                <w:bCs/>
                <w:color w:val="FFFFFF"/>
                <w:sz w:val="17"/>
                <w:szCs w:val="17"/>
              </w:rPr>
              <w:t xml:space="preserve">Rule</w:t>
            </w:r>
          </w:p>
        </w:tc>
      </w:tr>
      <w:tr>
        <w:tc>
          <w:tcPr>
            <w:tcW w:type="dxa" w:w="175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tcMar>
              <w:top w:type="dxa" w:w="50"/>
              <w:left w:type="dxa" w:w="90"/>
              <w:bottom w:type="dxa" w:w="50"/>
              <w:right w:type="dxa" w:w="90"/>
            </w:tcMar>
          </w:tcPr>
          <w:p>
            <w:pPr>
              <w:spacing w:after="30" w:before="30" w:line="230"/>
            </w:pPr>
            <w:r>
              <w:rPr>
                <w:b w:val="false"/>
                <w:bCs w:val="false"/>
                <w:color w:val="000000"/>
                <w:sz w:val="17"/>
                <w:szCs w:val="17"/>
              </w:rPr>
              <w:t xml:space="preserve">H.1 Case Narrative</w:t>
            </w:r>
          </w:p>
        </w:tc>
        <w:tc>
          <w:tcPr>
            <w:tcW w:type="dxa" w:w="1150"/>
            <w:tcMar>
              <w:top w:type="dxa" w:w="50"/>
              <w:left w:type="dxa" w:w="90"/>
              <w:bottom w:type="dxa" w:w="50"/>
              <w:right w:type="dxa" w:w="90"/>
            </w:tcMar>
          </w:tcPr>
          <w:p>
            <w:pPr>
              <w:spacing w:after="30" w:before="30" w:line="230"/>
            </w:pPr>
            <w:r>
              <w:rPr>
                <w:b w:val="false"/>
                <w:bCs w:val="false"/>
                <w:color w:val="000000"/>
                <w:sz w:val="17"/>
                <w:szCs w:val="17"/>
              </w:rPr>
              <w:t xml:space="preserve">Section required</w:t>
            </w:r>
          </w:p>
        </w:tc>
        <w:tc>
          <w:tcPr>
            <w:tcW w:type="dxa" w:w="3770"/>
            <w:tcMar>
              <w:top w:type="dxa" w:w="50"/>
              <w:left w:type="dxa" w:w="90"/>
              <w:bottom w:type="dxa" w:w="50"/>
              <w:right w:type="dxa" w:w="90"/>
            </w:tcMar>
          </w:tcPr>
          <w:p>
            <w:pPr>
              <w:spacing w:after="30" w:before="30" w:line="230"/>
            </w:pPr>
            <w:r>
              <w:rPr>
                <w:b w:val="false"/>
                <w:bCs w:val="false"/>
                <w:color w:val="000000"/>
                <w:sz w:val="17"/>
                <w:szCs w:val="17"/>
              </w:rPr>
              <w:t xml:space="preserve">Clinical course, therapeutic measures, outcome, additional relevant information. English.</w:t>
            </w:r>
          </w:p>
        </w:tc>
      </w:tr>
      <w:tr>
        <w:tc>
          <w:tcPr>
            <w:tcW w:type="dxa" w:w="175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7"/>
                <w:szCs w:val="17"/>
              </w:rPr>
              <w:t xml:space="preserve">—</w:t>
            </w:r>
          </w:p>
        </w:tc>
        <w:tc>
          <w:tcPr>
            <w:tcW w:type="dxa" w:w="23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H.5.r Case Summary and Reporter's Comments in Native Language</w:t>
            </w:r>
          </w:p>
        </w:tc>
        <w:tc>
          <w:tcPr>
            <w:tcW w:type="dxa" w:w="115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Optional</w:t>
            </w:r>
          </w:p>
        </w:tc>
        <w:tc>
          <w:tcPr>
            <w:tcW w:type="dxa" w:w="377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The other field exempt from the English requirement. Language code ISO 639-2/RA.</w:t>
            </w:r>
          </w:p>
        </w:tc>
      </w:tr>
    </w:tbl>
    <w:p>
      <w:r>
        <w:br w:type="page"/>
      </w:r>
    </w:p>
    <w:p>
      <w:pPr>
        <w:pStyle w:val="Heading1"/>
        <w:spacing w:after="150" w:before="340"/>
      </w:pPr>
      <w:r>
        <w:rPr>
          <w:b/>
          <w:bCs/>
          <w:color w:val="1F3864"/>
          <w:sz w:val="26"/>
          <w:szCs w:val="26"/>
        </w:rPr>
        <w:t xml:space="preserve">6. Code lists, nulls and general rules</w:t>
      </w:r>
    </w:p>
    <w:p>
      <w:pPr>
        <w:pBdr>
          <w:left w:val="single" w:color="D08A00" w:sz="12"/>
        </w:pBdr>
        <w:shd w:fill="FFF4E0" w:color="auto" w:val="clear"/>
        <w:spacing w:after="140" w:before="100" w:line="260"/>
        <w:ind w:left="120"/>
      </w:pPr>
      <w:r>
        <w:rPr>
          <w:sz w:val="19"/>
          <w:szCs w:val="19"/>
        </w:rPr>
        <w:t xml:space="preserve">ICH maintains its code lists outside the Implementation Guide, so values printed in the IG can go stale. Treat every numeric value in this document as a starting binding and confirm it against Appendix I(F) — ICH E2B code lists — in the current implementation package before coding.</w:t>
      </w:r>
    </w:p>
    <w:p>
      <w:pPr>
        <w:pStyle w:val="Heading2"/>
        <w:spacing w:after="100" w:before="220"/>
      </w:pPr>
      <w:r>
        <w:rPr>
          <w:b/>
          <w:bCs/>
          <w:color w:val="2E4A7D"/>
          <w:sz w:val="21"/>
          <w:szCs w:val="21"/>
        </w:rPr>
        <w:t xml:space="preserve">6.1 Null handling</w:t>
      </w:r>
    </w:p>
    <w:p>
      <w:pPr>
        <w:spacing w:after="80" w:line="260"/>
      </w:pPr>
      <w:r>
        <w:rPr>
          <w:b w:val="false"/>
          <w:bCs w:val="false"/>
          <w:i w:val="false"/>
          <w:iCs w:val="false"/>
          <w:sz w:val="20"/>
          <w:szCs w:val="20"/>
        </w:rPr>
        <w:t xml:space="preserve">A required element with no value must still appear in the XML, carrying a nullFlavor that explains why it is empty. An optional element with no value must be omitted. The current file does the opposite of both.</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800"/>
        <w:gridCol w:w="3200"/>
        <w:gridCol w:w="5020"/>
      </w:tblGrid>
      <w:tr>
        <w:trPr>
          <w:tblHeader/>
        </w:trPr>
        <w:tc>
          <w:tcPr>
            <w:tcW w:type="dxa" w:w="800"/>
            <w:shd w:fill="1F3864" w:color="auto" w:val="clear"/>
            <w:tcMar>
              <w:top w:type="dxa" w:w="50"/>
              <w:left w:type="dxa" w:w="90"/>
              <w:bottom w:type="dxa" w:w="50"/>
              <w:right w:type="dxa" w:w="90"/>
            </w:tcMar>
          </w:tcPr>
          <w:p>
            <w:pPr>
              <w:spacing w:after="30" w:before="30" w:line="230"/>
            </w:pPr>
            <w:r>
              <w:rPr>
                <w:b/>
                <w:bCs/>
                <w:color w:val="FFFFFF"/>
                <w:sz w:val="18"/>
                <w:szCs w:val="18"/>
              </w:rPr>
              <w:t xml:space="preserve">Code</w:t>
            </w:r>
          </w:p>
        </w:tc>
        <w:tc>
          <w:tcPr>
            <w:tcW w:type="dxa" w:w="3200"/>
            <w:shd w:fill="1F3864" w:color="auto" w:val="clear"/>
            <w:tcMar>
              <w:top w:type="dxa" w:w="50"/>
              <w:left w:type="dxa" w:w="90"/>
              <w:bottom w:type="dxa" w:w="50"/>
              <w:right w:type="dxa" w:w="90"/>
            </w:tcMar>
          </w:tcPr>
          <w:p>
            <w:pPr>
              <w:spacing w:after="30" w:before="30" w:line="230"/>
            </w:pPr>
            <w:r>
              <w:rPr>
                <w:b/>
                <w:bCs/>
                <w:color w:val="FFFFFF"/>
                <w:sz w:val="18"/>
                <w:szCs w:val="18"/>
              </w:rPr>
              <w:t xml:space="preserve">Meaning</w:t>
            </w:r>
          </w:p>
        </w:tc>
        <w:tc>
          <w:tcPr>
            <w:tcW w:type="dxa" w:w="5020"/>
            <w:shd w:fill="1F3864" w:color="auto" w:val="clear"/>
            <w:tcMar>
              <w:top w:type="dxa" w:w="50"/>
              <w:left w:type="dxa" w:w="90"/>
              <w:bottom w:type="dxa" w:w="50"/>
              <w:right w:type="dxa" w:w="90"/>
            </w:tcMar>
          </w:tcPr>
          <w:p>
            <w:pPr>
              <w:spacing w:after="30" w:before="30" w:line="230"/>
            </w:pPr>
            <w:r>
              <w:rPr>
                <w:b/>
                <w:bCs/>
                <w:color w:val="FFFFFF"/>
                <w:sz w:val="18"/>
                <w:szCs w:val="18"/>
              </w:rPr>
              <w:t xml:space="preserve">Typical use in this dataset</w:t>
            </w:r>
          </w:p>
        </w:tc>
      </w:tr>
      <w:tr>
        <w:tc>
          <w:tcPr>
            <w:tcW w:type="dxa" w:w="8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8"/>
                <w:szCs w:val="18"/>
              </w:rPr>
              <w:t xml:space="preserve">NI</w:t>
            </w:r>
          </w:p>
        </w:tc>
        <w:tc>
          <w:tcPr>
            <w:tcW w:type="dxa" w:w="3200"/>
            <w:tcMar>
              <w:top w:type="dxa" w:w="50"/>
              <w:left w:type="dxa" w:w="90"/>
              <w:bottom w:type="dxa" w:w="50"/>
              <w:right w:type="dxa" w:w="90"/>
            </w:tcMar>
          </w:tcPr>
          <w:p>
            <w:pPr>
              <w:spacing w:after="30" w:before="30" w:line="230"/>
            </w:pPr>
            <w:r>
              <w:rPr>
                <w:b w:val="false"/>
                <w:bCs w:val="false"/>
                <w:color w:val="000000"/>
                <w:sz w:val="18"/>
                <w:szCs w:val="18"/>
              </w:rPr>
              <w:t xml:space="preserve">No information</w:t>
            </w:r>
          </w:p>
        </w:tc>
        <w:tc>
          <w:tcPr>
            <w:tcW w:type="dxa" w:w="5020"/>
            <w:tcMar>
              <w:top w:type="dxa" w:w="50"/>
              <w:left w:type="dxa" w:w="90"/>
              <w:bottom w:type="dxa" w:w="50"/>
              <w:right w:type="dxa" w:w="90"/>
            </w:tcMar>
          </w:tcPr>
          <w:p>
            <w:pPr>
              <w:spacing w:after="30" w:before="30" w:line="230"/>
            </w:pPr>
            <w:r>
              <w:rPr>
                <w:b w:val="false"/>
                <w:bCs w:val="false"/>
                <w:color w:val="000000"/>
                <w:sz w:val="18"/>
                <w:szCs w:val="18"/>
              </w:rPr>
              <w:t xml:space="preserve">Default exceptional value. C.1.9.1 where there are no prior transmissions.</w:t>
            </w:r>
          </w:p>
        </w:tc>
      </w:tr>
      <w:tr>
        <w:tc>
          <w:tcPr>
            <w:tcW w:type="dxa" w:w="80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8"/>
                <w:szCs w:val="18"/>
              </w:rPr>
              <w:t xml:space="preserve">MSK</w:t>
            </w:r>
          </w:p>
        </w:tc>
        <w:tc>
          <w:tcPr>
            <w:tcW w:type="dxa" w:w="320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Masked — data exists but is withheld for privacy or security</w:t>
            </w:r>
          </w:p>
        </w:tc>
        <w:tc>
          <w:tcPr>
            <w:tcW w:type="dxa" w:w="50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A candidate for D.1 if patient identity cannot be shared. Note that MSK itself discloses that the information exists.</w:t>
            </w:r>
          </w:p>
        </w:tc>
      </w:tr>
      <w:tr>
        <w:tc>
          <w:tcPr>
            <w:tcW w:type="dxa" w:w="8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8"/>
                <w:szCs w:val="18"/>
              </w:rPr>
              <w:t xml:space="preserve">UNK</w:t>
            </w:r>
          </w:p>
        </w:tc>
        <w:tc>
          <w:tcPr>
            <w:tcW w:type="dxa" w:w="3200"/>
            <w:tcMar>
              <w:top w:type="dxa" w:w="50"/>
              <w:left w:type="dxa" w:w="90"/>
              <w:bottom w:type="dxa" w:w="50"/>
              <w:right w:type="dxa" w:w="90"/>
            </w:tcMar>
          </w:tcPr>
          <w:p>
            <w:pPr>
              <w:spacing w:after="30" w:before="30" w:line="230"/>
            </w:pPr>
            <w:r>
              <w:rPr>
                <w:b w:val="false"/>
                <w:bCs w:val="false"/>
                <w:color w:val="000000"/>
                <w:sz w:val="18"/>
                <w:szCs w:val="18"/>
              </w:rPr>
              <w:t xml:space="preserve">Unknown — a proper value applies but is not known</w:t>
            </w:r>
          </w:p>
        </w:tc>
        <w:tc>
          <w:tcPr>
            <w:tcW w:type="dxa" w:w="5020"/>
            <w:tcMar>
              <w:top w:type="dxa" w:w="50"/>
              <w:left w:type="dxa" w:w="90"/>
              <w:bottom w:type="dxa" w:w="50"/>
              <w:right w:type="dxa" w:w="90"/>
            </w:tcMar>
          </w:tcPr>
          <w:p>
            <w:pPr>
              <w:spacing w:after="30" w:before="30" w:line="230"/>
            </w:pPr>
            <w:r>
              <w:rPr>
                <w:b w:val="false"/>
                <w:bCs w:val="false"/>
                <w:color w:val="000000"/>
                <w:sz w:val="18"/>
                <w:szCs w:val="18"/>
              </w:rPr>
              <w:t xml:space="preserve">Reaction outcome where the source recorded nothing.</w:t>
            </w:r>
          </w:p>
        </w:tc>
      </w:tr>
      <w:tr>
        <w:tc>
          <w:tcPr>
            <w:tcW w:type="dxa" w:w="80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8"/>
                <w:szCs w:val="18"/>
              </w:rPr>
              <w:t xml:space="preserve">NA</w:t>
            </w:r>
          </w:p>
        </w:tc>
        <w:tc>
          <w:tcPr>
            <w:tcW w:type="dxa" w:w="320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Not applicable</w:t>
            </w:r>
          </w:p>
        </w:tc>
        <w:tc>
          <w:tcPr>
            <w:tcW w:type="dxa" w:w="50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No proper value exists in this context.</w:t>
            </w:r>
          </w:p>
        </w:tc>
      </w:tr>
      <w:tr>
        <w:tc>
          <w:tcPr>
            <w:tcW w:type="dxa" w:w="800"/>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8"/>
                <w:szCs w:val="18"/>
              </w:rPr>
              <w:t xml:space="preserve">ASKU</w:t>
            </w:r>
          </w:p>
        </w:tc>
        <w:tc>
          <w:tcPr>
            <w:tcW w:type="dxa" w:w="3200"/>
            <w:tcMar>
              <w:top w:type="dxa" w:w="50"/>
              <w:left w:type="dxa" w:w="90"/>
              <w:bottom w:type="dxa" w:w="50"/>
              <w:right w:type="dxa" w:w="90"/>
            </w:tcMar>
          </w:tcPr>
          <w:p>
            <w:pPr>
              <w:spacing w:after="30" w:before="30" w:line="230"/>
            </w:pPr>
            <w:r>
              <w:rPr>
                <w:b w:val="false"/>
                <w:bCs w:val="false"/>
                <w:color w:val="000000"/>
                <w:sz w:val="18"/>
                <w:szCs w:val="18"/>
              </w:rPr>
              <w:t xml:space="preserve">Asked but unknown</w:t>
            </w:r>
          </w:p>
        </w:tc>
        <w:tc>
          <w:tcPr>
            <w:tcW w:type="dxa" w:w="5020"/>
            <w:tcMar>
              <w:top w:type="dxa" w:w="50"/>
              <w:left w:type="dxa" w:w="90"/>
              <w:bottom w:type="dxa" w:w="50"/>
              <w:right w:type="dxa" w:w="90"/>
            </w:tcMar>
          </w:tcPr>
          <w:p>
            <w:pPr>
              <w:spacing w:after="30" w:before="30" w:line="230"/>
            </w:pPr>
            <w:r>
              <w:rPr>
                <w:b w:val="false"/>
                <w:bCs w:val="false"/>
                <w:color w:val="000000"/>
                <w:sz w:val="18"/>
                <w:szCs w:val="18"/>
              </w:rPr>
              <w:t xml:space="preserve">Reporter was asked and did not know.</w:t>
            </w:r>
          </w:p>
        </w:tc>
      </w:tr>
      <w:tr>
        <w:tc>
          <w:tcPr>
            <w:tcW w:type="dxa" w:w="800"/>
            <w:shd w:fill="F2F4F8" w:color="auto" w:val="clear"/>
            <w:tcMar>
              <w:top w:type="dxa" w:w="50"/>
              <w:left w:type="dxa" w:w="90"/>
              <w:bottom w:type="dxa" w:w="50"/>
              <w:right w:type="dxa" w:w="90"/>
            </w:tcMar>
          </w:tcPr>
          <w:p>
            <w:pPr>
              <w:spacing w:after="30" w:before="30" w:line="230"/>
            </w:pPr>
            <w:r>
              <w:rPr>
                <w:rFonts w:ascii="Consolas" w:cs="Consolas" w:eastAsia="Consolas" w:hAnsi="Consolas"/>
                <w:b w:val="false"/>
                <w:bCs w:val="false"/>
                <w:color w:val="000000"/>
                <w:sz w:val="18"/>
                <w:szCs w:val="18"/>
              </w:rPr>
              <w:t xml:space="preserve">NASK</w:t>
            </w:r>
          </w:p>
        </w:tc>
        <w:tc>
          <w:tcPr>
            <w:tcW w:type="dxa" w:w="320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Not asked</w:t>
            </w:r>
          </w:p>
        </w:tc>
        <w:tc>
          <w:tcPr>
            <w:tcW w:type="dxa" w:w="50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The question was never put. Likely correct for much of the missing AEFI follow-up data.</w:t>
            </w:r>
          </w:p>
        </w:tc>
      </w:tr>
    </w:tbl>
    <w:p>
      <w:pPr>
        <w:pBdr>
          <w:left w:val="single" w:color="D08A00" w:sz="12"/>
        </w:pBdr>
        <w:shd w:fill="FFF4E0" w:color="auto" w:val="clear"/>
        <w:spacing w:after="140" w:before="100" w:line="260"/>
        <w:ind w:left="120"/>
      </w:pPr>
      <w:r>
        <w:rPr>
          <w:sz w:val="19"/>
          <w:szCs w:val="19"/>
        </w:rPr>
        <w:t xml:space="preserve">The distinction between UNK, ASKU and NASK is a data-provenance decision, not a developer default. "All 231 reaction start dates are empty" almost certainly means the field was never captured on the source form — NASK — rather than that 231 reporters were each asked and did not know. Confirm with Ondo State, then apply one rule consistently.</w:t>
      </w:r>
    </w:p>
    <w:p>
      <w:pPr>
        <w:pStyle w:val="Heading2"/>
        <w:spacing w:after="100" w:before="220"/>
      </w:pPr>
      <w:r>
        <w:rPr>
          <w:b/>
          <w:bCs/>
          <w:color w:val="2E4A7D"/>
          <w:sz w:val="21"/>
          <w:szCs w:val="21"/>
        </w:rPr>
        <w:t xml:space="preserve">6.2 General message rules</w:t>
      </w:r>
    </w:p>
    <w:p>
      <w:pPr>
        <w:pStyle w:val="ListParagraph"/>
        <w:numPr>
          <w:ilvl w:val="0"/>
          <w:numId w:val="2"/>
        </w:numPr>
        <w:spacing w:after="60" w:line="250"/>
      </w:pPr>
      <w:r>
        <w:rPr>
          <w:sz w:val="20"/>
          <w:szCs w:val="20"/>
        </w:rPr>
        <w:t xml:space="preserve">Encoding is UTF-8.</w:t>
      </w:r>
    </w:p>
    <w:p>
      <w:pPr>
        <w:pStyle w:val="ListParagraph"/>
        <w:numPr>
          <w:ilvl w:val="0"/>
          <w:numId w:val="2"/>
        </w:numPr>
        <w:spacing w:after="60" w:line="250"/>
      </w:pPr>
      <w:r>
        <w:rPr>
          <w:sz w:val="20"/>
          <w:szCs w:val="20"/>
        </w:rPr>
        <w:t xml:space="preserve">Dates use the single HL7 format CCYYMMDDHHMMSS.UUUU[+/-ZZzz], truncated to the precision actually known. Minimum precision per element is specified in IG section 3.4. Future dates cannot be transmitted; where senders and receivers are in different zones, attach the offset.</w:t>
      </w:r>
    </w:p>
    <w:p>
      <w:pPr>
        <w:pStyle w:val="ListParagraph"/>
        <w:numPr>
          <w:ilvl w:val="0"/>
          <w:numId w:val="2"/>
        </w:numPr>
        <w:spacing w:after="60" w:line="250"/>
      </w:pPr>
      <w:r>
        <w:rPr>
          <w:sz w:val="20"/>
          <w:szCs w:val="20"/>
        </w:rPr>
        <w:t xml:space="preserve">All free-text elements must be in English except E.i.1.1a and H.5.r.</w:t>
      </w:r>
    </w:p>
    <w:p>
      <w:pPr>
        <w:pStyle w:val="ListParagraph"/>
        <w:numPr>
          <w:ilvl w:val="0"/>
          <w:numId w:val="2"/>
        </w:numPr>
        <w:spacing w:after="60" w:line="250"/>
      </w:pPr>
      <w:r>
        <w:rPr>
          <w:sz w:val="20"/>
          <w:szCs w:val="20"/>
        </w:rPr>
        <w:t xml:space="preserve">Metric units only.</w:t>
      </w:r>
    </w:p>
    <w:p>
      <w:pPr>
        <w:pStyle w:val="ListParagraph"/>
        <w:numPr>
          <w:ilvl w:val="0"/>
          <w:numId w:val="2"/>
        </w:numPr>
        <w:spacing w:after="60" w:line="250"/>
      </w:pPr>
      <w:r>
        <w:rPr>
          <w:sz w:val="20"/>
          <w:szCs w:val="20"/>
        </w:rPr>
        <w:t xml:space="preserve">Only one MedDRA version may be used within a single ICSR; different ICSRs in one batch may use different versions.</w:t>
      </w:r>
    </w:p>
    <w:p>
      <w:pPr>
        <w:pStyle w:val="ListParagraph"/>
        <w:numPr>
          <w:ilvl w:val="0"/>
          <w:numId w:val="2"/>
        </w:numPr>
        <w:spacing w:after="60" w:line="250"/>
      </w:pPr>
      <w:r>
        <w:rPr>
          <w:sz w:val="20"/>
          <w:szCs w:val="20"/>
        </w:rPr>
        <w:t xml:space="preserve">XML special characters &gt;, &lt; and &amp; must be escaped as &amp;gt;, &amp;lt; and &amp;amp; in text elements.</w:t>
      </w:r>
    </w:p>
    <w:p>
      <w:pPr>
        <w:pStyle w:val="ListParagraph"/>
        <w:numPr>
          <w:ilvl w:val="0"/>
          <w:numId w:val="2"/>
        </w:numPr>
        <w:spacing w:after="60" w:line="250"/>
      </w:pPr>
      <w:r>
        <w:rPr>
          <w:sz w:val="20"/>
          <w:szCs w:val="20"/>
        </w:rPr>
        <w:t xml:space="preserve">No custom elements may be added to the ICH message unless permitted by a documented regional or UMC extension.</w:t>
      </w:r>
    </w:p>
    <w:p>
      <w:pPr>
        <w:pStyle w:val="Heading2"/>
        <w:spacing w:after="100" w:before="220"/>
      </w:pPr>
      <w:r>
        <w:rPr>
          <w:b/>
          <w:bCs/>
          <w:color w:val="2E4A7D"/>
          <w:sz w:val="21"/>
          <w:szCs w:val="21"/>
        </w:rPr>
        <w:t xml:space="preserve">6.3 Minimum valid ICSR</w:t>
      </w:r>
    </w:p>
    <w:p>
      <w:pPr>
        <w:spacing w:after="80" w:line="260"/>
      </w:pPr>
      <w:r>
        <w:rPr>
          <w:b w:val="false"/>
          <w:bCs w:val="false"/>
          <w:i w:val="false"/>
          <w:iCs w:val="false"/>
          <w:sz w:val="20"/>
          <w:szCs w:val="20"/>
        </w:rPr>
        <w:t xml:space="preserve">The IG defines the minimum information for a valid safety report as one identifiable patient, one identifiable reporter, one adverse event or reaction, and one suspect or interacting drug. Any one of several data elements is sufficient to establish identifiability for the patient or reporter, and the patient and reporter may be the same individual.</w:t>
      </w:r>
    </w:p>
    <w:p>
      <w:pPr>
        <w:spacing w:after="40" w:line="260"/>
      </w:pPr>
      <w:r>
        <w:rPr>
          <w:b w:val="false"/>
          <w:bCs w:val="false"/>
          <w:i w:val="false"/>
          <w:iCs w:val="false"/>
          <w:sz w:val="20"/>
          <w:szCs w:val="20"/>
        </w:rPr>
        <w:t xml:space="preserve">Beyond that minimum, the IG names specific administrative elements that must be provided for a report to be processed: C.1.1, C.1.3, C.1.5, C.1.7, C.1.8, C.2.r.3, C.3.2, and — where the report type is a study — C.5.4. Validate all of these before allowing export.</w:t>
      </w:r>
    </w:p>
    <w:p>
      <w:pPr>
        <w:pStyle w:val="Heading1"/>
        <w:spacing w:after="150" w:before="340"/>
      </w:pPr>
      <w:r>
        <w:rPr>
          <w:b/>
          <w:bCs/>
          <w:color w:val="1F3864"/>
          <w:sz w:val="26"/>
          <w:szCs w:val="26"/>
        </w:rPr>
        <w:t xml:space="preserve">7. Identifiers, batching and follow-ups</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1900"/>
        <w:gridCol w:w="7120"/>
      </w:tblGrid>
      <w:tr>
        <w:trPr>
          <w:tblHeader/>
        </w:trPr>
        <w:tc>
          <w:tcPr>
            <w:tcW w:type="dxa" w:w="1900"/>
            <w:shd w:fill="1F3864" w:color="auto" w:val="clear"/>
            <w:tcMar>
              <w:top w:type="dxa" w:w="50"/>
              <w:left w:type="dxa" w:w="90"/>
              <w:bottom w:type="dxa" w:w="50"/>
              <w:right w:type="dxa" w:w="90"/>
            </w:tcMar>
          </w:tcPr>
          <w:p>
            <w:pPr>
              <w:spacing w:after="30" w:before="30" w:line="230"/>
            </w:pPr>
            <w:r>
              <w:rPr>
                <w:b/>
                <w:bCs/>
                <w:color w:val="FFFFFF"/>
                <w:sz w:val="18"/>
                <w:szCs w:val="18"/>
              </w:rPr>
              <w:t xml:space="preserve">Rule</w:t>
            </w:r>
          </w:p>
        </w:tc>
        <w:tc>
          <w:tcPr>
            <w:tcW w:type="dxa" w:w="7120"/>
            <w:shd w:fill="1F3864" w:color="auto" w:val="clear"/>
            <w:tcMar>
              <w:top w:type="dxa" w:w="50"/>
              <w:left w:type="dxa" w:w="90"/>
              <w:bottom w:type="dxa" w:w="50"/>
              <w:right w:type="dxa" w:w="90"/>
            </w:tcMar>
          </w:tcPr>
          <w:p>
            <w:pPr>
              <w:spacing w:after="30" w:before="30" w:line="230"/>
            </w:pPr>
            <w:r>
              <w:rPr>
                <w:b/>
                <w:bCs/>
                <w:color w:val="FFFFFF"/>
                <w:sz w:val="18"/>
                <w:szCs w:val="18"/>
              </w:rPr>
              <w:t xml:space="preserve">Implementation</w:t>
            </w:r>
          </w:p>
        </w:tc>
      </w:tr>
      <w:tr>
        <w:tc>
          <w:tcPr>
            <w:tcW w:type="dxa" w:w="1900"/>
            <w:tcMar>
              <w:top w:type="dxa" w:w="50"/>
              <w:left w:type="dxa" w:w="90"/>
              <w:bottom w:type="dxa" w:w="50"/>
              <w:right w:type="dxa" w:w="90"/>
            </w:tcMar>
          </w:tcPr>
          <w:p>
            <w:pPr>
              <w:spacing w:after="30" w:before="30" w:line="230"/>
            </w:pPr>
            <w:r>
              <w:rPr>
                <w:b/>
                <w:bCs/>
                <w:color w:val="000000"/>
                <w:sz w:val="18"/>
                <w:szCs w:val="18"/>
              </w:rPr>
              <w:t xml:space="preserve">Batch size</w:t>
            </w:r>
          </w:p>
        </w:tc>
        <w:tc>
          <w:tcPr>
            <w:tcW w:type="dxa" w:w="7120"/>
            <w:tcMar>
              <w:top w:type="dxa" w:w="50"/>
              <w:left w:type="dxa" w:w="90"/>
              <w:bottom w:type="dxa" w:w="50"/>
              <w:right w:type="dxa" w:w="90"/>
            </w:tcMar>
          </w:tcPr>
          <w:p>
            <w:pPr>
              <w:spacing w:after="30" w:before="30" w:line="230"/>
            </w:pPr>
            <w:r>
              <w:rPr>
                <w:b w:val="false"/>
                <w:bCs w:val="false"/>
                <w:color w:val="000000"/>
                <w:sz w:val="18"/>
                <w:szCs w:val="18"/>
              </w:rPr>
              <w:t xml:space="preserve">UMC recommends a maximum of 100 ICSRs per XML file for system performance. The splitter must enforce this and produce deterministic, resumable batches. This file becomes three: 100 / 100 / 31.</w:t>
            </w:r>
          </w:p>
        </w:tc>
      </w:tr>
      <w:tr>
        <w:tc>
          <w:tcPr>
            <w:tcW w:type="dxa" w:w="1900"/>
            <w:shd w:fill="F2F4F8" w:color="auto" w:val="clear"/>
            <w:tcMar>
              <w:top w:type="dxa" w:w="50"/>
              <w:left w:type="dxa" w:w="90"/>
              <w:bottom w:type="dxa" w:w="50"/>
              <w:right w:type="dxa" w:w="90"/>
            </w:tcMar>
          </w:tcPr>
          <w:p>
            <w:pPr>
              <w:spacing w:after="30" w:before="30" w:line="230"/>
            </w:pPr>
            <w:r>
              <w:rPr>
                <w:b/>
                <w:bCs/>
                <w:color w:val="000000"/>
                <w:sz w:val="18"/>
                <w:szCs w:val="18"/>
              </w:rPr>
              <w:t xml:space="preserve">Case identifier stability</w:t>
            </w:r>
          </w:p>
        </w:tc>
        <w:tc>
          <w:tcPr>
            <w:tcW w:type="dxa" w:w="71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C.1.1 normally remains constant when the same sender retransmits a case. It may change only on organisational change (merger or rename) or a change of primary-source country code.</w:t>
            </w:r>
          </w:p>
        </w:tc>
      </w:tr>
      <w:tr>
        <w:tc>
          <w:tcPr>
            <w:tcW w:type="dxa" w:w="1900"/>
            <w:tcMar>
              <w:top w:type="dxa" w:w="50"/>
              <w:left w:type="dxa" w:w="90"/>
              <w:bottom w:type="dxa" w:w="50"/>
              <w:right w:type="dxa" w:w="90"/>
            </w:tcMar>
          </w:tcPr>
          <w:p>
            <w:pPr>
              <w:spacing w:after="30" w:before="30" w:line="230"/>
            </w:pPr>
            <w:r>
              <w:rPr>
                <w:b/>
                <w:bCs/>
                <w:color w:val="000000"/>
                <w:sz w:val="18"/>
                <w:szCs w:val="18"/>
              </w:rPr>
              <w:t xml:space="preserve">Worldwide identifier stability</w:t>
            </w:r>
          </w:p>
        </w:tc>
        <w:tc>
          <w:tcPr>
            <w:tcW w:type="dxa" w:w="7120"/>
            <w:tcMar>
              <w:top w:type="dxa" w:w="50"/>
              <w:left w:type="dxa" w:w="90"/>
              <w:bottom w:type="dxa" w:w="50"/>
              <w:right w:type="dxa" w:w="90"/>
            </w:tcMar>
          </w:tcPr>
          <w:p>
            <w:pPr>
              <w:spacing w:after="30" w:before="30" w:line="230"/>
            </w:pPr>
            <w:r>
              <w:rPr>
                <w:b w:val="false"/>
                <w:bCs w:val="false"/>
                <w:color w:val="000000"/>
                <w:sz w:val="18"/>
                <w:szCs w:val="18"/>
              </w:rPr>
              <w:t xml:space="preserve">C.1.8.1 and C.1.8.2 must never change in any subsequent retransmission by anyone. Generate once, persist, never regenerate.</w:t>
            </w:r>
          </w:p>
        </w:tc>
      </w:tr>
      <w:tr>
        <w:tc>
          <w:tcPr>
            <w:tcW w:type="dxa" w:w="1900"/>
            <w:shd w:fill="F2F4F8" w:color="auto" w:val="clear"/>
            <w:tcMar>
              <w:top w:type="dxa" w:w="50"/>
              <w:left w:type="dxa" w:w="90"/>
              <w:bottom w:type="dxa" w:w="50"/>
              <w:right w:type="dxa" w:w="90"/>
            </w:tcMar>
          </w:tcPr>
          <w:p>
            <w:pPr>
              <w:spacing w:after="30" w:before="30" w:line="230"/>
            </w:pPr>
            <w:r>
              <w:rPr>
                <w:b/>
                <w:bCs/>
                <w:color w:val="000000"/>
                <w:sz w:val="18"/>
                <w:szCs w:val="18"/>
              </w:rPr>
              <w:t xml:space="preserve">Follow-up detection in VigiFlow</w:t>
            </w:r>
          </w:p>
        </w:tc>
        <w:tc>
          <w:tcPr>
            <w:tcW w:type="dxa" w:w="71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VigiFlow treats an imported ICSR as a follow-up when three values match an existing report: sender's organisation, sender's safety report ID, and worldwide unique ID. Follow-ups are merged automatically with earlier versions viewable via the audit trail. Any instability in these three values will either create duplicates or silently overwrite a different case — this is the highest-consequence identifier bug available in this system.</w:t>
            </w:r>
          </w:p>
        </w:tc>
      </w:tr>
      <w:tr>
        <w:tc>
          <w:tcPr>
            <w:tcW w:type="dxa" w:w="1900"/>
            <w:tcMar>
              <w:top w:type="dxa" w:w="50"/>
              <w:left w:type="dxa" w:w="90"/>
              <w:bottom w:type="dxa" w:w="50"/>
              <w:right w:type="dxa" w:w="90"/>
            </w:tcMar>
          </w:tcPr>
          <w:p>
            <w:pPr>
              <w:spacing w:after="30" w:before="30" w:line="230"/>
            </w:pPr>
            <w:r>
              <w:rPr>
                <w:b/>
                <w:bCs/>
                <w:color w:val="000000"/>
                <w:sz w:val="18"/>
                <w:szCs w:val="18"/>
              </w:rPr>
              <w:t xml:space="preserve">Version ordering</w:t>
            </w:r>
          </w:p>
        </w:tc>
        <w:tc>
          <w:tcPr>
            <w:tcW w:type="dxa" w:w="7120"/>
            <w:tcMar>
              <w:top w:type="dxa" w:w="50"/>
              <w:left w:type="dxa" w:w="90"/>
              <w:bottom w:type="dxa" w:w="50"/>
              <w:right w:type="dxa" w:w="90"/>
            </w:tcMar>
          </w:tcPr>
          <w:p>
            <w:pPr>
              <w:spacing w:after="30" w:before="30" w:line="230"/>
            </w:pPr>
            <w:r>
              <w:rPr>
                <w:b w:val="false"/>
                <w:bCs w:val="false"/>
                <w:color w:val="000000"/>
                <w:sz w:val="18"/>
                <w:szCs w:val="18"/>
              </w:rPr>
              <w:t xml:space="preserve">Where several ICSRs share a worldwide unique ID, or share a date of most recent information, C.1.2 Date of Creation determines which is the most recent version. It must be strictly increasing per case.</w:t>
            </w:r>
          </w:p>
        </w:tc>
      </w:tr>
      <w:tr>
        <w:tc>
          <w:tcPr>
            <w:tcW w:type="dxa" w:w="1900"/>
            <w:shd w:fill="F2F4F8" w:color="auto" w:val="clear"/>
            <w:tcMar>
              <w:top w:type="dxa" w:w="50"/>
              <w:left w:type="dxa" w:w="90"/>
              <w:bottom w:type="dxa" w:w="50"/>
              <w:right w:type="dxa" w:w="90"/>
            </w:tcMar>
          </w:tcPr>
          <w:p>
            <w:pPr>
              <w:spacing w:after="30" w:before="30" w:line="230"/>
            </w:pPr>
            <w:r>
              <w:rPr>
                <w:b/>
                <w:bCs/>
                <w:color w:val="000000"/>
                <w:sz w:val="18"/>
                <w:szCs w:val="18"/>
              </w:rPr>
              <w:t xml:space="preserve">Acknowledgement handling</w:t>
            </w:r>
          </w:p>
        </w:tc>
        <w:tc>
          <w:tcPr>
            <w:tcW w:type="dxa" w:w="71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VigiFlow produces a downloadable E2B acklog in XML for each import. Parse and store it. Import status is Ok, Partial or Fail, and where partial or failed the import details name the error per case. Reconcile against the batch and requeue corrected cases.</w:t>
            </w:r>
          </w:p>
        </w:tc>
      </w:tr>
    </w:tbl>
    <w:p>
      <w:r>
        <w:br w:type="page"/>
      </w:r>
    </w:p>
    <w:p>
      <w:pPr>
        <w:pStyle w:val="Heading1"/>
        <w:spacing w:after="150" w:before="340"/>
      </w:pPr>
      <w:r>
        <w:rPr>
          <w:b/>
          <w:bCs/>
          <w:color w:val="1F3864"/>
          <w:sz w:val="26"/>
          <w:szCs w:val="26"/>
        </w:rPr>
        <w:t xml:space="preserve">8. Build sequence</w:t>
      </w:r>
    </w:p>
    <w:p>
      <w:pPr>
        <w:spacing w:after="80" w:line="260"/>
      </w:pPr>
      <w:r>
        <w:rPr>
          <w:b w:val="false"/>
          <w:bCs w:val="false"/>
          <w:i w:val="false"/>
          <w:iCs w:val="false"/>
          <w:sz w:val="20"/>
          <w:szCs w:val="20"/>
        </w:rPr>
        <w:t xml:space="preserve">Three tracks. Track A has no external dependencies and should start immediately. Tracks B and C are gated on section 3 and section 4.</w:t>
      </w:r>
    </w:p>
    <w:p>
      <w:pPr>
        <w:pStyle w:val="Heading2"/>
        <w:spacing w:after="100" w:before="220"/>
      </w:pPr>
      <w:r>
        <w:rPr>
          <w:b/>
          <w:bCs/>
          <w:color w:val="2E4A7D"/>
          <w:sz w:val="21"/>
          <w:szCs w:val="21"/>
        </w:rPr>
        <w:t xml:space="preserve">Track A — serializer and pipeline (start now)</w:t>
      </w:r>
    </w:p>
    <w:p>
      <w:pPr>
        <w:pStyle w:val="ListParagraph"/>
        <w:numPr>
          <w:ilvl w:val="0"/>
          <w:numId w:val="3"/>
        </w:numPr>
        <w:spacing w:after="70" w:line="250"/>
      </w:pPr>
      <w:r>
        <w:rPr>
          <w:sz w:val="20"/>
          <w:szCs w:val="20"/>
        </w:rPr>
        <w:t xml:space="preserve">Define a canonical internal ICSR data model. Regulatory XML is generated from this model, never directly from source spreadsheet columns.</w:t>
      </w:r>
    </w:p>
    <w:p>
      <w:pPr>
        <w:pStyle w:val="ListParagraph"/>
        <w:numPr>
          <w:ilvl w:val="0"/>
          <w:numId w:val="3"/>
        </w:numPr>
        <w:spacing w:after="70" w:line="250"/>
      </w:pPr>
      <w:r>
        <w:rPr>
          <w:sz w:val="20"/>
          <w:szCs w:val="20"/>
        </w:rPr>
        <w:t xml:space="preserve">Build the E2B(R3) serializer against the ICH ICSR XML schema set, checking output against the ICH reference instances.</w:t>
      </w:r>
    </w:p>
    <w:p>
      <w:pPr>
        <w:pStyle w:val="ListParagraph"/>
        <w:numPr>
          <w:ilvl w:val="0"/>
          <w:numId w:val="3"/>
        </w:numPr>
        <w:spacing w:after="70" w:line="250"/>
      </w:pPr>
      <w:r>
        <w:rPr>
          <w:sz w:val="20"/>
          <w:szCs w:val="20"/>
        </w:rPr>
        <w:t xml:space="preserve">Build the XSD validator and a business-rule validator. Wire both as a gate in front of any export or download action.</w:t>
      </w:r>
    </w:p>
    <w:p>
      <w:pPr>
        <w:pStyle w:val="ListParagraph"/>
        <w:numPr>
          <w:ilvl w:val="0"/>
          <w:numId w:val="3"/>
        </w:numPr>
        <w:spacing w:after="70" w:line="250"/>
      </w:pPr>
      <w:r>
        <w:rPr>
          <w:sz w:val="20"/>
          <w:szCs w:val="20"/>
        </w:rPr>
        <w:t xml:space="preserve">Build the batch splitter with a ≤100-ICSR cap and deterministic batch identifiers.</w:t>
      </w:r>
    </w:p>
    <w:p>
      <w:pPr>
        <w:pStyle w:val="ListParagraph"/>
        <w:numPr>
          <w:ilvl w:val="0"/>
          <w:numId w:val="3"/>
        </w:numPr>
        <w:spacing w:after="70" w:line="250"/>
      </w:pPr>
      <w:r>
        <w:rPr>
          <w:sz w:val="20"/>
          <w:szCs w:val="20"/>
        </w:rPr>
        <w:t xml:space="preserve">Build the acklog parser and the case-level reconciliation view.</w:t>
      </w:r>
    </w:p>
    <w:p>
      <w:pPr>
        <w:pStyle w:val="ListParagraph"/>
        <w:numPr>
          <w:ilvl w:val="0"/>
          <w:numId w:val="3"/>
        </w:numPr>
        <w:spacing w:after="70" w:line="250"/>
      </w:pPr>
      <w:r>
        <w:rPr>
          <w:sz w:val="20"/>
          <w:szCs w:val="20"/>
        </w:rPr>
        <w:t xml:space="preserve">Build the pre-export error report: case number, source field, target element, severity, remediation.</w:t>
      </w:r>
    </w:p>
    <w:p>
      <w:pPr>
        <w:pStyle w:val="Heading2"/>
        <w:spacing w:after="100" w:before="220"/>
      </w:pPr>
      <w:r>
        <w:rPr>
          <w:b/>
          <w:bCs/>
          <w:color w:val="2E4A7D"/>
          <w:sz w:val="21"/>
          <w:szCs w:val="21"/>
        </w:rPr>
        <w:t xml:space="preserve">Track B — coding pipeline (gated on the reaction codebook)</w:t>
      </w:r>
    </w:p>
    <w:p>
      <w:pPr>
        <w:pStyle w:val="ListParagraph"/>
        <w:numPr>
          <w:ilvl w:val="0"/>
          <w:numId w:val="3"/>
        </w:numPr>
        <w:spacing w:after="70" w:line="250"/>
      </w:pPr>
      <w:r>
        <w:rPr>
          <w:sz w:val="20"/>
          <w:szCs w:val="20"/>
        </w:rPr>
        <w:t xml:space="preserve">Decode source reaction codes to human-readable source terms using the Ondo codebook. A value such as "19" must never reach an E2B coded field.</w:t>
      </w:r>
    </w:p>
    <w:p>
      <w:pPr>
        <w:pStyle w:val="ListParagraph"/>
        <w:numPr>
          <w:ilvl w:val="0"/>
          <w:numId w:val="3"/>
        </w:numPr>
        <w:spacing w:after="70" w:line="250"/>
      </w:pPr>
      <w:r>
        <w:rPr>
          <w:sz w:val="20"/>
          <w:szCs w:val="20"/>
        </w:rPr>
        <w:t xml:space="preserve">Split multi-value source entries ("4, 20") into separate E.i instances.</w:t>
      </w:r>
    </w:p>
    <w:p>
      <w:pPr>
        <w:pStyle w:val="ListParagraph"/>
        <w:numPr>
          <w:ilvl w:val="0"/>
          <w:numId w:val="3"/>
        </w:numPr>
        <w:spacing w:after="70" w:line="250"/>
      </w:pPr>
      <w:r>
        <w:rPr>
          <w:sz w:val="20"/>
          <w:szCs w:val="20"/>
        </w:rPr>
        <w:t xml:space="preserve">Route decoded terms through the MedDRA coding workflow. Store the MedDRA version, the LLT and PT identifiers, and the original verbatim term.</w:t>
      </w:r>
    </w:p>
    <w:p>
      <w:pPr>
        <w:pStyle w:val="ListParagraph"/>
        <w:numPr>
          <w:ilvl w:val="0"/>
          <w:numId w:val="3"/>
        </w:numPr>
        <w:spacing w:after="70" w:line="250"/>
      </w:pPr>
      <w:r>
        <w:rPr>
          <w:sz w:val="20"/>
          <w:szCs w:val="20"/>
        </w:rPr>
        <w:t xml:space="preserve">Normalise product names into a controlled internal representation while preserving the verbatim source for G.k.2.2. Split combination strings such as "OPV-2, PENTA-2, PCV-2, ROTA-2" into distinct G.k records.</w:t>
      </w:r>
    </w:p>
    <w:p>
      <w:pPr>
        <w:pStyle w:val="ListParagraph"/>
        <w:numPr>
          <w:ilvl w:val="0"/>
          <w:numId w:val="3"/>
        </w:numPr>
        <w:spacing w:after="70" w:line="250"/>
      </w:pPr>
      <w:r>
        <w:rPr>
          <w:sz w:val="20"/>
          <w:szCs w:val="20"/>
        </w:rPr>
        <w:t xml:space="preserve">Build the source-to-E2B code maps for outcome, seriousness, sex and report source. Quarantine unmapped values for human review rather than defaulting them.</w:t>
      </w:r>
    </w:p>
    <w:p>
      <w:pPr>
        <w:pStyle w:val="Heading2"/>
        <w:spacing w:after="100" w:before="220"/>
      </w:pPr>
      <w:r>
        <w:rPr>
          <w:b/>
          <w:bCs/>
          <w:color w:val="2E4A7D"/>
          <w:sz w:val="21"/>
          <w:szCs w:val="21"/>
        </w:rPr>
        <w:t xml:space="preserve">Track C — administrative fields (gated on D1–D4)</w:t>
      </w:r>
    </w:p>
    <w:p>
      <w:pPr>
        <w:pStyle w:val="ListParagraph"/>
        <w:numPr>
          <w:ilvl w:val="0"/>
          <w:numId w:val="3"/>
        </w:numPr>
        <w:spacing w:after="70" w:line="250"/>
      </w:pPr>
      <w:r>
        <w:rPr>
          <w:sz w:val="20"/>
          <w:szCs w:val="20"/>
        </w:rPr>
        <w:t xml:space="preserve">Implement patient identity handling per D1.</w:t>
      </w:r>
    </w:p>
    <w:p>
      <w:pPr>
        <w:pStyle w:val="ListParagraph"/>
        <w:numPr>
          <w:ilvl w:val="0"/>
          <w:numId w:val="3"/>
        </w:numPr>
        <w:spacing w:after="70" w:line="250"/>
      </w:pPr>
      <w:r>
        <w:rPr>
          <w:sz w:val="20"/>
          <w:szCs w:val="20"/>
        </w:rPr>
        <w:t xml:space="preserve">Implement reporter capture and qualification coding per D2.</w:t>
      </w:r>
    </w:p>
    <w:p>
      <w:pPr>
        <w:pStyle w:val="ListParagraph"/>
        <w:numPr>
          <w:ilvl w:val="0"/>
          <w:numId w:val="3"/>
        </w:numPr>
        <w:spacing w:after="70" w:line="250"/>
      </w:pPr>
      <w:r>
        <w:rPr>
          <w:sz w:val="20"/>
          <w:szCs w:val="20"/>
        </w:rPr>
        <w:t xml:space="preserve">Implement report type per D3.</w:t>
      </w:r>
    </w:p>
    <w:p>
      <w:pPr>
        <w:pStyle w:val="ListParagraph"/>
        <w:numPr>
          <w:ilvl w:val="0"/>
          <w:numId w:val="3"/>
        </w:numPr>
        <w:spacing w:after="70" w:line="250"/>
      </w:pPr>
      <w:r>
        <w:rPr>
          <w:sz w:val="20"/>
          <w:szCs w:val="20"/>
        </w:rPr>
        <w:t xml:space="preserve">Implement sender and receiver identifiers and C.3 sender block per D4.</w:t>
      </w:r>
    </w:p>
    <w:p>
      <w:pPr>
        <w:pBdr>
          <w:left w:val="single" w:color="D08A00" w:sz="12"/>
        </w:pBdr>
        <w:shd w:fill="FFF4E0" w:color="auto" w:val="clear"/>
        <w:spacing w:after="140" w:before="100" w:line="260"/>
        <w:ind w:left="120"/>
      </w:pPr>
      <w:r>
        <w:rPr>
          <w:sz w:val="19"/>
          <w:szCs w:val="19"/>
        </w:rPr>
        <w:t xml:space="preserve">Ship gate: the export action stays disabled until XSD validation and business-rule validation both pass. A partially-valid file uploaded to VigiFlow produces a partial import, which leaves a subset of cases in the national database and the rest silently absent — harder to detect and reconcile than an outright failure.</w:t>
      </w:r>
    </w:p>
    <w:p>
      <w:pPr>
        <w:pStyle w:val="Heading1"/>
        <w:spacing w:after="150" w:before="340"/>
      </w:pPr>
      <w:r>
        <w:rPr>
          <w:b/>
          <w:bCs/>
          <w:color w:val="1F3864"/>
          <w:sz w:val="26"/>
          <w:szCs w:val="26"/>
        </w:rPr>
        <w:t xml:space="preserve">9. Acceptance criteria</w:t>
      </w:r>
    </w:p>
    <w:p>
      <w:pPr>
        <w:pStyle w:val="ListParagraph"/>
        <w:numPr>
          <w:ilvl w:val="0"/>
          <w:numId w:val="2"/>
        </w:numPr>
        <w:spacing w:after="60" w:line="250"/>
      </w:pPr>
      <w:r>
        <w:rPr>
          <w:sz w:val="20"/>
          <w:szCs w:val="20"/>
        </w:rPr>
        <w:t xml:space="preserve">Exported XML validates against the ICH E2B(R3) schema set and behaves consistently with the ICH reference instances.</w:t>
      </w:r>
    </w:p>
    <w:p>
      <w:pPr>
        <w:pStyle w:val="ListParagraph"/>
        <w:numPr>
          <w:ilvl w:val="0"/>
          <w:numId w:val="2"/>
        </w:numPr>
        <w:spacing w:after="60" w:line="250"/>
      </w:pPr>
      <w:r>
        <w:rPr>
          <w:sz w:val="20"/>
          <w:szCs w:val="20"/>
        </w:rPr>
        <w:t xml:space="preserve">No custom XML elements appear in the ICH message unless permitted by a documented regional or UMC extension.</w:t>
      </w:r>
    </w:p>
    <w:p>
      <w:pPr>
        <w:pStyle w:val="ListParagraph"/>
        <w:numPr>
          <w:ilvl w:val="0"/>
          <w:numId w:val="2"/>
        </w:numPr>
        <w:spacing w:after="60" w:line="250"/>
      </w:pPr>
      <w:r>
        <w:rPr>
          <w:sz w:val="20"/>
          <w:szCs w:val="20"/>
        </w:rPr>
        <w:t xml:space="preserve">Every case carries the four minimum criteria: identifiable patient, identifiable reporter, at least one reaction/event, at least one suspect or interacting drug.</w:t>
      </w:r>
    </w:p>
    <w:p>
      <w:pPr>
        <w:pStyle w:val="ListParagraph"/>
        <w:numPr>
          <w:ilvl w:val="0"/>
          <w:numId w:val="2"/>
        </w:numPr>
        <w:spacing w:after="60" w:line="250"/>
      </w:pPr>
      <w:r>
        <w:rPr>
          <w:sz w:val="20"/>
          <w:szCs w:val="20"/>
        </w:rPr>
        <w:t xml:space="preserve">Every case carries the required administrative set: C.1.1, C.1.3, C.1.5, C.1.7, C.1.8, C.2.r.3, C.3.2.</w:t>
      </w:r>
    </w:p>
    <w:p>
      <w:pPr>
        <w:pStyle w:val="ListParagraph"/>
        <w:numPr>
          <w:ilvl w:val="0"/>
          <w:numId w:val="2"/>
        </w:numPr>
        <w:spacing w:after="60" w:line="250"/>
      </w:pPr>
      <w:r>
        <w:rPr>
          <w:sz w:val="20"/>
          <w:szCs w:val="20"/>
        </w:rPr>
        <w:t xml:space="preserve">Every case carries structured report type (C.1.3) and reporter qualification (C.2.r.4) — the two fields whose absence currently fails validated import.</w:t>
      </w:r>
    </w:p>
    <w:p>
      <w:pPr>
        <w:pStyle w:val="ListParagraph"/>
        <w:numPr>
          <w:ilvl w:val="0"/>
          <w:numId w:val="2"/>
        </w:numPr>
        <w:spacing w:after="60" w:line="250"/>
      </w:pPr>
      <w:r>
        <w:rPr>
          <w:sz w:val="20"/>
          <w:szCs w:val="20"/>
        </w:rPr>
        <w:t xml:space="preserve">At least one MedDRA-coded reaction (E.i.2.1b) per case, with the MedDRA version (E.i.2.1a) recorded.</w:t>
      </w:r>
    </w:p>
    <w:p>
      <w:pPr>
        <w:pStyle w:val="ListParagraph"/>
        <w:numPr>
          <w:ilvl w:val="0"/>
          <w:numId w:val="2"/>
        </w:numPr>
        <w:spacing w:after="60" w:line="250"/>
      </w:pPr>
      <w:r>
        <w:rPr>
          <w:sz w:val="20"/>
          <w:szCs w:val="20"/>
        </w:rPr>
        <w:t xml:space="preserve">No local numeric source code reaches an E2B coded field without a documented mapping.</w:t>
      </w:r>
    </w:p>
    <w:p>
      <w:pPr>
        <w:pStyle w:val="ListParagraph"/>
        <w:numPr>
          <w:ilvl w:val="0"/>
          <w:numId w:val="2"/>
        </w:numPr>
        <w:spacing w:after="60" w:line="250"/>
      </w:pPr>
      <w:r>
        <w:rPr>
          <w:sz w:val="20"/>
          <w:szCs w:val="20"/>
        </w:rPr>
        <w:t xml:space="preserve">Required elements with no value carry an appropriate nullFlavor; optional elements with no value are omitted entirely. No empty tags.</w:t>
      </w:r>
    </w:p>
    <w:p>
      <w:pPr>
        <w:pStyle w:val="ListParagraph"/>
        <w:numPr>
          <w:ilvl w:val="0"/>
          <w:numId w:val="2"/>
        </w:numPr>
        <w:spacing w:after="60" w:line="250"/>
      </w:pPr>
      <w:r>
        <w:rPr>
          <w:sz w:val="20"/>
          <w:szCs w:val="20"/>
        </w:rPr>
        <w:t xml:space="preserve">C.1.8.1 and C.1.8.2 are stable across retransmissions; C.1.2 increases strictly per case version.</w:t>
      </w:r>
    </w:p>
    <w:p>
      <w:pPr>
        <w:pStyle w:val="ListParagraph"/>
        <w:numPr>
          <w:ilvl w:val="0"/>
          <w:numId w:val="2"/>
        </w:numPr>
        <w:spacing w:after="60" w:line="250"/>
      </w:pPr>
      <w:r>
        <w:rPr>
          <w:sz w:val="20"/>
          <w:szCs w:val="20"/>
        </w:rPr>
        <w:t xml:space="preserve">Each output file contains 100 ICSRs or fewer.</w:t>
      </w:r>
    </w:p>
    <w:p>
      <w:pPr>
        <w:pStyle w:val="ListParagraph"/>
        <w:numPr>
          <w:ilvl w:val="0"/>
          <w:numId w:val="2"/>
        </w:numPr>
        <w:spacing w:after="60" w:line="250"/>
      </w:pPr>
      <w:r>
        <w:rPr>
          <w:sz w:val="20"/>
          <w:szCs w:val="20"/>
        </w:rPr>
        <w:t xml:space="preserve">The pre-export validator produces a human-readable error list with case number, source field, target element, severity and remediation.</w:t>
      </w:r>
    </w:p>
    <w:p>
      <w:pPr>
        <w:pStyle w:val="ListParagraph"/>
        <w:numPr>
          <w:ilvl w:val="0"/>
          <w:numId w:val="2"/>
        </w:numPr>
        <w:spacing w:after="60" w:line="250"/>
      </w:pPr>
      <w:r>
        <w:rPr>
          <w:sz w:val="20"/>
          <w:szCs w:val="20"/>
        </w:rPr>
        <w:t xml:space="preserve">The acklog from each VigiFlow import is parsed, stored and reconciled against the submitted batch.</w:t>
      </w:r>
    </w:p>
    <w:p>
      <w:pPr>
        <w:pStyle w:val="Heading2"/>
        <w:spacing w:after="100" w:before="220"/>
      </w:pPr>
      <w:r>
        <w:rPr>
          <w:b/>
          <w:bCs/>
          <w:color w:val="2E4A7D"/>
          <w:sz w:val="21"/>
          <w:szCs w:val="21"/>
        </w:rPr>
        <w:t xml:space="preserve">Test matrix</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3400"/>
        <w:gridCol w:w="5620"/>
      </w:tblGrid>
      <w:tr>
        <w:trPr>
          <w:tblHeader/>
        </w:trPr>
        <w:tc>
          <w:tcPr>
            <w:tcW w:type="dxa" w:w="3400"/>
            <w:shd w:fill="1F3864" w:color="auto" w:val="clear"/>
            <w:tcMar>
              <w:top w:type="dxa" w:w="50"/>
              <w:left w:type="dxa" w:w="90"/>
              <w:bottom w:type="dxa" w:w="50"/>
              <w:right w:type="dxa" w:w="90"/>
            </w:tcMar>
          </w:tcPr>
          <w:p>
            <w:pPr>
              <w:spacing w:after="30" w:before="30" w:line="230"/>
            </w:pPr>
            <w:r>
              <w:rPr>
                <w:b/>
                <w:bCs/>
                <w:color w:val="FFFFFF"/>
                <w:sz w:val="18"/>
                <w:szCs w:val="18"/>
              </w:rPr>
              <w:t xml:space="preserve">Case</w:t>
            </w:r>
          </w:p>
        </w:tc>
        <w:tc>
          <w:tcPr>
            <w:tcW w:type="dxa" w:w="5620"/>
            <w:shd w:fill="1F3864" w:color="auto" w:val="clear"/>
            <w:tcMar>
              <w:top w:type="dxa" w:w="50"/>
              <w:left w:type="dxa" w:w="90"/>
              <w:bottom w:type="dxa" w:w="50"/>
              <w:right w:type="dxa" w:w="90"/>
            </w:tcMar>
          </w:tcPr>
          <w:p>
            <w:pPr>
              <w:spacing w:after="30" w:before="30" w:line="230"/>
            </w:pPr>
            <w:r>
              <w:rPr>
                <w:b/>
                <w:bCs/>
                <w:color w:val="FFFFFF"/>
                <w:sz w:val="18"/>
                <w:szCs w:val="18"/>
              </w:rPr>
              <w:t xml:space="preserve">Expects</w:t>
            </w:r>
          </w:p>
        </w:tc>
      </w:tr>
      <w:tr>
        <w:tc>
          <w:tcPr>
            <w:tcW w:type="dxa" w:w="3400"/>
            <w:tcMar>
              <w:top w:type="dxa" w:w="50"/>
              <w:left w:type="dxa" w:w="90"/>
              <w:bottom w:type="dxa" w:w="50"/>
              <w:right w:type="dxa" w:w="90"/>
            </w:tcMar>
          </w:tcPr>
          <w:p>
            <w:pPr>
              <w:spacing w:after="30" w:before="30" w:line="230"/>
            </w:pPr>
            <w:r>
              <w:rPr>
                <w:b/>
                <w:bCs/>
                <w:color w:val="000000"/>
                <w:sz w:val="18"/>
                <w:szCs w:val="18"/>
              </w:rPr>
              <w:t xml:space="preserve">Valid single case, all fields populated</w:t>
            </w:r>
          </w:p>
        </w:tc>
        <w:tc>
          <w:tcPr>
            <w:tcW w:type="dxa" w:w="5620"/>
            <w:tcMar>
              <w:top w:type="dxa" w:w="50"/>
              <w:left w:type="dxa" w:w="90"/>
              <w:bottom w:type="dxa" w:w="50"/>
              <w:right w:type="dxa" w:w="90"/>
            </w:tcMar>
          </w:tcPr>
          <w:p>
            <w:pPr>
              <w:spacing w:after="30" w:before="30" w:line="230"/>
            </w:pPr>
            <w:r>
              <w:rPr>
                <w:b w:val="false"/>
                <w:bCs w:val="false"/>
                <w:color w:val="000000"/>
                <w:sz w:val="18"/>
                <w:szCs w:val="18"/>
              </w:rPr>
              <w:t xml:space="preserve">Passes XSD and business rules; imports as validated</w:t>
            </w:r>
          </w:p>
        </w:tc>
      </w:tr>
      <w:tr>
        <w:tc>
          <w:tcPr>
            <w:tcW w:type="dxa" w:w="3400"/>
            <w:shd w:fill="F2F4F8" w:color="auto" w:val="clear"/>
            <w:tcMar>
              <w:top w:type="dxa" w:w="50"/>
              <w:left w:type="dxa" w:w="90"/>
              <w:bottom w:type="dxa" w:w="50"/>
              <w:right w:type="dxa" w:w="90"/>
            </w:tcMar>
          </w:tcPr>
          <w:p>
            <w:pPr>
              <w:spacing w:after="30" w:before="30" w:line="230"/>
            </w:pPr>
            <w:r>
              <w:rPr>
                <w:b/>
                <w:bCs/>
                <w:color w:val="000000"/>
                <w:sz w:val="18"/>
                <w:szCs w:val="18"/>
              </w:rPr>
              <w:t xml:space="preserve">Missing reaction</w:t>
            </w:r>
          </w:p>
        </w:tc>
        <w:tc>
          <w:tcPr>
            <w:tcW w:type="dxa" w:w="56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Rejected pre-export with a named error</w:t>
            </w:r>
          </w:p>
        </w:tc>
      </w:tr>
      <w:tr>
        <w:tc>
          <w:tcPr>
            <w:tcW w:type="dxa" w:w="3400"/>
            <w:tcMar>
              <w:top w:type="dxa" w:w="50"/>
              <w:left w:type="dxa" w:w="90"/>
              <w:bottom w:type="dxa" w:w="50"/>
              <w:right w:type="dxa" w:w="90"/>
            </w:tcMar>
          </w:tcPr>
          <w:p>
            <w:pPr>
              <w:spacing w:after="30" w:before="30" w:line="230"/>
            </w:pPr>
            <w:r>
              <w:rPr>
                <w:b/>
                <w:bCs/>
                <w:color w:val="000000"/>
                <w:sz w:val="18"/>
                <w:szCs w:val="18"/>
              </w:rPr>
              <w:t xml:space="preserve">Missing suspect drug</w:t>
            </w:r>
          </w:p>
        </w:tc>
        <w:tc>
          <w:tcPr>
            <w:tcW w:type="dxa" w:w="5620"/>
            <w:tcMar>
              <w:top w:type="dxa" w:w="50"/>
              <w:left w:type="dxa" w:w="90"/>
              <w:bottom w:type="dxa" w:w="50"/>
              <w:right w:type="dxa" w:w="90"/>
            </w:tcMar>
          </w:tcPr>
          <w:p>
            <w:pPr>
              <w:spacing w:after="30" w:before="30" w:line="230"/>
            </w:pPr>
            <w:r>
              <w:rPr>
                <w:b w:val="false"/>
                <w:bCs w:val="false"/>
                <w:color w:val="000000"/>
                <w:sz w:val="18"/>
                <w:szCs w:val="18"/>
              </w:rPr>
              <w:t xml:space="preserve">Rejected pre-export</w:t>
            </w:r>
          </w:p>
        </w:tc>
      </w:tr>
      <w:tr>
        <w:tc>
          <w:tcPr>
            <w:tcW w:type="dxa" w:w="3400"/>
            <w:shd w:fill="F2F4F8" w:color="auto" w:val="clear"/>
            <w:tcMar>
              <w:top w:type="dxa" w:w="50"/>
              <w:left w:type="dxa" w:w="90"/>
              <w:bottom w:type="dxa" w:w="50"/>
              <w:right w:type="dxa" w:w="90"/>
            </w:tcMar>
          </w:tcPr>
          <w:p>
            <w:pPr>
              <w:spacing w:after="30" w:before="30" w:line="230"/>
            </w:pPr>
            <w:r>
              <w:rPr>
                <w:b/>
                <w:bCs/>
                <w:color w:val="000000"/>
                <w:sz w:val="18"/>
                <w:szCs w:val="18"/>
              </w:rPr>
              <w:t xml:space="preserve">Missing reporter qualification</w:t>
            </w:r>
          </w:p>
        </w:tc>
        <w:tc>
          <w:tcPr>
            <w:tcW w:type="dxa" w:w="56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Rejected pre-export</w:t>
            </w:r>
          </w:p>
        </w:tc>
      </w:tr>
      <w:tr>
        <w:tc>
          <w:tcPr>
            <w:tcW w:type="dxa" w:w="3400"/>
            <w:tcMar>
              <w:top w:type="dxa" w:w="50"/>
              <w:left w:type="dxa" w:w="90"/>
              <w:bottom w:type="dxa" w:w="50"/>
              <w:right w:type="dxa" w:w="90"/>
            </w:tcMar>
          </w:tcPr>
          <w:p>
            <w:pPr>
              <w:spacing w:after="30" w:before="30" w:line="230"/>
            </w:pPr>
            <w:r>
              <w:rPr>
                <w:b/>
                <w:bCs/>
                <w:color w:val="000000"/>
                <w:sz w:val="18"/>
                <w:szCs w:val="18"/>
              </w:rPr>
              <w:t xml:space="preserve">Unknown reaction start date</w:t>
            </w:r>
          </w:p>
        </w:tc>
        <w:tc>
          <w:tcPr>
            <w:tcW w:type="dxa" w:w="5620"/>
            <w:tcMar>
              <w:top w:type="dxa" w:w="50"/>
              <w:left w:type="dxa" w:w="90"/>
              <w:bottom w:type="dxa" w:w="50"/>
              <w:right w:type="dxa" w:w="90"/>
            </w:tcMar>
          </w:tcPr>
          <w:p>
            <w:pPr>
              <w:spacing w:after="30" w:before="30" w:line="230"/>
            </w:pPr>
            <w:r>
              <w:rPr>
                <w:b w:val="false"/>
                <w:bCs w:val="false"/>
                <w:color w:val="000000"/>
                <w:sz w:val="18"/>
                <w:szCs w:val="18"/>
              </w:rPr>
              <w:t xml:space="preserve">Element omitted, not emitted empty; case still valid</w:t>
            </w:r>
          </w:p>
        </w:tc>
      </w:tr>
      <w:tr>
        <w:tc>
          <w:tcPr>
            <w:tcW w:type="dxa" w:w="3400"/>
            <w:shd w:fill="F2F4F8" w:color="auto" w:val="clear"/>
            <w:tcMar>
              <w:top w:type="dxa" w:w="50"/>
              <w:left w:type="dxa" w:w="90"/>
              <w:bottom w:type="dxa" w:w="50"/>
              <w:right w:type="dxa" w:w="90"/>
            </w:tcMar>
          </w:tcPr>
          <w:p>
            <w:pPr>
              <w:spacing w:after="30" w:before="30" w:line="230"/>
            </w:pPr>
            <w:r>
              <w:rPr>
                <w:b/>
                <w:bCs/>
                <w:color w:val="000000"/>
                <w:sz w:val="18"/>
                <w:szCs w:val="18"/>
              </w:rPr>
              <w:t xml:space="preserve">Required field with no value</w:t>
            </w:r>
          </w:p>
        </w:tc>
        <w:tc>
          <w:tcPr>
            <w:tcW w:type="dxa" w:w="56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Emitted with the correct nullFlavor</w:t>
            </w:r>
          </w:p>
        </w:tc>
      </w:tr>
      <w:tr>
        <w:tc>
          <w:tcPr>
            <w:tcW w:type="dxa" w:w="3400"/>
            <w:tcMar>
              <w:top w:type="dxa" w:w="50"/>
              <w:left w:type="dxa" w:w="90"/>
              <w:bottom w:type="dxa" w:w="50"/>
              <w:right w:type="dxa" w:w="90"/>
            </w:tcMar>
          </w:tcPr>
          <w:p>
            <w:pPr>
              <w:spacing w:after="30" w:before="30" w:line="230"/>
            </w:pPr>
            <w:r>
              <w:rPr>
                <w:b/>
                <w:bCs/>
                <w:color w:val="000000"/>
                <w:sz w:val="18"/>
                <w:szCs w:val="18"/>
              </w:rPr>
              <w:t xml:space="preserve">Multiple reactions on one case</w:t>
            </w:r>
          </w:p>
        </w:tc>
        <w:tc>
          <w:tcPr>
            <w:tcW w:type="dxa" w:w="5620"/>
            <w:tcMar>
              <w:top w:type="dxa" w:w="50"/>
              <w:left w:type="dxa" w:w="90"/>
              <w:bottom w:type="dxa" w:w="50"/>
              <w:right w:type="dxa" w:w="90"/>
            </w:tcMar>
          </w:tcPr>
          <w:p>
            <w:pPr>
              <w:spacing w:after="30" w:before="30" w:line="230"/>
            </w:pPr>
            <w:r>
              <w:rPr>
                <w:b w:val="false"/>
                <w:bCs w:val="false"/>
                <w:color w:val="000000"/>
                <w:sz w:val="18"/>
                <w:szCs w:val="18"/>
              </w:rPr>
              <w:t xml:space="preserve">Separate E.i instances, each independently coded</w:t>
            </w:r>
          </w:p>
        </w:tc>
      </w:tr>
      <w:tr>
        <w:tc>
          <w:tcPr>
            <w:tcW w:type="dxa" w:w="3400"/>
            <w:shd w:fill="F2F4F8" w:color="auto" w:val="clear"/>
            <w:tcMar>
              <w:top w:type="dxa" w:w="50"/>
              <w:left w:type="dxa" w:w="90"/>
              <w:bottom w:type="dxa" w:w="50"/>
              <w:right w:type="dxa" w:w="90"/>
            </w:tcMar>
          </w:tcPr>
          <w:p>
            <w:pPr>
              <w:spacing w:after="30" w:before="30" w:line="230"/>
            </w:pPr>
            <w:r>
              <w:rPr>
                <w:b/>
                <w:bCs/>
                <w:color w:val="000000"/>
                <w:sz w:val="18"/>
                <w:szCs w:val="18"/>
              </w:rPr>
              <w:t xml:space="preserve">Multiple suspect vaccines</w:t>
            </w:r>
          </w:p>
        </w:tc>
        <w:tc>
          <w:tcPr>
            <w:tcW w:type="dxa" w:w="56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Separate G.k instances with correct G.k.1 roles</w:t>
            </w:r>
          </w:p>
        </w:tc>
      </w:tr>
      <w:tr>
        <w:tc>
          <w:tcPr>
            <w:tcW w:type="dxa" w:w="3400"/>
            <w:tcMar>
              <w:top w:type="dxa" w:w="50"/>
              <w:left w:type="dxa" w:w="90"/>
              <w:bottom w:type="dxa" w:w="50"/>
              <w:right w:type="dxa" w:w="90"/>
            </w:tcMar>
          </w:tcPr>
          <w:p>
            <w:pPr>
              <w:spacing w:after="30" w:before="30" w:line="230"/>
            </w:pPr>
            <w:r>
              <w:rPr>
                <w:b/>
                <w:bCs/>
                <w:color w:val="000000"/>
                <w:sz w:val="18"/>
                <w:szCs w:val="18"/>
              </w:rPr>
              <w:t xml:space="preserve">Combination product string</w:t>
            </w:r>
          </w:p>
        </w:tc>
        <w:tc>
          <w:tcPr>
            <w:tcW w:type="dxa" w:w="5620"/>
            <w:tcMar>
              <w:top w:type="dxa" w:w="50"/>
              <w:left w:type="dxa" w:w="90"/>
              <w:bottom w:type="dxa" w:w="50"/>
              <w:right w:type="dxa" w:w="90"/>
            </w:tcMar>
          </w:tcPr>
          <w:p>
            <w:pPr>
              <w:spacing w:after="30" w:before="30" w:line="230"/>
            </w:pPr>
            <w:r>
              <w:rPr>
                <w:b w:val="false"/>
                <w:bCs w:val="false"/>
                <w:color w:val="000000"/>
                <w:sz w:val="18"/>
                <w:szCs w:val="18"/>
              </w:rPr>
              <w:t xml:space="preserve">Split into distinct G.k records, verbatim preserved</w:t>
            </w:r>
          </w:p>
        </w:tc>
      </w:tr>
      <w:tr>
        <w:tc>
          <w:tcPr>
            <w:tcW w:type="dxa" w:w="3400"/>
            <w:shd w:fill="F2F4F8" w:color="auto" w:val="clear"/>
            <w:tcMar>
              <w:top w:type="dxa" w:w="50"/>
              <w:left w:type="dxa" w:w="90"/>
              <w:bottom w:type="dxa" w:w="50"/>
              <w:right w:type="dxa" w:w="90"/>
            </w:tcMar>
          </w:tcPr>
          <w:p>
            <w:pPr>
              <w:spacing w:after="30" w:before="30" w:line="230"/>
            </w:pPr>
            <w:r>
              <w:rPr>
                <w:b/>
                <w:bCs/>
                <w:color w:val="000000"/>
                <w:sz w:val="18"/>
                <w:szCs w:val="18"/>
              </w:rPr>
              <w:t xml:space="preserve">Follow-up case</w:t>
            </w:r>
          </w:p>
        </w:tc>
        <w:tc>
          <w:tcPr>
            <w:tcW w:type="dxa" w:w="56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Same C.1.8.1, new C.1.2; merges in VigiFlow rather than duplicating</w:t>
            </w:r>
          </w:p>
        </w:tc>
      </w:tr>
      <w:tr>
        <w:tc>
          <w:tcPr>
            <w:tcW w:type="dxa" w:w="3400"/>
            <w:tcMar>
              <w:top w:type="dxa" w:w="50"/>
              <w:left w:type="dxa" w:w="90"/>
              <w:bottom w:type="dxa" w:w="50"/>
              <w:right w:type="dxa" w:w="90"/>
            </w:tcMar>
          </w:tcPr>
          <w:p>
            <w:pPr>
              <w:spacing w:after="30" w:before="30" w:line="230"/>
            </w:pPr>
            <w:r>
              <w:rPr>
                <w:b/>
                <w:bCs/>
                <w:color w:val="000000"/>
                <w:sz w:val="18"/>
                <w:szCs w:val="18"/>
              </w:rPr>
              <w:t xml:space="preserve">Duplicate case ID</w:t>
            </w:r>
          </w:p>
        </w:tc>
        <w:tc>
          <w:tcPr>
            <w:tcW w:type="dxa" w:w="5620"/>
            <w:tcMar>
              <w:top w:type="dxa" w:w="50"/>
              <w:left w:type="dxa" w:w="90"/>
              <w:bottom w:type="dxa" w:w="50"/>
              <w:right w:type="dxa" w:w="90"/>
            </w:tcMar>
          </w:tcPr>
          <w:p>
            <w:pPr>
              <w:spacing w:after="30" w:before="30" w:line="230"/>
            </w:pPr>
            <w:r>
              <w:rPr>
                <w:b w:val="false"/>
                <w:bCs w:val="false"/>
                <w:color w:val="000000"/>
                <w:sz w:val="18"/>
                <w:szCs w:val="18"/>
              </w:rPr>
              <w:t xml:space="preserve">Detected and rejected before export</w:t>
            </w:r>
          </w:p>
        </w:tc>
      </w:tr>
      <w:tr>
        <w:tc>
          <w:tcPr>
            <w:tcW w:type="dxa" w:w="3400"/>
            <w:shd w:fill="F2F4F8" w:color="auto" w:val="clear"/>
            <w:tcMar>
              <w:top w:type="dxa" w:w="50"/>
              <w:left w:type="dxa" w:w="90"/>
              <w:bottom w:type="dxa" w:w="50"/>
              <w:right w:type="dxa" w:w="90"/>
            </w:tcMar>
          </w:tcPr>
          <w:p>
            <w:pPr>
              <w:spacing w:after="30" w:before="30" w:line="230"/>
            </w:pPr>
            <w:r>
              <w:rPr>
                <w:b/>
                <w:bCs/>
                <w:color w:val="000000"/>
                <w:sz w:val="18"/>
                <w:szCs w:val="18"/>
              </w:rPr>
              <w:t xml:space="preserve">Unmapped source code</w:t>
            </w:r>
          </w:p>
        </w:tc>
        <w:tc>
          <w:tcPr>
            <w:tcW w:type="dxa" w:w="56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Quarantined, not defaulted or silently dropped</w:t>
            </w:r>
          </w:p>
        </w:tc>
      </w:tr>
      <w:tr>
        <w:tc>
          <w:tcPr>
            <w:tcW w:type="dxa" w:w="3400"/>
            <w:tcMar>
              <w:top w:type="dxa" w:w="50"/>
              <w:left w:type="dxa" w:w="90"/>
              <w:bottom w:type="dxa" w:w="50"/>
              <w:right w:type="dxa" w:w="90"/>
            </w:tcMar>
          </w:tcPr>
          <w:p>
            <w:pPr>
              <w:spacing w:after="30" w:before="30" w:line="230"/>
            </w:pPr>
            <w:r>
              <w:rPr>
                <w:b/>
                <w:bCs/>
                <w:color w:val="000000"/>
                <w:sz w:val="18"/>
                <w:szCs w:val="18"/>
              </w:rPr>
              <w:t xml:space="preserve">100-case batch</w:t>
            </w:r>
          </w:p>
        </w:tc>
        <w:tc>
          <w:tcPr>
            <w:tcW w:type="dxa" w:w="5620"/>
            <w:tcMar>
              <w:top w:type="dxa" w:w="50"/>
              <w:left w:type="dxa" w:w="90"/>
              <w:bottom w:type="dxa" w:w="50"/>
              <w:right w:type="dxa" w:w="90"/>
            </w:tcMar>
          </w:tcPr>
          <w:p>
            <w:pPr>
              <w:spacing w:after="30" w:before="30" w:line="230"/>
            </w:pPr>
            <w:r>
              <w:rPr>
                <w:b w:val="false"/>
                <w:bCs w:val="false"/>
                <w:color w:val="000000"/>
                <w:sz w:val="18"/>
                <w:szCs w:val="18"/>
              </w:rPr>
              <w:t xml:space="preserve">Single valid file</w:t>
            </w:r>
          </w:p>
        </w:tc>
      </w:tr>
      <w:tr>
        <w:tc>
          <w:tcPr>
            <w:tcW w:type="dxa" w:w="3400"/>
            <w:shd w:fill="F2F4F8" w:color="auto" w:val="clear"/>
            <w:tcMar>
              <w:top w:type="dxa" w:w="50"/>
              <w:left w:type="dxa" w:w="90"/>
              <w:bottom w:type="dxa" w:w="50"/>
              <w:right w:type="dxa" w:w="90"/>
            </w:tcMar>
          </w:tcPr>
          <w:p>
            <w:pPr>
              <w:spacing w:after="30" w:before="30" w:line="230"/>
            </w:pPr>
            <w:r>
              <w:rPr>
                <w:b/>
                <w:bCs/>
                <w:color w:val="000000"/>
                <w:sz w:val="18"/>
                <w:szCs w:val="18"/>
              </w:rPr>
              <w:t xml:space="preserve">101-case batch</w:t>
            </w:r>
          </w:p>
        </w:tc>
        <w:tc>
          <w:tcPr>
            <w:tcW w:type="dxa" w:w="5620"/>
            <w:shd w:fill="F2F4F8" w:color="auto" w:val="clear"/>
            <w:tcMar>
              <w:top w:type="dxa" w:w="50"/>
              <w:left w:type="dxa" w:w="90"/>
              <w:bottom w:type="dxa" w:w="50"/>
              <w:right w:type="dxa" w:w="90"/>
            </w:tcMar>
          </w:tcPr>
          <w:p>
            <w:pPr>
              <w:spacing w:after="30" w:before="30" w:line="230"/>
            </w:pPr>
            <w:r>
              <w:rPr>
                <w:b w:val="false"/>
                <w:bCs w:val="false"/>
                <w:color w:val="000000"/>
                <w:sz w:val="18"/>
                <w:szCs w:val="18"/>
              </w:rPr>
              <w:t xml:space="preserve">Split, or rejected with a clear instruction to split</w:t>
            </w:r>
          </w:p>
        </w:tc>
      </w:tr>
      <w:tr>
        <w:tc>
          <w:tcPr>
            <w:tcW w:type="dxa" w:w="3400"/>
            <w:tcMar>
              <w:top w:type="dxa" w:w="50"/>
              <w:left w:type="dxa" w:w="90"/>
              <w:bottom w:type="dxa" w:w="50"/>
              <w:right w:type="dxa" w:w="90"/>
            </w:tcMar>
          </w:tcPr>
          <w:p>
            <w:pPr>
              <w:spacing w:after="30" w:before="30" w:line="230"/>
            </w:pPr>
            <w:r>
              <w:rPr>
                <w:b/>
                <w:bCs/>
                <w:color w:val="000000"/>
                <w:sz w:val="18"/>
                <w:szCs w:val="18"/>
              </w:rPr>
              <w:t xml:space="preserve">Nullified case</w:t>
            </w:r>
          </w:p>
        </w:tc>
        <w:tc>
          <w:tcPr>
            <w:tcW w:type="dxa" w:w="5620"/>
            <w:tcMar>
              <w:top w:type="dxa" w:w="50"/>
              <w:left w:type="dxa" w:w="90"/>
              <w:bottom w:type="dxa" w:w="50"/>
              <w:right w:type="dxa" w:w="90"/>
            </w:tcMar>
          </w:tcPr>
          <w:p>
            <w:pPr>
              <w:spacing w:after="30" w:before="30" w:line="230"/>
            </w:pPr>
            <w:r>
              <w:rPr>
                <w:b w:val="false"/>
                <w:bCs w:val="false"/>
                <w:color w:val="000000"/>
                <w:sz w:val="18"/>
                <w:szCs w:val="18"/>
              </w:rPr>
              <w:t xml:space="preserve">C.1.11.1 populated; accepted as a nullification</w:t>
            </w:r>
          </w:p>
        </w:tc>
      </w:tr>
    </w:tbl>
    <w:p>
      <w:pPr>
        <w:pStyle w:val="Heading1"/>
        <w:spacing w:after="150" w:before="340"/>
      </w:pPr>
      <w:r>
        <w:rPr>
          <w:b/>
          <w:bCs/>
          <w:color w:val="1F3864"/>
          <w:sz w:val="26"/>
          <w:szCs w:val="26"/>
        </w:rPr>
        <w:t xml:space="preserve">10. Reference package</w:t>
      </w:r>
    </w:p>
    <w:tbl>
      <w:tblPr>
        <w:tblW w:type="dxa" w:w="9020"/>
        <w:tblBorders>
          <w:top w:val="single" w:color="AAB2C0" w:sz="2"/>
          <w:left w:val="single" w:color="AAB2C0" w:sz="2"/>
          <w:bottom w:val="single" w:color="AAB2C0" w:sz="2"/>
          <w:right w:val="single" w:color="AAB2C0" w:sz="2"/>
          <w:insideH w:val="single" w:color="D5DAE2" w:sz="2"/>
          <w:insideV w:val="single" w:color="D5DAE2" w:sz="2"/>
        </w:tblBorders>
      </w:tblPr>
      <w:tblGrid>
        <w:gridCol w:w="3000"/>
        <w:gridCol w:w="2900"/>
        <w:gridCol w:w="3120"/>
      </w:tblGrid>
      <w:tr>
        <w:trPr>
          <w:tblHeader/>
        </w:trPr>
        <w:tc>
          <w:tcPr>
            <w:tcW w:type="dxa" w:w="3000"/>
            <w:shd w:fill="1F3864" w:color="auto" w:val="clear"/>
            <w:tcMar>
              <w:top w:type="dxa" w:w="50"/>
              <w:left w:type="dxa" w:w="90"/>
              <w:bottom w:type="dxa" w:w="50"/>
              <w:right w:type="dxa" w:w="90"/>
            </w:tcMar>
          </w:tcPr>
          <w:p>
            <w:pPr>
              <w:spacing w:after="30" w:before="30" w:line="230"/>
            </w:pPr>
            <w:r>
              <w:rPr>
                <w:b/>
                <w:bCs/>
                <w:color w:val="FFFFFF"/>
                <w:sz w:val="17"/>
                <w:szCs w:val="17"/>
              </w:rPr>
              <w:t xml:space="preserve">Source</w:t>
            </w:r>
          </w:p>
        </w:tc>
        <w:tc>
          <w:tcPr>
            <w:tcW w:type="dxa" w:w="2900"/>
            <w:shd w:fill="1F3864" w:color="auto" w:val="clear"/>
            <w:tcMar>
              <w:top w:type="dxa" w:w="50"/>
              <w:left w:type="dxa" w:w="90"/>
              <w:bottom w:type="dxa" w:w="50"/>
              <w:right w:type="dxa" w:w="90"/>
            </w:tcMar>
          </w:tcPr>
          <w:p>
            <w:pPr>
              <w:spacing w:after="30" w:before="30" w:line="230"/>
            </w:pPr>
            <w:r>
              <w:rPr>
                <w:b/>
                <w:bCs/>
                <w:color w:val="FFFFFF"/>
                <w:sz w:val="17"/>
                <w:szCs w:val="17"/>
              </w:rPr>
              <w:t xml:space="preserve">Use</w:t>
            </w:r>
          </w:p>
        </w:tc>
        <w:tc>
          <w:tcPr>
            <w:tcW w:type="dxa" w:w="3120"/>
            <w:shd w:fill="1F3864" w:color="auto" w:val="clear"/>
            <w:tcMar>
              <w:top w:type="dxa" w:w="50"/>
              <w:left w:type="dxa" w:w="90"/>
              <w:bottom w:type="dxa" w:w="50"/>
              <w:right w:type="dxa" w:w="90"/>
            </w:tcMar>
          </w:tcPr>
          <w:p>
            <w:pPr>
              <w:spacing w:after="30" w:before="30" w:line="230"/>
            </w:pPr>
            <w:r>
              <w:rPr>
                <w:b/>
                <w:bCs/>
                <w:color w:val="FFFFFF"/>
                <w:sz w:val="17"/>
                <w:szCs w:val="17"/>
              </w:rPr>
              <w:t xml:space="preserve">Location</w:t>
            </w:r>
          </w:p>
        </w:tc>
      </w:tr>
      <w:tr>
        <w:tc>
          <w:tcPr>
            <w:tcW w:type="dxa" w:w="3000"/>
            <w:tcMar>
              <w:top w:type="dxa" w:w="50"/>
              <w:left w:type="dxa" w:w="90"/>
              <w:bottom w:type="dxa" w:w="50"/>
              <w:right w:type="dxa" w:w="90"/>
            </w:tcMar>
          </w:tcPr>
          <w:p>
            <w:pPr>
              <w:spacing w:after="30" w:before="30" w:line="230"/>
            </w:pPr>
            <w:r>
              <w:rPr>
                <w:b/>
                <w:bCs/>
                <w:color w:val="000000"/>
                <w:sz w:val="17"/>
                <w:szCs w:val="17"/>
              </w:rPr>
              <w:t xml:space="preserve">ICH E2B(R3) ICSR Implementation Guide — Data Elements and Message Specification</w:t>
            </w:r>
          </w:p>
        </w:tc>
        <w:tc>
          <w:tcPr>
            <w:tcW w:type="dxa" w:w="2900"/>
            <w:tcMar>
              <w:top w:type="dxa" w:w="50"/>
              <w:left w:type="dxa" w:w="90"/>
              <w:bottom w:type="dxa" w:w="50"/>
              <w:right w:type="dxa" w:w="90"/>
            </w:tcMar>
          </w:tcPr>
          <w:p>
            <w:pPr>
              <w:spacing w:after="30" w:before="30" w:line="230"/>
            </w:pPr>
            <w:r>
              <w:rPr>
                <w:b w:val="false"/>
                <w:bCs w:val="false"/>
                <w:color w:val="000000"/>
                <w:sz w:val="17"/>
                <w:szCs w:val="17"/>
              </w:rPr>
              <w:t xml:space="preserve">Authoritative element definitions, conformance, data types, OIDs, business rules</w:t>
            </w:r>
          </w:p>
        </w:tc>
        <w:tc>
          <w:tcPr>
            <w:tcW w:type="dxa" w:w="3120"/>
            <w:tcMar>
              <w:top w:type="dxa" w:w="50"/>
              <w:left w:type="dxa" w:w="90"/>
              <w:bottom w:type="dxa" w:w="50"/>
              <w:right w:type="dxa" w:w="90"/>
            </w:tcMar>
          </w:tcPr>
          <w:p>
            <w:pPr>
              <w:spacing w:after="30" w:before="30" w:line="230"/>
            </w:pPr>
            <w:r>
              <w:rPr>
                <w:b w:val="false"/>
                <w:bCs w:val="false"/>
                <w:color w:val="000000"/>
                <w:sz w:val="17"/>
                <w:szCs w:val="17"/>
              </w:rPr>
              <w:t xml:space="preserve">ICH website; also published by FDA as guidance (docket FDA-2011-D-0720)</w:t>
            </w:r>
          </w:p>
        </w:tc>
      </w:tr>
      <w:tr>
        <w:tc>
          <w:tcPr>
            <w:tcW w:type="dxa" w:w="3000"/>
            <w:shd w:fill="F2F4F8" w:color="auto" w:val="clear"/>
            <w:tcMar>
              <w:top w:type="dxa" w:w="50"/>
              <w:left w:type="dxa" w:w="90"/>
              <w:bottom w:type="dxa" w:w="50"/>
              <w:right w:type="dxa" w:w="90"/>
            </w:tcMar>
          </w:tcPr>
          <w:p>
            <w:pPr>
              <w:spacing w:after="30" w:before="30" w:line="230"/>
            </w:pPr>
            <w:r>
              <w:rPr>
                <w:b/>
                <w:bCs/>
                <w:color w:val="000000"/>
                <w:sz w:val="17"/>
                <w:szCs w:val="17"/>
              </w:rPr>
              <w:t xml:space="preserve">ICH ICSR XML schema set and reference instances</w:t>
            </w:r>
          </w:p>
        </w:tc>
        <w:tc>
          <w:tcPr>
            <w:tcW w:type="dxa" w:w="29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What the serializer is built and validated against</w:t>
            </w:r>
          </w:p>
        </w:tc>
        <w:tc>
          <w:tcPr>
            <w:tcW w:type="dxa" w:w="312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ICH implementation package, Appendix I(A), I(C), I(D)</w:t>
            </w:r>
          </w:p>
        </w:tc>
      </w:tr>
      <w:tr>
        <w:tc>
          <w:tcPr>
            <w:tcW w:type="dxa" w:w="3000"/>
            <w:tcMar>
              <w:top w:type="dxa" w:w="50"/>
              <w:left w:type="dxa" w:w="90"/>
              <w:bottom w:type="dxa" w:w="50"/>
              <w:right w:type="dxa" w:w="90"/>
            </w:tcMar>
          </w:tcPr>
          <w:p>
            <w:pPr>
              <w:spacing w:after="30" w:before="30" w:line="230"/>
            </w:pPr>
            <w:r>
              <w:rPr>
                <w:b/>
                <w:bCs/>
                <w:color w:val="000000"/>
                <w:sz w:val="17"/>
                <w:szCs w:val="17"/>
              </w:rPr>
              <w:t xml:space="preserve">Appendix I(F) — ICH E2B code lists</w:t>
            </w:r>
          </w:p>
        </w:tc>
        <w:tc>
          <w:tcPr>
            <w:tcW w:type="dxa" w:w="2900"/>
            <w:tcMar>
              <w:top w:type="dxa" w:w="50"/>
              <w:left w:type="dxa" w:w="90"/>
              <w:bottom w:type="dxa" w:w="50"/>
              <w:right w:type="dxa" w:w="90"/>
            </w:tcMar>
          </w:tcPr>
          <w:p>
            <w:pPr>
              <w:spacing w:after="30" w:before="30" w:line="230"/>
            </w:pPr>
            <w:r>
              <w:rPr>
                <w:b w:val="false"/>
                <w:bCs w:val="false"/>
                <w:color w:val="000000"/>
                <w:sz w:val="17"/>
                <w:szCs w:val="17"/>
              </w:rPr>
              <w:t xml:space="preserve">Current numeric values for every coded element</w:t>
            </w:r>
          </w:p>
        </w:tc>
        <w:tc>
          <w:tcPr>
            <w:tcW w:type="dxa" w:w="3120"/>
            <w:tcMar>
              <w:top w:type="dxa" w:w="50"/>
              <w:left w:type="dxa" w:w="90"/>
              <w:bottom w:type="dxa" w:w="50"/>
              <w:right w:type="dxa" w:w="90"/>
            </w:tcMar>
          </w:tcPr>
          <w:p>
            <w:pPr>
              <w:spacing w:after="30" w:before="30" w:line="230"/>
            </w:pPr>
            <w:r>
              <w:rPr>
                <w:b w:val="false"/>
                <w:bCs w:val="false"/>
                <w:color w:val="000000"/>
                <w:sz w:val="17"/>
                <w:szCs w:val="17"/>
              </w:rPr>
              <w:t xml:space="preserve">ICH implementation package</w:t>
            </w:r>
          </w:p>
        </w:tc>
      </w:tr>
      <w:tr>
        <w:tc>
          <w:tcPr>
            <w:tcW w:type="dxa" w:w="3000"/>
            <w:shd w:fill="F2F4F8" w:color="auto" w:val="clear"/>
            <w:tcMar>
              <w:top w:type="dxa" w:w="50"/>
              <w:left w:type="dxa" w:w="90"/>
              <w:bottom w:type="dxa" w:w="50"/>
              <w:right w:type="dxa" w:w="90"/>
            </w:tcMar>
          </w:tcPr>
          <w:p>
            <w:pPr>
              <w:spacing w:after="30" w:before="30" w:line="230"/>
            </w:pPr>
            <w:r>
              <w:rPr>
                <w:b/>
                <w:bCs/>
                <w:color w:val="000000"/>
                <w:sz w:val="17"/>
                <w:szCs w:val="17"/>
              </w:rPr>
              <w:t xml:space="preserve">ICH E2B(R3) Questions &amp; Answers</w:t>
            </w:r>
          </w:p>
        </w:tc>
        <w:tc>
          <w:tcPr>
            <w:tcW w:type="dxa" w:w="29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Resolves ambiguities in the IG, including nullFlavor use</w:t>
            </w:r>
          </w:p>
        </w:tc>
        <w:tc>
          <w:tcPr>
            <w:tcW w:type="dxa" w:w="312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database.ich.org</w:t>
            </w:r>
          </w:p>
        </w:tc>
      </w:tr>
      <w:tr>
        <w:tc>
          <w:tcPr>
            <w:tcW w:type="dxa" w:w="3000"/>
            <w:tcMar>
              <w:top w:type="dxa" w:w="50"/>
              <w:left w:type="dxa" w:w="90"/>
              <w:bottom w:type="dxa" w:w="50"/>
              <w:right w:type="dxa" w:w="90"/>
            </w:tcMar>
          </w:tcPr>
          <w:p>
            <w:pPr>
              <w:spacing w:after="30" w:before="30" w:line="230"/>
            </w:pPr>
            <w:r>
              <w:rPr>
                <w:b/>
                <w:bCs/>
                <w:color w:val="000000"/>
                <w:sz w:val="17"/>
                <w:szCs w:val="17"/>
              </w:rPr>
              <w:t xml:space="preserve">UMC — VigiFlow: Importing E2B XML files</w:t>
            </w:r>
          </w:p>
        </w:tc>
        <w:tc>
          <w:tcPr>
            <w:tcW w:type="dxa" w:w="2900"/>
            <w:tcMar>
              <w:top w:type="dxa" w:w="50"/>
              <w:left w:type="dxa" w:w="90"/>
              <w:bottom w:type="dxa" w:w="50"/>
              <w:right w:type="dxa" w:w="90"/>
            </w:tcMar>
          </w:tcPr>
          <w:p>
            <w:pPr>
              <w:spacing w:after="30" w:before="30" w:line="230"/>
            </w:pPr>
            <w:r>
              <w:rPr>
                <w:b w:val="false"/>
                <w:bCs w:val="false"/>
                <w:color w:val="000000"/>
                <w:sz w:val="17"/>
                <w:szCs w:val="17"/>
              </w:rPr>
              <w:t xml:space="preserve">100-ICSR recommendation, validated-import content requirements, follow-up matching, acklog</w:t>
            </w:r>
          </w:p>
        </w:tc>
        <w:tc>
          <w:tcPr>
            <w:tcW w:type="dxa" w:w="3120"/>
            <w:tcMar>
              <w:top w:type="dxa" w:w="50"/>
              <w:left w:type="dxa" w:w="90"/>
              <w:bottom w:type="dxa" w:w="50"/>
              <w:right w:type="dxa" w:w="90"/>
            </w:tcMar>
          </w:tcPr>
          <w:p>
            <w:pPr>
              <w:spacing w:after="30" w:before="30" w:line="230"/>
            </w:pPr>
            <w:r>
              <w:rPr>
                <w:b w:val="false"/>
                <w:bCs w:val="false"/>
                <w:color w:val="000000"/>
                <w:sz w:val="17"/>
                <w:szCs w:val="17"/>
              </w:rPr>
              <w:t xml:space="preserve">who-umc.org/media/165671/41-importing-e2b-xml-files.pdf</w:t>
            </w:r>
          </w:p>
        </w:tc>
      </w:tr>
      <w:tr>
        <w:tc>
          <w:tcPr>
            <w:tcW w:type="dxa" w:w="3000"/>
            <w:shd w:fill="F2F4F8" w:color="auto" w:val="clear"/>
            <w:tcMar>
              <w:top w:type="dxa" w:w="50"/>
              <w:left w:type="dxa" w:w="90"/>
              <w:bottom w:type="dxa" w:w="50"/>
              <w:right w:type="dxa" w:w="90"/>
            </w:tcMar>
          </w:tcPr>
          <w:p>
            <w:pPr>
              <w:spacing w:after="30" w:before="30" w:line="230"/>
            </w:pPr>
            <w:r>
              <w:rPr>
                <w:b/>
                <w:bCs/>
                <w:color w:val="000000"/>
                <w:sz w:val="17"/>
                <w:szCs w:val="17"/>
              </w:rPr>
              <w:t xml:space="preserve">UMC — Quick guide to VigiFlow Industry eReporting</w:t>
            </w:r>
          </w:p>
        </w:tc>
        <w:tc>
          <w:tcPr>
            <w:tcW w:type="dxa" w:w="290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WHODrug extension guidance and acklog codes</w:t>
            </w:r>
          </w:p>
        </w:tc>
        <w:tc>
          <w:tcPr>
            <w:tcW w:type="dxa" w:w="3120"/>
            <w:shd w:fill="F2F4F8" w:color="auto" w:val="clear"/>
            <w:tcMar>
              <w:top w:type="dxa" w:w="50"/>
              <w:left w:type="dxa" w:w="90"/>
              <w:bottom w:type="dxa" w:w="50"/>
              <w:right w:type="dxa" w:w="90"/>
            </w:tcMar>
          </w:tcPr>
          <w:p>
            <w:pPr>
              <w:spacing w:after="30" w:before="30" w:line="230"/>
            </w:pPr>
            <w:r>
              <w:rPr>
                <w:b w:val="false"/>
                <w:bCs w:val="false"/>
                <w:color w:val="000000"/>
                <w:sz w:val="17"/>
                <w:szCs w:val="17"/>
              </w:rPr>
              <w:t xml:space="preserve">who-umc.org/media/ufglin4w/quick-guide-to-vigiflow-industry-ereporting-1-0.pdf</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504" w:hanging="3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2026-09-09T15:12:21.817Z</dcterms:created>
  <dcterms:modified xsi:type="dcterms:W3CDTF">2026-09-09T15:12:21.832Z</dcterms:modified>
</cp:coreProperties>
</file>

<file path=docProps/custom.xml><?xml version="1.0" encoding="utf-8"?>
<Properties xmlns="http://schemas.openxmlformats.org/officeDocument/2006/custom-properties" xmlns:vt="http://schemas.openxmlformats.org/officeDocument/2006/docPropsVTypes"/>
</file>