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720"/>
        <w:jc w:val="center"/>
      </w:pPr>
      <w:r>
        <w:rPr>
          <w:rFonts w:ascii="Calibri" w:hAnsi="Calibri"/>
          <w:b/>
          <w:color w:val="1B365D"/>
          <w:sz w:val="48"/>
        </w:rPr>
        <w:t>MEDNOVA LIFESCIENCES</w:t>
        <w:br/>
        <w:t>TECHNICAL HAND-OFF &amp; INTEGRATION BLUEPRINT</w:t>
      </w:r>
    </w:p>
    <w:p>
      <w:pPr>
        <w:spacing w:after="480"/>
        <w:jc w:val="center"/>
      </w:pPr>
      <w:r>
        <w:rPr>
          <w:color w:val="4A779D"/>
          <w:sz w:val="28"/>
        </w:rPr>
        <w:t>Integrating Five Core Assets with the SafetyCore Case Management System</w:t>
      </w:r>
    </w:p>
    <w:p>
      <w:pPr>
        <w:spacing w:after="720"/>
        <w:jc w:val="center"/>
      </w:pPr>
      <w:r>
        <w:rPr>
          <w:b/>
        </w:rPr>
        <w:t xml:space="preserve">Target System: </w:t>
      </w:r>
      <w:r>
        <w:t>SafetyCore Case Management Dashboard (https://safecore-supaflow.lovable.app/cases)</w:t>
        <w:br/>
      </w:r>
      <w:r>
        <w:rPr>
          <w:b/>
        </w:rPr>
        <w:t xml:space="preserve">Compliance Framework: </w:t>
      </w:r>
      <w:r>
        <w:t>NAFDAC WHO Maturity Level 3 GVP &amp; 21 CFR Part 11</w:t>
        <w:br/>
      </w:r>
      <w:r>
        <w:rPr>
          <w:b/>
        </w:rPr>
        <w:t xml:space="preserve">Version: </w:t>
      </w:r>
      <w:r>
        <w:t>1.0 (Enterprise Deployment Ready)</w:t>
        <w:br/>
      </w:r>
      <w:r>
        <w:rPr>
          <w:b/>
        </w:rPr>
        <w:t xml:space="preserve">Date: </w:t>
      </w:r>
      <w:r>
        <w:t>August 25, 2026</w:t>
      </w:r>
    </w:p>
    <w:p>
      <w:r>
        <w:br w:type="page"/>
      </w:r>
    </w:p>
    <w:p>
      <w:pPr>
        <w:pStyle w:val="Heading1"/>
        <w:spacing w:before="240" w:after="120"/>
      </w:pPr>
      <w:r>
        <w:rPr>
          <w:b/>
          <w:color w:val="1B365D"/>
        </w:rPr>
        <w:t>1. SYSTEM ARCHITECTURE &amp; REGULATORY CONTEXT</w:t>
      </w:r>
    </w:p>
    <w:p>
      <w:r>
        <w:t>MedNova Lifesciences is transitioning from a traditional pharmacovigilance (PV) and regulatory affairs consultancy into a tech-enabled Software-with-a-Service (SwaS) market leader across West Africa. The primary regulatory catalyst driving this change is the achievement of WHO Maturity Level 3 (ML3) by Nigeria's National Agency for Food and Drug Administration and Control (NAFDAC) in March 2022. This milestone represents an internationally recognized, highly functioning regulatory framework that enforces strict Good Pharmacovigilance Practices (GVP) and mandates that every pharmaceutical Marketing Authorization Holder (MAH) must maintain a resident, permanently available Qualified Person for Pharmacovigilance (QPPV) in Nigeria.</w:t>
      </w:r>
    </w:p>
    <w:p>
      <w:r>
        <w:t>Under NAFDAC guidelines, foreign pharmaceutical companies face significant 'regulatory friction' because they cannot legally market drugs in Nigeria without dedicated local representation and continuous safety surveillance. Traditional consultancies rely entirely on slow, manual consulting models. Newer digital platforms (such as competitor Infinity Health Africa's 'Onboard' platform) focus primarily on registration automation, leaving a critical gap in the high-value clinical execution of PV—including medical signal evaluations, physical audit hosting, additional Risk Minimization Measures (aRMM) distribution, and continuous local literature surveillance. MedNova's mission is to bridge this gap with SafetyCore, our live case management app, supported by automated background tools.</w:t>
      </w:r>
    </w:p>
    <w:p>
      <w:pPr>
        <w:pStyle w:val="Heading2"/>
        <w:spacing w:before="240" w:after="80"/>
      </w:pPr>
      <w:r>
        <w:rPr>
          <w:b/>
          <w:color w:val="4A779D"/>
        </w:rPr>
        <w:t>1.1 The Five-Asset Integrated Architecture</w:t>
      </w:r>
    </w:p>
    <w:p>
      <w:r>
        <w:t>This hand-off blueprint organizes five distinct digital assets into a single, unified pipeline. The following table details how each asset functions, its physical code/file location, and its exact role within the SafetyCore case management ecosystem:</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val="clear"/>
            <w:tcMar>
              <w:top w:w="120" w:type="dxa"/>
              <w:bottom w:w="120" w:type="dxa"/>
              <w:left w:w="150" w:type="dxa"/>
              <w:right w:w="150" w:type="dxa"/>
            </w:tcMar>
          </w:tcPr>
          <w:p>
            <w:pPr>
              <w:jc w:val="left"/>
            </w:pPr>
            <w:r>
              <w:rPr>
                <w:b/>
                <w:color w:val="FFFFFF"/>
              </w:rPr>
              <w:t>Digital Asset Name</w:t>
            </w:r>
          </w:p>
        </w:tc>
        <w:tc>
          <w:tcPr>
            <w:tcW w:type="dxa" w:w="2160"/>
            <w:shd w:fill="1B365D" w:val="clear"/>
            <w:tcMar>
              <w:top w:w="120" w:type="dxa"/>
              <w:bottom w:w="120" w:type="dxa"/>
              <w:left w:w="150" w:type="dxa"/>
              <w:right w:w="150" w:type="dxa"/>
            </w:tcMar>
          </w:tcPr>
          <w:p>
            <w:pPr>
              <w:jc w:val="left"/>
            </w:pPr>
            <w:r>
              <w:rPr>
                <w:b/>
                <w:color w:val="FFFFFF"/>
              </w:rPr>
              <w:t>Primary File/Type</w:t>
            </w:r>
          </w:p>
        </w:tc>
        <w:tc>
          <w:tcPr>
            <w:tcW w:type="dxa" w:w="4608"/>
            <w:shd w:fill="1B365D" w:val="clear"/>
            <w:tcMar>
              <w:top w:w="120" w:type="dxa"/>
              <w:bottom w:w="120" w:type="dxa"/>
              <w:left w:w="150" w:type="dxa"/>
              <w:right w:w="150" w:type="dxa"/>
            </w:tcMar>
          </w:tcPr>
          <w:p>
            <w:pPr>
              <w:jc w:val="left"/>
            </w:pPr>
            <w:r>
              <w:rPr>
                <w:b/>
                <w:color w:val="FFFFFF"/>
              </w:rPr>
              <w:t>Ecosystem Role &amp; Integration Value</w:t>
            </w:r>
          </w:p>
        </w:tc>
      </w:tr>
      <w:tr>
        <w:tc>
          <w:tcPr>
            <w:tcW w:type="dxa" w:w="2592"/>
            <w:vAlign w:val="center"/>
            <w:tcMar>
              <w:top w:w="100" w:type="dxa"/>
              <w:bottom w:w="100" w:type="dxa"/>
              <w:left w:w="150" w:type="dxa"/>
              <w:right w:w="150" w:type="dxa"/>
            </w:tcMar>
            <w:shd w:fill="F2F5F8" w:val="clear"/>
          </w:tcPr>
          <w:p>
            <w:pPr>
              <w:spacing w:after="40" w:line="276" w:lineRule="auto"/>
            </w:pPr>
            <w:r>
              <w:t>NAFDAC Readiness Assessment App</w:t>
            </w:r>
          </w:p>
        </w:tc>
        <w:tc>
          <w:tcPr>
            <w:tcW w:type="dxa" w:w="2160"/>
            <w:vAlign w:val="center"/>
            <w:tcMar>
              <w:top w:w="100" w:type="dxa"/>
              <w:bottom w:w="100" w:type="dxa"/>
              <w:left w:w="150" w:type="dxa"/>
              <w:right w:w="150" w:type="dxa"/>
            </w:tcMar>
            <w:shd w:fill="F2F5F8" w:val="clear"/>
          </w:tcPr>
          <w:p>
            <w:pPr>
              <w:spacing w:after="40" w:line="276" w:lineRule="auto"/>
            </w:pPr>
            <w:r>
              <w:t>mednova_readiness_assessment.py</w:t>
              <w:br/>
              <w:t>(Streamlit App)</w:t>
            </w:r>
          </w:p>
        </w:tc>
        <w:tc>
          <w:tcPr>
            <w:tcW w:type="dxa" w:w="4608"/>
            <w:vAlign w:val="center"/>
            <w:tcMar>
              <w:top w:w="100" w:type="dxa"/>
              <w:bottom w:w="100" w:type="dxa"/>
              <w:left w:w="150" w:type="dxa"/>
              <w:right w:w="150" w:type="dxa"/>
            </w:tcMar>
            <w:shd w:fill="F2F5F8" w:val="clear"/>
          </w:tcPr>
          <w:p>
            <w:pPr>
              <w:spacing w:after="40" w:line="276" w:lineRule="auto"/>
            </w:pPr>
            <w:r>
              <w:t>Web-based B2B lead magnet. Captures prospects, calculates regulatory risk scores, and routes qualified leads directly into the SafetyCore trial queue.</w:t>
            </w:r>
          </w:p>
        </w:tc>
      </w:tr>
      <w:tr>
        <w:tc>
          <w:tcPr>
            <w:tcW w:type="dxa" w:w="2592"/>
            <w:vAlign w:val="center"/>
            <w:tcMar>
              <w:top w:w="100" w:type="dxa"/>
              <w:bottom w:w="100" w:type="dxa"/>
              <w:left w:w="150" w:type="dxa"/>
              <w:right w:w="150" w:type="dxa"/>
            </w:tcMar>
            <w:shd w:fill="FFFFFF" w:val="clear"/>
          </w:tcPr>
          <w:p>
            <w:pPr>
              <w:spacing w:after="40" w:line="276" w:lineRule="auto"/>
            </w:pPr>
            <w:r>
              <w:t>Automated Local Literature Screener</w:t>
            </w:r>
          </w:p>
        </w:tc>
        <w:tc>
          <w:tcPr>
            <w:tcW w:type="dxa" w:w="2160"/>
            <w:vAlign w:val="center"/>
            <w:tcMar>
              <w:top w:w="100" w:type="dxa"/>
              <w:bottom w:w="100" w:type="dxa"/>
              <w:left w:w="150" w:type="dxa"/>
              <w:right w:w="150" w:type="dxa"/>
            </w:tcMar>
            <w:shd w:fill="FFFFFF" w:val="clear"/>
          </w:tcPr>
          <w:p>
            <w:pPr>
              <w:spacing w:after="40" w:line="276" w:lineRule="auto"/>
            </w:pPr>
            <w:r>
              <w:t>mednova_literature_screener.py</w:t>
              <w:br/>
              <w:t>(Python Script)</w:t>
            </w:r>
          </w:p>
        </w:tc>
        <w:tc>
          <w:tcPr>
            <w:tcW w:type="dxa" w:w="4608"/>
            <w:vAlign w:val="center"/>
            <w:tcMar>
              <w:top w:w="100" w:type="dxa"/>
              <w:bottom w:w="100" w:type="dxa"/>
              <w:left w:w="150" w:type="dxa"/>
              <w:right w:w="150" w:type="dxa"/>
            </w:tcMar>
            <w:shd w:fill="FFFFFF" w:val="clear"/>
          </w:tcPr>
          <w:p>
            <w:pPr>
              <w:spacing w:after="40" w:line="276" w:lineRule="auto"/>
            </w:pPr>
            <w:r>
              <w:t>Automates weekly searches of non-indexed West African medical journals. Parses text, flags ADRs, and writes signals directly into the database.</w:t>
            </w:r>
          </w:p>
        </w:tc>
      </w:tr>
      <w:tr>
        <w:tc>
          <w:tcPr>
            <w:tcW w:type="dxa" w:w="2592"/>
            <w:vAlign w:val="center"/>
            <w:tcMar>
              <w:top w:w="100" w:type="dxa"/>
              <w:bottom w:w="100" w:type="dxa"/>
              <w:left w:w="150" w:type="dxa"/>
              <w:right w:w="150" w:type="dxa"/>
            </w:tcMar>
            <w:shd w:fill="F2F5F8" w:val="clear"/>
          </w:tcPr>
          <w:p>
            <w:pPr>
              <w:spacing w:after="40" w:line="276" w:lineRule="auto"/>
            </w:pPr>
            <w:r>
              <w:t>Standardized Safety Signals Database</w:t>
            </w:r>
          </w:p>
        </w:tc>
        <w:tc>
          <w:tcPr>
            <w:tcW w:type="dxa" w:w="2160"/>
            <w:vAlign w:val="center"/>
            <w:tcMar>
              <w:top w:w="100" w:type="dxa"/>
              <w:bottom w:w="100" w:type="dxa"/>
              <w:left w:w="150" w:type="dxa"/>
              <w:right w:w="150" w:type="dxa"/>
            </w:tcMar>
            <w:shd w:fill="F2F5F8" w:val="clear"/>
          </w:tcPr>
          <w:p>
            <w:pPr>
              <w:spacing w:after="40" w:line="276" w:lineRule="auto"/>
            </w:pPr>
            <w:r>
              <w:t>mednova_literature_safety_signals.csv</w:t>
              <w:br/>
              <w:t>(CSV Dataset)</w:t>
            </w:r>
          </w:p>
        </w:tc>
        <w:tc>
          <w:tcPr>
            <w:tcW w:type="dxa" w:w="4608"/>
            <w:vAlign w:val="center"/>
            <w:tcMar>
              <w:top w:w="100" w:type="dxa"/>
              <w:bottom w:w="100" w:type="dxa"/>
              <w:left w:w="150" w:type="dxa"/>
              <w:right w:w="150" w:type="dxa"/>
            </w:tcMar>
            <w:shd w:fill="F2F5F8" w:val="clear"/>
          </w:tcPr>
          <w:p>
            <w:pPr>
              <w:spacing w:after="40" w:line="276" w:lineRule="auto"/>
            </w:pPr>
            <w:r>
              <w:t>Standardizes the data transfer schema between the automated background screener and the SafetyCore cases relational database.</w:t>
            </w:r>
          </w:p>
        </w:tc>
      </w:tr>
      <w:tr>
        <w:tc>
          <w:tcPr>
            <w:tcW w:type="dxa" w:w="2592"/>
            <w:vAlign w:val="center"/>
            <w:tcMar>
              <w:top w:w="100" w:type="dxa"/>
              <w:bottom w:w="100" w:type="dxa"/>
              <w:left w:w="150" w:type="dxa"/>
              <w:right w:w="150" w:type="dxa"/>
            </w:tcMar>
            <w:shd w:fill="FFFFFF" w:val="clear"/>
          </w:tcPr>
          <w:p>
            <w:pPr>
              <w:spacing w:after="40" w:line="276" w:lineRule="auto"/>
            </w:pPr>
            <w:r>
              <w:t>PV Academy Syllabus &amp; Business Plan</w:t>
            </w:r>
          </w:p>
        </w:tc>
        <w:tc>
          <w:tcPr>
            <w:tcW w:type="dxa" w:w="2160"/>
            <w:vAlign w:val="center"/>
            <w:tcMar>
              <w:top w:w="100" w:type="dxa"/>
              <w:bottom w:w="100" w:type="dxa"/>
              <w:left w:w="150" w:type="dxa"/>
              <w:right w:w="150" w:type="dxa"/>
            </w:tcMar>
            <w:shd w:fill="FFFFFF" w:val="clear"/>
          </w:tcPr>
          <w:p>
            <w:pPr>
              <w:spacing w:after="40" w:line="276" w:lineRule="auto"/>
            </w:pPr>
            <w:r>
              <w:t>mednova_pv_academy_grant_proposal.md</w:t>
              <w:br/>
              <w:t>(Syllabus/Proposal)</w:t>
            </w:r>
          </w:p>
        </w:tc>
        <w:tc>
          <w:tcPr>
            <w:tcW w:type="dxa" w:w="4608"/>
            <w:vAlign w:val="center"/>
            <w:tcMar>
              <w:top w:w="100" w:type="dxa"/>
              <w:bottom w:w="100" w:type="dxa"/>
              <w:left w:w="150" w:type="dxa"/>
              <w:right w:w="150" w:type="dxa"/>
            </w:tcMar>
            <w:shd w:fill="FFFFFF" w:val="clear"/>
          </w:tcPr>
          <w:p>
            <w:pPr>
              <w:spacing w:after="40" w:line="276" w:lineRule="auto"/>
            </w:pPr>
            <w:r>
              <w:t>Strategic PRD to secure the $250K i3 (Investing in Innovation) grant and Developpp funds. Resolves the local talent deficit via structured certifications.</w:t>
            </w:r>
          </w:p>
        </w:tc>
      </w:tr>
      <w:tr>
        <w:tc>
          <w:tcPr>
            <w:tcW w:type="dxa" w:w="2592"/>
            <w:vAlign w:val="center"/>
            <w:tcMar>
              <w:top w:w="100" w:type="dxa"/>
              <w:bottom w:w="100" w:type="dxa"/>
              <w:left w:w="150" w:type="dxa"/>
              <w:right w:w="150" w:type="dxa"/>
            </w:tcMar>
            <w:shd w:fill="F2F5F8" w:val="clear"/>
          </w:tcPr>
          <w:p>
            <w:pPr>
              <w:spacing w:after="40" w:line="276" w:lineRule="auto"/>
            </w:pPr>
            <w:r>
              <w:t>Investor Pitch Deck</w:t>
            </w:r>
          </w:p>
        </w:tc>
        <w:tc>
          <w:tcPr>
            <w:tcW w:type="dxa" w:w="2160"/>
            <w:vAlign w:val="center"/>
            <w:tcMar>
              <w:top w:w="100" w:type="dxa"/>
              <w:bottom w:w="100" w:type="dxa"/>
              <w:left w:w="150" w:type="dxa"/>
              <w:right w:w="150" w:type="dxa"/>
            </w:tcMar>
            <w:shd w:fill="F2F5F8" w:val="clear"/>
          </w:tcPr>
          <w:p>
            <w:pPr>
              <w:spacing w:after="40" w:line="276" w:lineRule="auto"/>
            </w:pPr>
            <w:r>
              <w:t>Pitch Deck Slides</w:t>
              <w:br/>
              <w:t>(Studio Panel / PDF)</w:t>
            </w:r>
          </w:p>
        </w:tc>
        <w:tc>
          <w:tcPr>
            <w:tcW w:type="dxa" w:w="4608"/>
            <w:vAlign w:val="center"/>
            <w:tcMar>
              <w:top w:w="100" w:type="dxa"/>
              <w:bottom w:w="100" w:type="dxa"/>
              <w:left w:w="150" w:type="dxa"/>
              <w:right w:w="150" w:type="dxa"/>
            </w:tcMar>
            <w:shd w:fill="F2F5F8" w:val="clear"/>
          </w:tcPr>
          <w:p>
            <w:pPr>
              <w:spacing w:after="40" w:line="276" w:lineRule="auto"/>
            </w:pPr>
            <w:r>
              <w:t>Strategic tool for raising seed capital ($100K to $1M+) from Lagos VCs (HealthCap Africa, Ventures Platform, AAIC) by showcasing a functional SwaS model.</w:t>
            </w:r>
          </w:p>
        </w:tc>
      </w:tr>
    </w:tbl>
    <w:p>
      <w:pPr>
        <w:spacing w:before="240"/>
      </w:pPr>
    </w:p>
    <w:p>
      <w:pPr>
        <w:pStyle w:val="Heading1"/>
        <w:spacing w:before="360" w:after="120"/>
      </w:pPr>
      <w:r>
        <w:rPr>
          <w:b/>
          <w:color w:val="1B365D"/>
        </w:rPr>
        <w:t>2. ASSET-BY-ASSET DEPLOYMENT &amp; CONFIGURATION</w:t>
      </w:r>
    </w:p>
    <w:p>
      <w:pPr>
        <w:pStyle w:val="Heading2"/>
        <w:spacing w:before="240" w:after="80"/>
      </w:pPr>
      <w:r>
        <w:rPr>
          <w:b/>
          <w:color w:val="4A779D"/>
        </w:rPr>
        <w:t>2.1 NAFDAC Readiness Assessment App (mednova_readiness_assessment.py)</w:t>
      </w:r>
    </w:p>
    <w:p>
      <w:r>
        <w:t>The web-based assessment application is built on top of Streamlit. It poses 10 critical regulatory questions derived directly from NAFDAC Good Pharmacovigilance Practice (GVP) checklists. Depending on the answers, the app calculates a custom readiness score and flags specific compliance gaps.</w:t>
      </w:r>
    </w:p>
    <w:p>
      <w:pPr>
        <w:spacing w:after="40"/>
      </w:pPr>
      <w:r>
        <w:rPr>
          <w:b/>
        </w:rPr>
        <w:t>Deployment Steps:</w:t>
      </w:r>
    </w:p>
    <w:p>
      <w:pPr>
        <w:pStyle w:val="ListBullet"/>
      </w:pPr>
      <w:r>
        <w:t>Dependencies: Ensure 'streamlit' and 'pandas' are installed in the deployment environment.</w:t>
      </w:r>
    </w:p>
    <w:p>
      <w:pPr>
        <w:pStyle w:val="ListBullet"/>
      </w:pPr>
      <w:r>
        <w:t>Local Testing: Run 'streamlit run mednova_readiness_assessment.py' to launch the local web server.</w:t>
      </w:r>
    </w:p>
    <w:p>
      <w:pPr>
        <w:pStyle w:val="ListBullet"/>
      </w:pPr>
      <w:r>
        <w:t>Production Hosting: Deploy to Streamlit Community Cloud or an AWS EC2 instance. Ensure the environmental secrets are configured.</w:t>
      </w:r>
    </w:p>
    <w:p>
      <w:pPr>
        <w:pStyle w:val="ListBullet"/>
      </w:pPr>
      <w:r>
        <w:t>Lead Capture Webhook: Locate the 'submit_lead_data()' helper function in the script. Integrate an HTTP POST request to stream captured lead details (prospect name, email, organization, risk score) directly into your Supabase 'leads' table or active marketing CRM.</w:t>
      </w:r>
    </w:p>
    <w:p>
      <w:pPr>
        <w:pStyle w:val="Heading2"/>
        <w:spacing w:before="240" w:after="80"/>
      </w:pPr>
      <w:r>
        <w:rPr>
          <w:b/>
          <w:color w:val="4A779D"/>
        </w:rPr>
        <w:t>2.2 Automated Local Literature Screener (mednova_literature_screener.py)</w:t>
      </w:r>
    </w:p>
    <w:p>
      <w:r>
        <w:t>NAFDAC GVP regulations mandate that QPPVs perform weekly screening of local medical and scientific literature. Because local journals are rarely indexed on global databases (like PubMed), global pharma companies struggle with this requirement. This background script automates local surveillance by parsing local RSS, medical journals, and health news (e.g., African Journal of Medicine, Lagos Health Watch). It matches targeted safety keywords (e.g., adverse event, rash, hepatotoxicity, counterfeit) and extracts local safety signals.</w:t>
      </w:r>
    </w:p>
    <w:p>
      <w:pPr>
        <w:spacing w:after="40"/>
      </w:pPr>
      <w:r>
        <w:rPr>
          <w:b/>
        </w:rPr>
        <w:t>Deployment &amp; Automation Steps:</w:t>
      </w:r>
    </w:p>
    <w:p>
      <w:pPr>
        <w:pStyle w:val="ListBullet"/>
      </w:pPr>
      <w:r>
        <w:t>Automation Timing: Configure a weekly Cron Job or a GitHub Action to execute 'python3 mednova_literature_screener.py' every Friday night.</w:t>
      </w:r>
    </w:p>
    <w:p>
      <w:pPr>
        <w:pStyle w:val="ListBullet"/>
      </w:pPr>
      <w:r>
        <w:t>Local Database Write: The script automatically generates an audit-ready local CSV file named 'mednova_literature_safety_signals.csv' inside the scratch/ directory.</w:t>
      </w:r>
    </w:p>
    <w:p>
      <w:pPr>
        <w:pStyle w:val="ListBullet"/>
      </w:pPr>
      <w:r>
        <w:t>API Integration Pipeline: To eliminate manual CSV uploads, configure the script's output handler to trigger a secure HTTPS POST request to your backend cases endpoint. This will stream newly flagged literature signals directly into the review queue of your SafetyCore web dashboard.</w:t>
      </w:r>
    </w:p>
    <w:p>
      <w:pPr>
        <w:pStyle w:val="Heading2"/>
        <w:spacing w:before="240" w:after="80"/>
      </w:pPr>
      <w:r>
        <w:rPr>
          <w:b/>
          <w:color w:val="4A779D"/>
        </w:rPr>
        <w:t>2.3 Standardized Schema (mednova_literature_safety_signals.csv)</w:t>
      </w:r>
    </w:p>
    <w:p>
      <w:r>
        <w:t>To ensure seamless communication between the Python background screener and the Postgres/Supabase database powering your SafetyCore frontend, developers must establish a database table that maps exactly to our standardized schema. The columns, data types, and roles are structured as follows: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val="clear"/>
            <w:tcMar>
              <w:top w:w="100" w:type="dxa"/>
              <w:bottom w:w="100" w:type="dxa"/>
              <w:left w:w="150" w:type="dxa"/>
              <w:right w:w="150" w:type="dxa"/>
            </w:tcMar>
          </w:tcPr>
          <w:p>
            <w:r>
              <w:rPr>
                <w:b/>
                <w:color w:val="FFFFFF"/>
              </w:rPr>
              <w:t>CSV Column Header</w:t>
            </w:r>
          </w:p>
        </w:tc>
        <w:tc>
          <w:tcPr>
            <w:tcW w:type="dxa" w:w="2160"/>
            <w:shd w:fill="1B365D" w:val="clear"/>
            <w:tcMar>
              <w:top w:w="100" w:type="dxa"/>
              <w:bottom w:w="100" w:type="dxa"/>
              <w:left w:w="150" w:type="dxa"/>
              <w:right w:w="150" w:type="dxa"/>
            </w:tcMar>
          </w:tcPr>
          <w:p>
            <w:r>
              <w:rPr>
                <w:b/>
                <w:color w:val="FFFFFF"/>
              </w:rPr>
              <w:t>Postgres Data Type</w:t>
            </w:r>
          </w:p>
        </w:tc>
        <w:tc>
          <w:tcPr>
            <w:tcW w:type="dxa" w:w="4608"/>
            <w:shd w:fill="1B365D" w:val="clear"/>
            <w:tcMar>
              <w:top w:w="100" w:type="dxa"/>
              <w:bottom w:w="100" w:type="dxa"/>
              <w:left w:w="150" w:type="dxa"/>
              <w:right w:w="150" w:type="dxa"/>
            </w:tcMar>
          </w:tcPr>
          <w:p>
            <w:r>
              <w:rPr>
                <w:b/>
                <w:color w:val="FFFFFF"/>
              </w:rPr>
              <w:t>Integration Description</w:t>
            </w:r>
          </w:p>
        </w:tc>
      </w:tr>
      <w:tr>
        <w:tc>
          <w:tcPr>
            <w:tcW w:type="dxa" w:w="2592"/>
            <w:vAlign w:val="center"/>
            <w:tcMar>
              <w:top w:w="80" w:type="dxa"/>
              <w:bottom w:w="80" w:type="dxa"/>
              <w:left w:w="150" w:type="dxa"/>
              <w:right w:w="150" w:type="dxa"/>
            </w:tcMar>
            <w:shd w:fill="F2F5F8" w:val="clear"/>
          </w:tcPr>
          <w:p>
            <w:pPr>
              <w:spacing w:after="40"/>
            </w:pPr>
            <w:r>
              <w:t>Signal ID</w:t>
            </w:r>
          </w:p>
        </w:tc>
        <w:tc>
          <w:tcPr>
            <w:tcW w:type="dxa" w:w="2160"/>
            <w:vAlign w:val="center"/>
            <w:tcMar>
              <w:top w:w="80" w:type="dxa"/>
              <w:bottom w:w="80" w:type="dxa"/>
              <w:left w:w="150" w:type="dxa"/>
              <w:right w:w="150" w:type="dxa"/>
            </w:tcMar>
            <w:shd w:fill="F2F5F8" w:val="clear"/>
          </w:tcPr>
          <w:p>
            <w:pPr>
              <w:spacing w:after="40"/>
            </w:pPr>
            <w:r>
              <w:t>UUID (Primary Key)</w:t>
            </w:r>
          </w:p>
        </w:tc>
        <w:tc>
          <w:tcPr>
            <w:tcW w:type="dxa" w:w="4608"/>
            <w:vAlign w:val="center"/>
            <w:tcMar>
              <w:top w:w="80" w:type="dxa"/>
              <w:bottom w:w="80" w:type="dxa"/>
              <w:left w:w="150" w:type="dxa"/>
              <w:right w:w="150" w:type="dxa"/>
            </w:tcMar>
            <w:shd w:fill="F2F5F8" w:val="clear"/>
          </w:tcPr>
          <w:p>
            <w:pPr>
              <w:spacing w:after="40"/>
            </w:pPr>
            <w:r>
              <w:t>Generated on ingest to uniquely track the flagged safety event.</w:t>
            </w:r>
          </w:p>
        </w:tc>
      </w:tr>
      <w:tr>
        <w:tc>
          <w:tcPr>
            <w:tcW w:type="dxa" w:w="2592"/>
            <w:vAlign w:val="center"/>
            <w:tcMar>
              <w:top w:w="80" w:type="dxa"/>
              <w:bottom w:w="80" w:type="dxa"/>
              <w:left w:w="150" w:type="dxa"/>
              <w:right w:w="150" w:type="dxa"/>
            </w:tcMar>
            <w:shd w:fill="FFFFFF" w:val="clear"/>
          </w:tcPr>
          <w:p>
            <w:pPr>
              <w:spacing w:after="40"/>
            </w:pPr>
            <w:r>
              <w:t>Publication</w:t>
            </w:r>
          </w:p>
        </w:tc>
        <w:tc>
          <w:tcPr>
            <w:tcW w:type="dxa" w:w="2160"/>
            <w:vAlign w:val="center"/>
            <w:tcMar>
              <w:top w:w="80" w:type="dxa"/>
              <w:bottom w:w="80" w:type="dxa"/>
              <w:left w:w="150" w:type="dxa"/>
              <w:right w:w="150" w:type="dxa"/>
            </w:tcMar>
            <w:shd w:fill="FFFFFF" w:val="clear"/>
          </w:tcPr>
          <w:p>
            <w:pPr>
              <w:spacing w:after="40"/>
            </w:pPr>
            <w:r>
              <w:t>VARCHAR(255)</w:t>
            </w:r>
          </w:p>
        </w:tc>
        <w:tc>
          <w:tcPr>
            <w:tcW w:type="dxa" w:w="4608"/>
            <w:vAlign w:val="center"/>
            <w:tcMar>
              <w:top w:w="80" w:type="dxa"/>
              <w:bottom w:w="80" w:type="dxa"/>
              <w:left w:w="150" w:type="dxa"/>
              <w:right w:w="150" w:type="dxa"/>
            </w:tcMar>
            <w:shd w:fill="FFFFFF" w:val="clear"/>
          </w:tcPr>
          <w:p>
            <w:pPr>
              <w:spacing w:after="40"/>
            </w:pPr>
            <w:r>
              <w:t>The medical journal or news source (e.g., Nigerian Medical Journal).</w:t>
            </w:r>
          </w:p>
        </w:tc>
      </w:tr>
      <w:tr>
        <w:tc>
          <w:tcPr>
            <w:tcW w:type="dxa" w:w="2592"/>
            <w:vAlign w:val="center"/>
            <w:tcMar>
              <w:top w:w="80" w:type="dxa"/>
              <w:bottom w:w="80" w:type="dxa"/>
              <w:left w:w="150" w:type="dxa"/>
              <w:right w:w="150" w:type="dxa"/>
            </w:tcMar>
            <w:shd w:fill="F2F5F8" w:val="clear"/>
          </w:tcPr>
          <w:p>
            <w:pPr>
              <w:spacing w:after="40"/>
            </w:pPr>
            <w:r>
              <w:t>Headline</w:t>
            </w:r>
          </w:p>
        </w:tc>
        <w:tc>
          <w:tcPr>
            <w:tcW w:type="dxa" w:w="2160"/>
            <w:vAlign w:val="center"/>
            <w:tcMar>
              <w:top w:w="80" w:type="dxa"/>
              <w:bottom w:w="80" w:type="dxa"/>
              <w:left w:w="150" w:type="dxa"/>
              <w:right w:w="150" w:type="dxa"/>
            </w:tcMar>
            <w:shd w:fill="F2F5F8" w:val="clear"/>
          </w:tcPr>
          <w:p>
            <w:pPr>
              <w:spacing w:after="40"/>
            </w:pPr>
            <w:r>
              <w:t>TEXT</w:t>
            </w:r>
          </w:p>
        </w:tc>
        <w:tc>
          <w:tcPr>
            <w:tcW w:type="dxa" w:w="4608"/>
            <w:vAlign w:val="center"/>
            <w:tcMar>
              <w:top w:w="80" w:type="dxa"/>
              <w:bottom w:w="80" w:type="dxa"/>
              <w:left w:w="150" w:type="dxa"/>
              <w:right w:w="150" w:type="dxa"/>
            </w:tcMar>
            <w:shd w:fill="F2F5F8" w:val="clear"/>
          </w:tcPr>
          <w:p>
            <w:pPr>
              <w:spacing w:after="40"/>
            </w:pPr>
            <w:r>
              <w:t>The title of the publication or news article containing the safety signal.</w:t>
            </w:r>
          </w:p>
        </w:tc>
      </w:tr>
      <w:tr>
        <w:tc>
          <w:tcPr>
            <w:tcW w:type="dxa" w:w="2592"/>
            <w:vAlign w:val="center"/>
            <w:tcMar>
              <w:top w:w="80" w:type="dxa"/>
              <w:bottom w:w="80" w:type="dxa"/>
              <w:left w:w="150" w:type="dxa"/>
              <w:right w:w="150" w:type="dxa"/>
            </w:tcMar>
            <w:shd w:fill="FFFFFF" w:val="clear"/>
          </w:tcPr>
          <w:p>
            <w:pPr>
              <w:spacing w:after="40"/>
            </w:pPr>
            <w:r>
              <w:t>Risk Level</w:t>
            </w:r>
          </w:p>
        </w:tc>
        <w:tc>
          <w:tcPr>
            <w:tcW w:type="dxa" w:w="2160"/>
            <w:vAlign w:val="center"/>
            <w:tcMar>
              <w:top w:w="80" w:type="dxa"/>
              <w:bottom w:w="80" w:type="dxa"/>
              <w:left w:w="150" w:type="dxa"/>
              <w:right w:w="150" w:type="dxa"/>
            </w:tcMar>
            <w:shd w:fill="FFFFFF" w:val="clear"/>
          </w:tcPr>
          <w:p>
            <w:pPr>
              <w:spacing w:after="40"/>
            </w:pPr>
            <w:r>
              <w:t>VARCHAR(50)</w:t>
            </w:r>
          </w:p>
        </w:tc>
        <w:tc>
          <w:tcPr>
            <w:tcW w:type="dxa" w:w="4608"/>
            <w:vAlign w:val="center"/>
            <w:tcMar>
              <w:top w:w="80" w:type="dxa"/>
              <w:bottom w:w="80" w:type="dxa"/>
              <w:left w:w="150" w:type="dxa"/>
              <w:right w:w="150" w:type="dxa"/>
            </w:tcMar>
            <w:shd w:fill="FFFFFF" w:val="clear"/>
          </w:tcPr>
          <w:p>
            <w:pPr>
              <w:spacing w:after="40"/>
            </w:pPr>
            <w:r>
              <w:t>The automatically assigned risk category: HIGH, MODERATE, or LOW.</w:t>
            </w:r>
          </w:p>
        </w:tc>
      </w:tr>
      <w:tr>
        <w:tc>
          <w:tcPr>
            <w:tcW w:type="dxa" w:w="2592"/>
            <w:vAlign w:val="center"/>
            <w:tcMar>
              <w:top w:w="80" w:type="dxa"/>
              <w:bottom w:w="80" w:type="dxa"/>
              <w:left w:w="150" w:type="dxa"/>
              <w:right w:w="150" w:type="dxa"/>
            </w:tcMar>
            <w:shd w:fill="F2F5F8" w:val="clear"/>
          </w:tcPr>
          <w:p>
            <w:pPr>
              <w:spacing w:after="40"/>
            </w:pPr>
            <w:r>
              <w:t>Keywords Detected</w:t>
            </w:r>
          </w:p>
        </w:tc>
        <w:tc>
          <w:tcPr>
            <w:tcW w:type="dxa" w:w="2160"/>
            <w:vAlign w:val="center"/>
            <w:tcMar>
              <w:top w:w="80" w:type="dxa"/>
              <w:bottom w:w="80" w:type="dxa"/>
              <w:left w:w="150" w:type="dxa"/>
              <w:right w:w="150" w:type="dxa"/>
            </w:tcMar>
            <w:shd w:fill="F2F5F8" w:val="clear"/>
          </w:tcPr>
          <w:p>
            <w:pPr>
              <w:spacing w:after="40"/>
            </w:pPr>
            <w:r>
              <w:t>TEXT[] (Array)</w:t>
            </w:r>
          </w:p>
        </w:tc>
        <w:tc>
          <w:tcPr>
            <w:tcW w:type="dxa" w:w="4608"/>
            <w:vAlign w:val="center"/>
            <w:tcMar>
              <w:top w:w="80" w:type="dxa"/>
              <w:bottom w:w="80" w:type="dxa"/>
              <w:left w:w="150" w:type="dxa"/>
              <w:right w:w="150" w:type="dxa"/>
            </w:tcMar>
            <w:shd w:fill="F2F5F8" w:val="clear"/>
          </w:tcPr>
          <w:p>
            <w:pPr>
              <w:spacing w:after="40"/>
            </w:pPr>
            <w:r>
              <w:t>Comma-separated or list array of matched pharmacovigilance safety keywords.</w:t>
            </w:r>
          </w:p>
        </w:tc>
      </w:tr>
      <w:tr>
        <w:tc>
          <w:tcPr>
            <w:tcW w:type="dxa" w:w="2592"/>
            <w:vAlign w:val="center"/>
            <w:tcMar>
              <w:top w:w="80" w:type="dxa"/>
              <w:bottom w:w="80" w:type="dxa"/>
              <w:left w:w="150" w:type="dxa"/>
              <w:right w:w="150" w:type="dxa"/>
            </w:tcMar>
            <w:shd w:fill="FFFFFF" w:val="clear"/>
          </w:tcPr>
          <w:p>
            <w:pPr>
              <w:spacing w:after="40"/>
            </w:pPr>
            <w:r>
              <w:t>Context Snippet</w:t>
            </w:r>
          </w:p>
        </w:tc>
        <w:tc>
          <w:tcPr>
            <w:tcW w:type="dxa" w:w="2160"/>
            <w:vAlign w:val="center"/>
            <w:tcMar>
              <w:top w:w="80" w:type="dxa"/>
              <w:bottom w:w="80" w:type="dxa"/>
              <w:left w:w="150" w:type="dxa"/>
              <w:right w:w="150" w:type="dxa"/>
            </w:tcMar>
            <w:shd w:fill="FFFFFF" w:val="clear"/>
          </w:tcPr>
          <w:p>
            <w:pPr>
              <w:spacing w:after="40"/>
            </w:pPr>
            <w:r>
              <w:t>TEXT</w:t>
            </w:r>
          </w:p>
        </w:tc>
        <w:tc>
          <w:tcPr>
            <w:tcW w:type="dxa" w:w="4608"/>
            <w:vAlign w:val="center"/>
            <w:tcMar>
              <w:top w:w="80" w:type="dxa"/>
              <w:bottom w:w="80" w:type="dxa"/>
              <w:left w:w="150" w:type="dxa"/>
              <w:right w:w="150" w:type="dxa"/>
            </w:tcMar>
            <w:shd w:fill="FFFFFF" w:val="clear"/>
          </w:tcPr>
          <w:p>
            <w:pPr>
              <w:spacing w:after="40"/>
            </w:pPr>
            <w:r>
              <w:t>The exact text excerpt containing the flagged keywords for rapid clinical triage.</w:t>
            </w:r>
          </w:p>
        </w:tc>
      </w:tr>
      <w:tr>
        <w:tc>
          <w:tcPr>
            <w:tcW w:type="dxa" w:w="2592"/>
            <w:vAlign w:val="center"/>
            <w:tcMar>
              <w:top w:w="80" w:type="dxa"/>
              <w:bottom w:w="80" w:type="dxa"/>
              <w:left w:w="150" w:type="dxa"/>
              <w:right w:w="150" w:type="dxa"/>
            </w:tcMar>
            <w:shd w:fill="F2F5F8" w:val="clear"/>
          </w:tcPr>
          <w:p>
            <w:pPr>
              <w:spacing w:after="40"/>
            </w:pPr>
            <w:r>
              <w:t>Screening Date</w:t>
            </w:r>
          </w:p>
        </w:tc>
        <w:tc>
          <w:tcPr>
            <w:tcW w:type="dxa" w:w="2160"/>
            <w:vAlign w:val="center"/>
            <w:tcMar>
              <w:top w:w="80" w:type="dxa"/>
              <w:bottom w:w="80" w:type="dxa"/>
              <w:left w:w="150" w:type="dxa"/>
              <w:right w:w="150" w:type="dxa"/>
            </w:tcMar>
            <w:shd w:fill="F2F5F8" w:val="clear"/>
          </w:tcPr>
          <w:p>
            <w:pPr>
              <w:spacing w:after="40"/>
            </w:pPr>
            <w:r>
              <w:t>TIMESTAMP WITH TZ</w:t>
            </w:r>
          </w:p>
        </w:tc>
        <w:tc>
          <w:tcPr>
            <w:tcW w:type="dxa" w:w="4608"/>
            <w:vAlign w:val="center"/>
            <w:tcMar>
              <w:top w:w="80" w:type="dxa"/>
              <w:bottom w:w="80" w:type="dxa"/>
              <w:left w:w="150" w:type="dxa"/>
              <w:right w:w="150" w:type="dxa"/>
            </w:tcMar>
            <w:shd w:fill="F2F5F8" w:val="clear"/>
          </w:tcPr>
          <w:p>
            <w:pPr>
              <w:spacing w:after="40"/>
            </w:pPr>
            <w:r>
              <w:t>System timestamp recording when the background script executed.</w:t>
            </w:r>
          </w:p>
        </w:tc>
      </w:tr>
    </w:tbl>
    <w:p>
      <w:pPr>
        <w:pStyle w:val="Heading2"/>
        <w:spacing w:before="240" w:after="80"/>
      </w:pPr>
      <w:r>
        <w:rPr>
          <w:b/>
          <w:color w:val="4A779D"/>
        </w:rPr>
        <w:t>2.4 MedNova PV Academy Platform (mednova_pv_academy_grant_proposal.md)</w:t>
      </w:r>
    </w:p>
    <w:p>
      <w:r>
        <w:t>The MedNova Pharmacovigilance Academy addresses the severe local shortage of qualified safety officers and positions MedNova to secure the $250K Gates-funded i3 (Investing in Innovation) grant. For developers, this syllabus and business document serves as the Product Requirements Document (PRD) for expanding SafetyCore's ecosystem:</w:t>
      </w:r>
    </w:p>
    <w:p>
      <w:pPr>
        <w:pStyle w:val="ListBullet"/>
      </w:pPr>
      <w:r>
        <w:t>LMS Integration: Integrate an open-source Learning Management System (such as Moodle or Canvas) with your main site, structuring courses into the three tiers detailed in the proposal.</w:t>
      </w:r>
    </w:p>
    <w:p>
      <w:pPr>
        <w:pStyle w:val="ListBullet"/>
      </w:pPr>
      <w:r>
        <w:t>Talent-as-a-Service (TaaS) Directory: Build a secure 'Certified LSO' directory database table linked to candidate profiles. Expose a queryable dashboard for client companies seeking pre-vetted, MedNova-trained Local Safety Officers.</w:t>
      </w:r>
    </w:p>
    <w:p>
      <w:pPr>
        <w:pStyle w:val="ListBullet"/>
      </w:pPr>
      <w:r>
        <w:t>LSO Portal Access: Add a specific role-based user flag ('is_certified_lso') in your database. This role allows pre-vetted LSO graduates to access designated client case ingestion queues under the QPPV's direct clinical supervision.</w:t>
      </w:r>
    </w:p>
    <w:p>
      <w:pPr>
        <w:pStyle w:val="Heading2"/>
        <w:spacing w:before="240" w:after="80"/>
      </w:pPr>
      <w:r>
        <w:rPr>
          <w:b/>
          <w:color w:val="4A779D"/>
        </w:rPr>
        <w:t>2.5 Investor Pitch Deck Integration</w:t>
      </w:r>
    </w:p>
    <w:p>
      <w:r>
        <w:t>The generated pitch deck targets healthtech and impact VCs active in the Lagos ecosystem, including Ventures Platform (checks of $250K-$2M), AAIC Investment ($500K-$5M), and HealthCap Africa ($100K-$1M). Developers should embed the live web URL of your deployed case management application directly in the presentation slides and data rooms. In the highly competitive Lagos market, showing a live web application that demonstrates clinical proof, automated literature monitoring pipelines, and clear GxP compliance is a critical competitive advantage.</w:t>
      </w:r>
    </w:p>
    <w:p>
      <w:pPr>
        <w:spacing w:before="240"/>
      </w:pPr>
    </w:p>
    <w:p>
      <w:pPr>
        <w:pStyle w:val="Heading1"/>
        <w:spacing w:before="360" w:after="120"/>
      </w:pPr>
      <w:r>
        <w:rPr>
          <w:b/>
          <w:color w:val="1B365D"/>
        </w:rPr>
        <w:t>3. THE GXP COMPLIANCE CRITICAL PATH</w:t>
      </w:r>
    </w:p>
    <w:p>
      <w:r>
        <w:t>To satisfy strict international pharmaceutical audits (21 CFR Part 11) and support NAFDAC Maturity Level 3 compliance, the developer team must prioritize the following four GxP engineering requirements on SafetyCore:</w:t>
      </w:r>
    </w:p>
    <w:p>
      <w:pPr>
        <w:pStyle w:val="Heading2"/>
        <w:spacing w:before="240" w:after="80"/>
      </w:pPr>
      <w:r>
        <w:rPr>
          <w:b/>
          <w:color w:val="4A779D"/>
        </w:rPr>
        <w:t>3.1 Standardized MedDRA and WHO Drug Dictionary Autocomplete</w:t>
      </w:r>
    </w:p>
    <w:p>
      <w:r>
        <w:t>Manual text entry for adverse drug reactions (ADRs) or concomitant medications is a critical audit failure. All safety events must be coded to standardized dictionaries. Developers must replace plain text-box inputs on the Case Intake page with dynamic autocomplete fields. These inputs must execute API queries against local or official medical terminology services (MedDRA for adverse events; WHO Drug Dictionary for medications), enforcing the use of valid, standardized terms.</w:t>
      </w:r>
    </w:p>
    <w:p>
      <w:pPr>
        <w:pStyle w:val="Heading2"/>
        <w:spacing w:before="240" w:after="80"/>
      </w:pPr>
      <w:r>
        <w:rPr>
          <w:b/>
          <w:color w:val="4A779D"/>
        </w:rPr>
        <w:t>3.2 E2B(R3) XML Compliance Compiler</w:t>
      </w:r>
    </w:p>
    <w:p>
      <w:r>
        <w:t>NAFDAC and international regulatory databases (like EudraVigilance or the WHO Uppsala Monitoring Centre) do not accept cases in raw format or spreadsheet formats. They require Individual Case Safety Reports (ICSRs) to be formatted in the E2B(R3) XML standard. Developers must implement an XML compiler utility on the SafetyCore backend. This utility will automatically map Postgres database records from the '/cases' table into a schema-compliant E2B(R3) XML file, allowing the QPPV to download and submit validated files in a single click.</w:t>
      </w:r>
    </w:p>
    <w:p>
      <w:pPr>
        <w:pStyle w:val="Heading2"/>
        <w:spacing w:before="240" w:after="80"/>
      </w:pPr>
      <w:r>
        <w:rPr>
          <w:b/>
          <w:color w:val="4A779D"/>
        </w:rPr>
        <w:t>3.3 21 CFR Part 11 Dual-Signature Authentication</w:t>
      </w:r>
    </w:p>
    <w:p>
      <w:r>
        <w:t>To establish legally defensible, append-only GxP audit trails, the finalization of any safety case must meet digital signature regulations. Under 21 CFR Part 11, when the PV Manager or QPPV (e.g., F. Yusuf) clicks 'Sign &amp; Finalize Case', the application must not simply process the action. It must prompt the QPPV to re-authenticate by entering their secure password and ideally an MFA token. This second factor of authentication creates a legally binding, time-stamped electronic signature that is recorded permanently in the audit trail database.</w:t>
      </w:r>
    </w:p>
    <w:p>
      <w:pPr>
        <w:pStyle w:val="Heading2"/>
        <w:spacing w:before="240" w:after="80"/>
      </w:pPr>
      <w:r>
        <w:rPr>
          <w:b/>
          <w:color w:val="4A779D"/>
        </w:rPr>
        <w:t>3.4 Unauthenticated Public Adverse Event Intake Portal</w:t>
      </w:r>
    </w:p>
    <w:p>
      <w:r>
        <w:t>Active pharmacovigilance begins in the field with patient or external doctor notifications. The current SafetyCore cases portal is completely gated behind secure user logins. Developers should deploy a lightweight, public-facing, unauthenticated web portal. When a patient or clinician submits an adverse event form, the data must write to an unapproved 'Intake Staging Table' in Supabase. These staging records can then be verified, deduplicated, and promoted to active cases by authenticated Field Associates or PV Coordinators.</w:t>
      </w:r>
    </w:p>
    <w:p>
      <w:pPr>
        <w:pStyle w:val="Heading2"/>
        <w:spacing w:before="240" w:after="80"/>
      </w:pPr>
      <w:r>
        <w:rPr>
          <w:b/>
          <w:color w:val="4A779D"/>
        </w:rPr>
        <w:t>3.5 References &amp; Standards Compliance Map</w:t>
      </w:r>
    </w:p>
    <w:p>
      <w:r>
        <w:t>This integration roadmap and technical specification align directly with the following regulatory and framework guidelines:</w:t>
      </w:r>
    </w:p>
    <w:p>
      <w:pPr>
        <w:pStyle w:val="ListBullet"/>
      </w:pPr>
      <w:r>
        <w:t>NAFDAC Guidelines for Good Pharmacovigilance Practices (GVP), Nigeria (Effective October 2024)</w:t>
      </w:r>
    </w:p>
    <w:p>
      <w:pPr>
        <w:pStyle w:val="ListBullet"/>
      </w:pPr>
      <w:r>
        <w:t>World Health Organization (WHO) Global Benchmarking Tool - Maturity Level 3 (ML3) Regulatory Standard</w:t>
      </w:r>
    </w:p>
    <w:p>
      <w:pPr>
        <w:pStyle w:val="ListBullet"/>
      </w:pPr>
      <w:r>
        <w:t>FDA Code of Federal Regulations (CFR) Title 21 Part 11: Electronic Records and Electronic Signatures</w:t>
      </w:r>
    </w:p>
    <w:p>
      <w:pPr>
        <w:pStyle w:val="ListBullet"/>
      </w:pPr>
      <w:r>
        <w:t>ICH E2B(R3): Electronic Transmission of Individual Case Safety Reports (ICSR)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