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Business Rules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Business Rules</w:t>
      </w:r>
    </w:p>
    <w:p>
      <w:pPr>
        <w:spacing w:line="259" w:lineRule="auto" w:after="120"/>
      </w:pPr>
      <w:r>
        <w:t>Business rules express policies, restrictions, and conditions imposed by the building operation. They control how AMS validates data and transitions between business states.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Rule Statement</w:t>
            </w:r>
          </w:p>
        </w:tc>
        <w:tc>
          <w:tcPr>
            <w:tcW w:type="dxa" w:w="187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30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Related Requirements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BR-001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Each apartment number shall be unique within the local building database.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 Integrity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FR-001, FR-020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BR-002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 inactive apartment shall not receive a new tenant assignment.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Occupancy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FR-003, FR-005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BR-003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tenant may be assigned only one active apartment assignment at a time.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Occupancy Policy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FR-004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BR-004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payment amount shall be greater than zero and shall not exceed the configured amount unless an authorized correction note exists.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FR-008, FR-011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BR-005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Full payment means the recorded amount is equal to or greater than the applicable rent for the period.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 Policy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FR-009, FR-010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BR-006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payment period remains Pending until a valid payment record is confirmed.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FR-009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BR-007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Overdue status applies when a due date has passed and the outstanding balance is greater than zero.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Payment Policy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FR-009, FR-010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BR-008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Maintenance priority shall be Low, Medium, High, or Critical; Critical issues require immediate owner/manager attention.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Maintenance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FR-013, FR-014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BR-009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Issue status shall follow Open → In Progress → Resolved; reopening requires an explanation.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Maintenance Workflow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FR-014, FR-015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BR-010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parcel shall not be marked Picked Up without pickup date and receiver confirmation.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FR-017, FR-018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BR-011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Tracking number shall be recorded when supplied by the courier and shall be unique among active parcel records.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 Policy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FR-017, FR-019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BR-012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Only authorized owner-level users may restore a database backup.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 Policy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FR-022, FR-023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BR-013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Deleting operational records shall be replaced by archival where historical traceability is required.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 Policy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FR-020, NFR-014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BR-014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AMS V1.0 shall not initiate online payment, cloud synchronization, SMS, or email communication.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Scope Control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FR-020, NFR-008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06_Business_Rules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