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Interface Requirements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07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Interface Requirements</w:t>
      </w:r>
    </w:p>
    <w:p>
      <w:pPr>
        <w:spacing w:line="259" w:lineRule="auto" w:after="120"/>
      </w:pPr>
      <w:r>
        <w:t>Interface requirements define how users, software components, hardware devices, and communication channels interact with AMS. They intentionally reinforce the offline boundary of V1.0.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0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648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1944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IR-001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application shall provide a login screen with username, password, authentication result, and recovery guidance.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 Interface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IR-002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application shall provide a dashboard with navigation to occupancy, rent, issues, parcels, reports, users, and backup/restore according to role.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 Interface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IR-003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Data-entry forms shall display field labels, required-field markers, validation messages, and Save/Cancel actions.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 Interface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IR-004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interface shall provide an Arabic/English toggle for supported labels and messages.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 Interface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IR-005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application shall support keyboard navigation and readable tabular lists.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 Interface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IR-006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software interface shall use SQLite for local persistence through a controlled data-access layer.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Software Interface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IR-007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reporting interface shall export selected reports to PDF using the local print/export workflow.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Software Interface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IR-008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application shall use the Windows file system for approved local database backup and restore files.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Software Interface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IR-009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application shall support standard keyboard, mouse, monitor, and local printer/PDF output devices.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Hardware Interface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IR-010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Core AMS operations shall not require a network or internet communication interface.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Communication Interface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IR-011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If a future local network integration is considered, it shall be treated as a separately approved change and shall not be assumed by V1.0.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Communication Interface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07_Interface_Requirements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