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404040"/>
          <w:sz w:val="26"/>
        </w:rPr>
        <w:t>International University of Technology Twintech (I.U.T.T)</w:t>
      </w:r>
    </w:p>
    <w:p>
      <w:pPr>
        <w:spacing w:before="240" w:after="280"/>
        <w:jc w:val="center"/>
      </w:pPr>
      <w:r>
        <w:rPr>
          <w:rFonts w:ascii="Calibri" w:hAnsi="Calibri"/>
          <w:b/>
          <w:color w:val="4472C4"/>
          <w:sz w:val="40"/>
        </w:rPr>
        <w:t>Issues and Open Questions</w:t>
      </w:r>
    </w:p>
    <w:p>
      <w:pPr>
        <w:jc w:val="center"/>
      </w:pPr>
      <w:r>
        <w:rPr>
          <w:rFonts w:ascii="Calibri" w:hAnsi="Calibri"/>
          <w:i/>
          <w:color w:val="666666"/>
          <w:sz w:val="22"/>
        </w:rPr>
        <w:t>Midterm Deliverable 12</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256"/>
        <w:gridCol w:w="2256"/>
        <w:gridCol w:w="2256"/>
        <w:gridCol w:w="2256"/>
      </w:tblGrid>
      <w:tr>
        <w:tc>
          <w:tcPr>
            <w:tcW w:type="dxa" w:w="2256"/>
            <w:shd w:fill="4472C4"/>
            <w:vAlign w:val="center"/>
          </w:tcPr>
          <w:p>
            <w:pPr>
              <w:spacing w:after="0"/>
            </w:pPr>
            <w:r/>
            <w:r>
              <w:rPr>
                <w:rFonts w:ascii="Calibri" w:hAnsi="Calibri"/>
                <w:b/>
                <w:color w:val="FFFFFF"/>
                <w:sz w:val="18"/>
              </w:rPr>
              <w:t>Project</w:t>
            </w:r>
          </w:p>
        </w:tc>
        <w:tc>
          <w:tcPr>
            <w:tcW w:type="dxa" w:w="2256"/>
            <w:shd w:fill="4472C4"/>
            <w:vAlign w:val="center"/>
          </w:tcPr>
          <w:p>
            <w:pPr>
              <w:spacing w:after="0"/>
            </w:pPr>
            <w:r/>
            <w:r>
              <w:rPr>
                <w:rFonts w:ascii="Calibri" w:hAnsi="Calibri"/>
                <w:b/>
                <w:color w:val="FFFFFF"/>
                <w:sz w:val="18"/>
              </w:rPr>
              <w:t>Author / Instructor</w:t>
            </w:r>
          </w:p>
        </w:tc>
        <w:tc>
          <w:tcPr>
            <w:tcW w:type="dxa" w:w="2256"/>
            <w:shd w:fill="4472C4"/>
            <w:vAlign w:val="center"/>
          </w:tcPr>
          <w:p>
            <w:pPr>
              <w:spacing w:after="0"/>
            </w:pPr>
            <w:r/>
            <w:r>
              <w:rPr>
                <w:rFonts w:ascii="Calibri" w:hAnsi="Calibri"/>
                <w:b/>
                <w:color w:val="FFFFFF"/>
                <w:sz w:val="18"/>
              </w:rPr>
              <w:t>Course</w:t>
            </w:r>
          </w:p>
        </w:tc>
        <w:tc>
          <w:tcPr>
            <w:tcW w:type="dxa" w:w="2256"/>
            <w:shd w:fill="4472C4"/>
            <w:vAlign w:val="center"/>
          </w:tcPr>
          <w:p>
            <w:pPr>
              <w:spacing w:after="0"/>
            </w:pPr>
            <w:r/>
            <w:r>
              <w:rPr>
                <w:rFonts w:ascii="Calibri" w:hAnsi="Calibri"/>
                <w:b/>
                <w:color w:val="FFFFFF"/>
                <w:sz w:val="18"/>
              </w:rPr>
              <w:t>Version</w:t>
            </w:r>
          </w:p>
        </w:tc>
      </w:tr>
      <w:tr>
        <w:tc>
          <w:tcPr>
            <w:tcW w:type="dxa" w:w="2256"/>
            <w:shd w:fill="D9EAF7"/>
            <w:vAlign w:val="center"/>
          </w:tcPr>
          <w:p>
            <w:pPr>
              <w:spacing w:after="0"/>
            </w:pPr>
            <w:r/>
            <w:r>
              <w:rPr>
                <w:rFonts w:ascii="Calibri" w:hAnsi="Calibri"/>
                <w:b w:val="0"/>
                <w:sz w:val="18"/>
              </w:rPr>
              <w:t>Apartment Management System (AMS)</w:t>
            </w:r>
          </w:p>
        </w:tc>
        <w:tc>
          <w:tcPr>
            <w:tcW w:type="dxa" w:w="2256"/>
            <w:shd w:fill="D9EAF7"/>
            <w:vAlign w:val="center"/>
          </w:tcPr>
          <w:p>
            <w:pPr>
              <w:spacing w:after="0"/>
            </w:pPr>
            <w:r/>
            <w:r>
              <w:rPr>
                <w:rFonts w:ascii="Calibri" w:hAnsi="Calibri"/>
                <w:b w:val="0"/>
                <w:sz w:val="18"/>
              </w:rPr>
              <w:t>Eng. Rasheed Aldhaferi</w:t>
            </w:r>
          </w:p>
        </w:tc>
        <w:tc>
          <w:tcPr>
            <w:tcW w:type="dxa" w:w="2256"/>
            <w:shd w:fill="D9EAF7"/>
            <w:vAlign w:val="center"/>
          </w:tcPr>
          <w:p>
            <w:pPr>
              <w:spacing w:after="0"/>
            </w:pPr>
            <w:r/>
            <w:r>
              <w:rPr>
                <w:rFonts w:ascii="Calibri" w:hAnsi="Calibri"/>
                <w:b w:val="0"/>
                <w:sz w:val="18"/>
              </w:rPr>
              <w:t>Software Engineering Tutorial</w:t>
            </w:r>
          </w:p>
        </w:tc>
        <w:tc>
          <w:tcPr>
            <w:tcW w:type="dxa" w:w="2256"/>
            <w:shd w:fill="D9EAF7"/>
            <w:vAlign w:val="center"/>
          </w:tcPr>
          <w:p>
            <w:pPr>
              <w:spacing w:after="0"/>
            </w:pPr>
            <w:r/>
            <w:r>
              <w:rPr>
                <w:rFonts w:ascii="Calibri" w:hAnsi="Calibri"/>
                <w:b w:val="0"/>
                <w:sz w:val="18"/>
              </w:rPr>
              <w:t>V1.0</w:t>
            </w:r>
          </w:p>
        </w:tc>
      </w:tr>
    </w:tbl>
    <w:p>
      <w:pPr>
        <w:spacing w:after="40"/>
      </w:pPr>
    </w:p>
    <w:p/>
    <w:p>
      <w:pPr>
        <w:pStyle w:val="Heading1"/>
        <w:keepNext/>
      </w:pPr>
      <w:r>
        <w:t>1. Issues and Open Questions</w:t>
      </w:r>
    </w:p>
    <w:p>
      <w:pPr>
        <w:spacing w:line="259" w:lineRule="auto" w:after="120"/>
      </w:pPr>
      <w:r>
        <w:t>This register captures unresolved requirements, pending decisions, unclear rules, and assumptions requiring stakeholder confirmation. Owners should resolve high-impact items before baselining the SRS.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04"/>
        <w:gridCol w:w="1504"/>
        <w:gridCol w:w="1504"/>
        <w:gridCol w:w="1504"/>
        <w:gridCol w:w="1504"/>
        <w:gridCol w:w="1504"/>
      </w:tblGrid>
      <w:tr>
        <w:tc>
          <w:tcPr>
            <w:tcW w:type="dxa" w:w="936"/>
            <w:shd w:fill="4472C4"/>
            <w:vAlign w:val="center"/>
          </w:tcPr>
          <w:p>
            <w:pPr>
              <w:spacing w:after="0"/>
            </w:pPr>
            <w:r/>
            <w:r>
              <w:rPr>
                <w:rFonts w:ascii="Calibri" w:hAnsi="Calibri"/>
                <w:b/>
                <w:color w:val="FFFFFF"/>
                <w:sz w:val="14"/>
              </w:rPr>
              <w:t>Issue ID</w:t>
            </w:r>
          </w:p>
        </w:tc>
        <w:tc>
          <w:tcPr>
            <w:tcW w:type="dxa" w:w="3816"/>
            <w:shd w:fill="4472C4"/>
            <w:vAlign w:val="center"/>
          </w:tcPr>
          <w:p>
            <w:pPr>
              <w:spacing w:after="0"/>
            </w:pPr>
            <w:r/>
            <w:r>
              <w:rPr>
                <w:rFonts w:ascii="Calibri" w:hAnsi="Calibri"/>
                <w:b/>
                <w:color w:val="FFFFFF"/>
                <w:sz w:val="14"/>
              </w:rPr>
              <w:t>Description</w:t>
            </w:r>
          </w:p>
        </w:tc>
        <w:tc>
          <w:tcPr>
            <w:tcW w:type="dxa" w:w="1440"/>
            <w:shd w:fill="4472C4"/>
            <w:vAlign w:val="center"/>
          </w:tcPr>
          <w:p>
            <w:pPr>
              <w:spacing w:after="0"/>
            </w:pPr>
            <w:r/>
            <w:r>
              <w:rPr>
                <w:rFonts w:ascii="Calibri" w:hAnsi="Calibri"/>
                <w:b/>
                <w:color w:val="FFFFFF"/>
                <w:sz w:val="14"/>
              </w:rPr>
              <w:t>Status</w:t>
            </w:r>
          </w:p>
        </w:tc>
        <w:tc>
          <w:tcPr>
            <w:tcW w:type="dxa" w:w="1152"/>
            <w:shd w:fill="4472C4"/>
            <w:vAlign w:val="center"/>
          </w:tcPr>
          <w:p>
            <w:pPr>
              <w:spacing w:after="0"/>
            </w:pPr>
            <w:r/>
            <w:r>
              <w:rPr>
                <w:rFonts w:ascii="Calibri" w:hAnsi="Calibri"/>
                <w:b/>
                <w:color w:val="FFFFFF"/>
                <w:sz w:val="14"/>
              </w:rPr>
              <w:t>Priority</w:t>
            </w:r>
          </w:p>
        </w:tc>
        <w:tc>
          <w:tcPr>
            <w:tcW w:type="dxa" w:w="1800"/>
            <w:shd w:fill="4472C4"/>
            <w:vAlign w:val="center"/>
          </w:tcPr>
          <w:p>
            <w:pPr>
              <w:spacing w:after="0"/>
            </w:pPr>
            <w:r/>
            <w:r>
              <w:rPr>
                <w:rFonts w:ascii="Calibri" w:hAnsi="Calibri"/>
                <w:b/>
                <w:color w:val="FFFFFF"/>
                <w:sz w:val="14"/>
              </w:rPr>
              <w:t>Owner</w:t>
            </w:r>
          </w:p>
        </w:tc>
        <w:tc>
          <w:tcPr>
            <w:tcW w:type="dxa" w:w="2088"/>
            <w:shd w:fill="4472C4"/>
            <w:vAlign w:val="center"/>
          </w:tcPr>
          <w:p>
            <w:pPr>
              <w:spacing w:after="0"/>
            </w:pPr>
            <w:r/>
            <w:r>
              <w:rPr>
                <w:rFonts w:ascii="Calibri" w:hAnsi="Calibri"/>
                <w:b/>
                <w:color w:val="FFFFFF"/>
                <w:sz w:val="14"/>
              </w:rPr>
              <w:t>Impact</w:t>
            </w:r>
          </w:p>
        </w:tc>
      </w:tr>
      <w:tr>
        <w:tc>
          <w:tcPr>
            <w:tcW w:type="dxa" w:w="936"/>
            <w:shd w:fill="D9EAF7"/>
            <w:vAlign w:val="center"/>
          </w:tcPr>
          <w:p>
            <w:pPr>
              <w:spacing w:after="0"/>
            </w:pPr>
            <w:r/>
            <w:r>
              <w:rPr>
                <w:rFonts w:ascii="Calibri" w:hAnsi="Calibri"/>
                <w:b/>
                <w:sz w:val="14"/>
              </w:rPr>
              <w:t>ISS-001</w:t>
            </w:r>
          </w:p>
        </w:tc>
        <w:tc>
          <w:tcPr>
            <w:tcW w:type="dxa" w:w="3816"/>
            <w:shd w:fill="D9EAF7"/>
            <w:vAlign w:val="center"/>
          </w:tcPr>
          <w:p>
            <w:pPr>
              <w:spacing w:after="0"/>
            </w:pPr>
            <w:r/>
            <w:r>
              <w:rPr>
                <w:rFonts w:ascii="Calibri" w:hAnsi="Calibri"/>
                <w:b w:val="0"/>
                <w:sz w:val="14"/>
              </w:rPr>
              <w:t>Confirm whether one tenant may have multiple historical assignments and how long inactive assignments must be retained.</w:t>
            </w:r>
          </w:p>
        </w:tc>
        <w:tc>
          <w:tcPr>
            <w:tcW w:type="dxa" w:w="1440"/>
            <w:shd w:fill="D9EAF7"/>
            <w:vAlign w:val="center"/>
          </w:tcPr>
          <w:p>
            <w:pPr>
              <w:spacing w:after="0"/>
            </w:pPr>
            <w:r/>
            <w:r>
              <w:rPr>
                <w:rFonts w:ascii="Calibri" w:hAnsi="Calibri"/>
                <w:b w:val="0"/>
                <w:sz w:val="14"/>
              </w:rPr>
              <w:t>Open</w:t>
            </w:r>
          </w:p>
        </w:tc>
        <w:tc>
          <w:tcPr>
            <w:tcW w:type="dxa" w:w="1152"/>
            <w:shd w:fill="D9EAF7"/>
            <w:vAlign w:val="center"/>
          </w:tcPr>
          <w:p>
            <w:pPr>
              <w:spacing w:after="0"/>
            </w:pPr>
            <w:r/>
            <w:r>
              <w:rPr>
                <w:rFonts w:ascii="Calibri" w:hAnsi="Calibri"/>
                <w:b w:val="0"/>
                <w:sz w:val="14"/>
              </w:rPr>
              <w:t>High</w:t>
            </w:r>
          </w:p>
        </w:tc>
        <w:tc>
          <w:tcPr>
            <w:tcW w:type="dxa" w:w="1800"/>
            <w:shd w:fill="D9EAF7"/>
            <w:vAlign w:val="center"/>
          </w:tcPr>
          <w:p>
            <w:pPr>
              <w:spacing w:after="0"/>
            </w:pPr>
            <w:r/>
            <w:r>
              <w:rPr>
                <w:rFonts w:ascii="Calibri" w:hAnsi="Calibri"/>
                <w:b w:val="0"/>
                <w:sz w:val="14"/>
              </w:rPr>
              <w:t>Mohammed Alsamawi</w:t>
            </w:r>
          </w:p>
        </w:tc>
        <w:tc>
          <w:tcPr>
            <w:tcW w:type="dxa" w:w="2088"/>
            <w:shd w:fill="D9EAF7"/>
            <w:vAlign w:val="center"/>
          </w:tcPr>
          <w:p>
            <w:pPr>
              <w:spacing w:after="0"/>
            </w:pPr>
            <w:r/>
            <w:r>
              <w:rPr>
                <w:rFonts w:ascii="Calibri" w:hAnsi="Calibri"/>
                <w:b w:val="0"/>
                <w:sz w:val="14"/>
              </w:rPr>
              <w:t>Affects tenant history and data model.</w:t>
            </w:r>
          </w:p>
        </w:tc>
      </w:tr>
      <w:tr>
        <w:tc>
          <w:tcPr>
            <w:tcW w:type="dxa" w:w="936"/>
            <w:shd w:fill="FFFFFF"/>
            <w:vAlign w:val="center"/>
          </w:tcPr>
          <w:p>
            <w:pPr>
              <w:spacing w:after="0"/>
            </w:pPr>
            <w:r/>
            <w:r>
              <w:rPr>
                <w:rFonts w:ascii="Calibri" w:hAnsi="Calibri"/>
                <w:b/>
                <w:sz w:val="14"/>
              </w:rPr>
              <w:t>ISS-002</w:t>
            </w:r>
          </w:p>
        </w:tc>
        <w:tc>
          <w:tcPr>
            <w:tcW w:type="dxa" w:w="3816"/>
            <w:shd w:fill="FFFFFF"/>
            <w:vAlign w:val="center"/>
          </w:tcPr>
          <w:p>
            <w:pPr>
              <w:spacing w:after="0"/>
            </w:pPr>
            <w:r/>
            <w:r>
              <w:rPr>
                <w:rFonts w:ascii="Calibri" w:hAnsi="Calibri"/>
                <w:b w:val="0"/>
                <w:sz w:val="14"/>
              </w:rPr>
              <w:t>Confirm the official rent due date policy for each period.</w:t>
            </w:r>
          </w:p>
        </w:tc>
        <w:tc>
          <w:tcPr>
            <w:tcW w:type="dxa" w:w="1440"/>
            <w:shd w:fill="FFFFFF"/>
            <w:vAlign w:val="center"/>
          </w:tcPr>
          <w:p>
            <w:pPr>
              <w:spacing w:after="0"/>
            </w:pPr>
            <w:r/>
            <w:r>
              <w:rPr>
                <w:rFonts w:ascii="Calibri" w:hAnsi="Calibri"/>
                <w:b w:val="0"/>
                <w:sz w:val="14"/>
              </w:rPr>
              <w:t>Open</w:t>
            </w:r>
          </w:p>
        </w:tc>
        <w:tc>
          <w:tcPr>
            <w:tcW w:type="dxa" w:w="1152"/>
            <w:shd w:fill="FFFFFF"/>
            <w:vAlign w:val="center"/>
          </w:tcPr>
          <w:p>
            <w:pPr>
              <w:spacing w:after="0"/>
            </w:pPr>
            <w:r/>
            <w:r>
              <w:rPr>
                <w:rFonts w:ascii="Calibri" w:hAnsi="Calibri"/>
                <w:b w:val="0"/>
                <w:sz w:val="14"/>
              </w:rPr>
              <w:t>High</w:t>
            </w:r>
          </w:p>
        </w:tc>
        <w:tc>
          <w:tcPr>
            <w:tcW w:type="dxa" w:w="1800"/>
            <w:shd w:fill="FFFFFF"/>
            <w:vAlign w:val="center"/>
          </w:tcPr>
          <w:p>
            <w:pPr>
              <w:spacing w:after="0"/>
            </w:pPr>
            <w:r/>
            <w:r>
              <w:rPr>
                <w:rFonts w:ascii="Calibri" w:hAnsi="Calibri"/>
                <w:b w:val="0"/>
                <w:sz w:val="14"/>
              </w:rPr>
              <w:t>Eng. Rasheed Aldhaferi</w:t>
            </w:r>
          </w:p>
        </w:tc>
        <w:tc>
          <w:tcPr>
            <w:tcW w:type="dxa" w:w="2088"/>
            <w:shd w:fill="FFFFFF"/>
            <w:vAlign w:val="center"/>
          </w:tcPr>
          <w:p>
            <w:pPr>
              <w:spacing w:after="0"/>
            </w:pPr>
            <w:r/>
            <w:r>
              <w:rPr>
                <w:rFonts w:ascii="Calibri" w:hAnsi="Calibri"/>
                <w:b w:val="0"/>
                <w:sz w:val="14"/>
              </w:rPr>
              <w:t>Affects overdue classification and reports.</w:t>
            </w:r>
          </w:p>
        </w:tc>
      </w:tr>
      <w:tr>
        <w:tc>
          <w:tcPr>
            <w:tcW w:type="dxa" w:w="936"/>
            <w:shd w:fill="D9EAF7"/>
            <w:vAlign w:val="center"/>
          </w:tcPr>
          <w:p>
            <w:pPr>
              <w:spacing w:after="0"/>
            </w:pPr>
            <w:r/>
            <w:r>
              <w:rPr>
                <w:rFonts w:ascii="Calibri" w:hAnsi="Calibri"/>
                <w:b/>
                <w:sz w:val="14"/>
              </w:rPr>
              <w:t>ISS-003</w:t>
            </w:r>
          </w:p>
        </w:tc>
        <w:tc>
          <w:tcPr>
            <w:tcW w:type="dxa" w:w="3816"/>
            <w:shd w:fill="D9EAF7"/>
            <w:vAlign w:val="center"/>
          </w:tcPr>
          <w:p>
            <w:pPr>
              <w:spacing w:after="0"/>
            </w:pPr>
            <w:r/>
            <w:r>
              <w:rPr>
                <w:rFonts w:ascii="Calibri" w:hAnsi="Calibri"/>
                <w:b w:val="0"/>
                <w:sz w:val="14"/>
              </w:rPr>
              <w:t>Confirm whether a docket payment requires a docket number and a standard format.</w:t>
            </w:r>
          </w:p>
        </w:tc>
        <w:tc>
          <w:tcPr>
            <w:tcW w:type="dxa" w:w="1440"/>
            <w:shd w:fill="D9EAF7"/>
            <w:vAlign w:val="center"/>
          </w:tcPr>
          <w:p>
            <w:pPr>
              <w:spacing w:after="0"/>
            </w:pPr>
            <w:r/>
            <w:r>
              <w:rPr>
                <w:rFonts w:ascii="Calibri" w:hAnsi="Calibri"/>
                <w:b w:val="0"/>
                <w:sz w:val="14"/>
              </w:rPr>
              <w:t>Open</w:t>
            </w:r>
          </w:p>
        </w:tc>
        <w:tc>
          <w:tcPr>
            <w:tcW w:type="dxa" w:w="1152"/>
            <w:shd w:fill="D9EAF7"/>
            <w:vAlign w:val="center"/>
          </w:tcPr>
          <w:p>
            <w:pPr>
              <w:spacing w:after="0"/>
            </w:pPr>
            <w:r/>
            <w:r>
              <w:rPr>
                <w:rFonts w:ascii="Calibri" w:hAnsi="Calibri"/>
                <w:b w:val="0"/>
                <w:sz w:val="14"/>
              </w:rPr>
              <w:t>Medium</w:t>
            </w:r>
          </w:p>
        </w:tc>
        <w:tc>
          <w:tcPr>
            <w:tcW w:type="dxa" w:w="1800"/>
            <w:shd w:fill="D9EAF7"/>
            <w:vAlign w:val="center"/>
          </w:tcPr>
          <w:p>
            <w:pPr>
              <w:spacing w:after="0"/>
            </w:pPr>
            <w:r/>
            <w:r>
              <w:rPr>
                <w:rFonts w:ascii="Calibri" w:hAnsi="Calibri"/>
                <w:b w:val="0"/>
                <w:sz w:val="14"/>
              </w:rPr>
              <w:t>Building Owners</w:t>
            </w:r>
          </w:p>
        </w:tc>
        <w:tc>
          <w:tcPr>
            <w:tcW w:type="dxa" w:w="2088"/>
            <w:shd w:fill="D9EAF7"/>
            <w:vAlign w:val="center"/>
          </w:tcPr>
          <w:p>
            <w:pPr>
              <w:spacing w:after="0"/>
            </w:pPr>
            <w:r/>
            <w:r>
              <w:rPr>
                <w:rFonts w:ascii="Calibri" w:hAnsi="Calibri"/>
                <w:b w:val="0"/>
                <w:sz w:val="14"/>
              </w:rPr>
              <w:t>Affects payment validation and auditability.</w:t>
            </w:r>
          </w:p>
        </w:tc>
      </w:tr>
      <w:tr>
        <w:tc>
          <w:tcPr>
            <w:tcW w:type="dxa" w:w="936"/>
            <w:shd w:fill="FFFFFF"/>
            <w:vAlign w:val="center"/>
          </w:tcPr>
          <w:p>
            <w:pPr>
              <w:spacing w:after="0"/>
            </w:pPr>
            <w:r/>
            <w:r>
              <w:rPr>
                <w:rFonts w:ascii="Calibri" w:hAnsi="Calibri"/>
                <w:b/>
                <w:sz w:val="14"/>
              </w:rPr>
              <w:t>ISS-004</w:t>
            </w:r>
          </w:p>
        </w:tc>
        <w:tc>
          <w:tcPr>
            <w:tcW w:type="dxa" w:w="3816"/>
            <w:shd w:fill="FFFFFF"/>
            <w:vAlign w:val="center"/>
          </w:tcPr>
          <w:p>
            <w:pPr>
              <w:spacing w:after="0"/>
            </w:pPr>
            <w:r/>
            <w:r>
              <w:rPr>
                <w:rFonts w:ascii="Calibri" w:hAnsi="Calibri"/>
                <w:b w:val="0"/>
                <w:sz w:val="14"/>
              </w:rPr>
              <w:t>Confirm the approved list of maintenance categories and the definition of Critical priority.</w:t>
            </w:r>
          </w:p>
        </w:tc>
        <w:tc>
          <w:tcPr>
            <w:tcW w:type="dxa" w:w="1440"/>
            <w:shd w:fill="FFFFFF"/>
            <w:vAlign w:val="center"/>
          </w:tcPr>
          <w:p>
            <w:pPr>
              <w:spacing w:after="0"/>
            </w:pPr>
            <w:r/>
            <w:r>
              <w:rPr>
                <w:rFonts w:ascii="Calibri" w:hAnsi="Calibri"/>
                <w:b w:val="0"/>
                <w:sz w:val="14"/>
              </w:rPr>
              <w:t>Open</w:t>
            </w:r>
          </w:p>
        </w:tc>
        <w:tc>
          <w:tcPr>
            <w:tcW w:type="dxa" w:w="1152"/>
            <w:shd w:fill="FFFFFF"/>
            <w:vAlign w:val="center"/>
          </w:tcPr>
          <w:p>
            <w:pPr>
              <w:spacing w:after="0"/>
            </w:pPr>
            <w:r/>
            <w:r>
              <w:rPr>
                <w:rFonts w:ascii="Calibri" w:hAnsi="Calibri"/>
                <w:b w:val="0"/>
                <w:sz w:val="14"/>
              </w:rPr>
              <w:t>Medium</w:t>
            </w:r>
          </w:p>
        </w:tc>
        <w:tc>
          <w:tcPr>
            <w:tcW w:type="dxa" w:w="1800"/>
            <w:shd w:fill="FFFFFF"/>
            <w:vAlign w:val="center"/>
          </w:tcPr>
          <w:p>
            <w:pPr>
              <w:spacing w:after="0"/>
            </w:pPr>
            <w:r/>
            <w:r>
              <w:rPr>
                <w:rFonts w:ascii="Calibri" w:hAnsi="Calibri"/>
                <w:b w:val="0"/>
                <w:sz w:val="14"/>
              </w:rPr>
              <w:t>Aiham Alhalmi</w:t>
            </w:r>
          </w:p>
        </w:tc>
        <w:tc>
          <w:tcPr>
            <w:tcW w:type="dxa" w:w="2088"/>
            <w:shd w:fill="FFFFFF"/>
            <w:vAlign w:val="center"/>
          </w:tcPr>
          <w:p>
            <w:pPr>
              <w:spacing w:after="0"/>
            </w:pPr>
            <w:r/>
            <w:r>
              <w:rPr>
                <w:rFonts w:ascii="Calibri" w:hAnsi="Calibri"/>
                <w:b w:val="0"/>
                <w:sz w:val="14"/>
              </w:rPr>
              <w:t>Affects issue classification and escalation.</w:t>
            </w:r>
          </w:p>
        </w:tc>
      </w:tr>
      <w:tr>
        <w:tc>
          <w:tcPr>
            <w:tcW w:type="dxa" w:w="936"/>
            <w:shd w:fill="D9EAF7"/>
            <w:vAlign w:val="center"/>
          </w:tcPr>
          <w:p>
            <w:pPr>
              <w:spacing w:after="0"/>
            </w:pPr>
            <w:r/>
            <w:r>
              <w:rPr>
                <w:rFonts w:ascii="Calibri" w:hAnsi="Calibri"/>
                <w:b/>
                <w:sz w:val="14"/>
              </w:rPr>
              <w:t>ISS-005</w:t>
            </w:r>
          </w:p>
        </w:tc>
        <w:tc>
          <w:tcPr>
            <w:tcW w:type="dxa" w:w="3816"/>
            <w:shd w:fill="D9EAF7"/>
            <w:vAlign w:val="center"/>
          </w:tcPr>
          <w:p>
            <w:pPr>
              <w:spacing w:after="0"/>
            </w:pPr>
            <w:r/>
            <w:r>
              <w:rPr>
                <w:rFonts w:ascii="Calibri" w:hAnsi="Calibri"/>
                <w:b w:val="0"/>
                <w:sz w:val="14"/>
              </w:rPr>
              <w:t>Confirm whether parcel storage locations require a controlled list or free text.</w:t>
            </w:r>
          </w:p>
        </w:tc>
        <w:tc>
          <w:tcPr>
            <w:tcW w:type="dxa" w:w="1440"/>
            <w:shd w:fill="D9EAF7"/>
            <w:vAlign w:val="center"/>
          </w:tcPr>
          <w:p>
            <w:pPr>
              <w:spacing w:after="0"/>
            </w:pPr>
            <w:r/>
            <w:r>
              <w:rPr>
                <w:rFonts w:ascii="Calibri" w:hAnsi="Calibri"/>
                <w:b w:val="0"/>
                <w:sz w:val="14"/>
              </w:rPr>
              <w:t>Open</w:t>
            </w:r>
          </w:p>
        </w:tc>
        <w:tc>
          <w:tcPr>
            <w:tcW w:type="dxa" w:w="1152"/>
            <w:shd w:fill="D9EAF7"/>
            <w:vAlign w:val="center"/>
          </w:tcPr>
          <w:p>
            <w:pPr>
              <w:spacing w:after="0"/>
            </w:pPr>
            <w:r/>
            <w:r>
              <w:rPr>
                <w:rFonts w:ascii="Calibri" w:hAnsi="Calibri"/>
                <w:b w:val="0"/>
                <w:sz w:val="14"/>
              </w:rPr>
              <w:t>Low</w:t>
            </w:r>
          </w:p>
        </w:tc>
        <w:tc>
          <w:tcPr>
            <w:tcW w:type="dxa" w:w="1800"/>
            <w:shd w:fill="D9EAF7"/>
            <w:vAlign w:val="center"/>
          </w:tcPr>
          <w:p>
            <w:pPr>
              <w:spacing w:after="0"/>
            </w:pPr>
            <w:r/>
            <w:r>
              <w:rPr>
                <w:rFonts w:ascii="Calibri" w:hAnsi="Calibri"/>
                <w:b w:val="0"/>
                <w:sz w:val="14"/>
              </w:rPr>
              <w:t>Building Managers</w:t>
            </w:r>
          </w:p>
        </w:tc>
        <w:tc>
          <w:tcPr>
            <w:tcW w:type="dxa" w:w="2088"/>
            <w:shd w:fill="D9EAF7"/>
            <w:vAlign w:val="center"/>
          </w:tcPr>
          <w:p>
            <w:pPr>
              <w:spacing w:after="0"/>
            </w:pPr>
            <w:r/>
            <w:r>
              <w:rPr>
                <w:rFonts w:ascii="Calibri" w:hAnsi="Calibri"/>
                <w:b w:val="0"/>
                <w:sz w:val="14"/>
              </w:rPr>
              <w:t>Affects parcel form design.</w:t>
            </w:r>
          </w:p>
        </w:tc>
      </w:tr>
      <w:tr>
        <w:tc>
          <w:tcPr>
            <w:tcW w:type="dxa" w:w="936"/>
            <w:shd w:fill="FFFFFF"/>
            <w:vAlign w:val="center"/>
          </w:tcPr>
          <w:p>
            <w:pPr>
              <w:spacing w:after="0"/>
            </w:pPr>
            <w:r/>
            <w:r>
              <w:rPr>
                <w:rFonts w:ascii="Calibri" w:hAnsi="Calibri"/>
                <w:b/>
                <w:sz w:val="14"/>
              </w:rPr>
              <w:t>ISS-006</w:t>
            </w:r>
          </w:p>
        </w:tc>
        <w:tc>
          <w:tcPr>
            <w:tcW w:type="dxa" w:w="3816"/>
            <w:shd w:fill="FFFFFF"/>
            <w:vAlign w:val="center"/>
          </w:tcPr>
          <w:p>
            <w:pPr>
              <w:spacing w:after="0"/>
            </w:pPr>
            <w:r/>
            <w:r>
              <w:rPr>
                <w:rFonts w:ascii="Calibri" w:hAnsi="Calibri"/>
                <w:b w:val="0"/>
                <w:sz w:val="14"/>
              </w:rPr>
              <w:t>Confirm backup destination policy, retention count, and whether backup files may be stored on removable media.</w:t>
            </w:r>
          </w:p>
        </w:tc>
        <w:tc>
          <w:tcPr>
            <w:tcW w:type="dxa" w:w="1440"/>
            <w:shd w:fill="FFFFFF"/>
            <w:vAlign w:val="center"/>
          </w:tcPr>
          <w:p>
            <w:pPr>
              <w:spacing w:after="0"/>
            </w:pPr>
            <w:r/>
            <w:r>
              <w:rPr>
                <w:rFonts w:ascii="Calibri" w:hAnsi="Calibri"/>
                <w:b w:val="0"/>
                <w:sz w:val="14"/>
              </w:rPr>
              <w:t>Open</w:t>
            </w:r>
          </w:p>
        </w:tc>
        <w:tc>
          <w:tcPr>
            <w:tcW w:type="dxa" w:w="1152"/>
            <w:shd w:fill="FFFFFF"/>
            <w:vAlign w:val="center"/>
          </w:tcPr>
          <w:p>
            <w:pPr>
              <w:spacing w:after="0"/>
            </w:pPr>
            <w:r/>
            <w:r>
              <w:rPr>
                <w:rFonts w:ascii="Calibri" w:hAnsi="Calibri"/>
                <w:b w:val="0"/>
                <w:sz w:val="14"/>
              </w:rPr>
              <w:t>High</w:t>
            </w:r>
          </w:p>
        </w:tc>
        <w:tc>
          <w:tcPr>
            <w:tcW w:type="dxa" w:w="1800"/>
            <w:shd w:fill="FFFFFF"/>
            <w:vAlign w:val="center"/>
          </w:tcPr>
          <w:p>
            <w:pPr>
              <w:spacing w:after="0"/>
            </w:pPr>
            <w:r/>
            <w:r>
              <w:rPr>
                <w:rFonts w:ascii="Calibri" w:hAnsi="Calibri"/>
                <w:b w:val="0"/>
                <w:sz w:val="14"/>
              </w:rPr>
              <w:t>Building Owners</w:t>
            </w:r>
          </w:p>
        </w:tc>
        <w:tc>
          <w:tcPr>
            <w:tcW w:type="dxa" w:w="2088"/>
            <w:shd w:fill="FFFFFF"/>
            <w:vAlign w:val="center"/>
          </w:tcPr>
          <w:p>
            <w:pPr>
              <w:spacing w:after="0"/>
            </w:pPr>
            <w:r/>
            <w:r>
              <w:rPr>
                <w:rFonts w:ascii="Calibri" w:hAnsi="Calibri"/>
                <w:b w:val="0"/>
                <w:sz w:val="14"/>
              </w:rPr>
              <w:t>Affects recovery and security procedures.</w:t>
            </w:r>
          </w:p>
        </w:tc>
      </w:tr>
      <w:tr>
        <w:tc>
          <w:tcPr>
            <w:tcW w:type="dxa" w:w="936"/>
            <w:shd w:fill="D9EAF7"/>
            <w:vAlign w:val="center"/>
          </w:tcPr>
          <w:p>
            <w:pPr>
              <w:spacing w:after="0"/>
            </w:pPr>
            <w:r/>
            <w:r>
              <w:rPr>
                <w:rFonts w:ascii="Calibri" w:hAnsi="Calibri"/>
                <w:b/>
                <w:sz w:val="14"/>
              </w:rPr>
              <w:t>ISS-007</w:t>
            </w:r>
          </w:p>
        </w:tc>
        <w:tc>
          <w:tcPr>
            <w:tcW w:type="dxa" w:w="3816"/>
            <w:shd w:fill="D9EAF7"/>
            <w:vAlign w:val="center"/>
          </w:tcPr>
          <w:p>
            <w:pPr>
              <w:spacing w:after="0"/>
            </w:pPr>
            <w:r/>
            <w:r>
              <w:rPr>
                <w:rFonts w:ascii="Calibri" w:hAnsi="Calibri"/>
                <w:b w:val="0"/>
                <w:sz w:val="14"/>
              </w:rPr>
              <w:t>Confirm password reset process for a fully offline deployment.</w:t>
            </w:r>
          </w:p>
        </w:tc>
        <w:tc>
          <w:tcPr>
            <w:tcW w:type="dxa" w:w="1440"/>
            <w:shd w:fill="D9EAF7"/>
            <w:vAlign w:val="center"/>
          </w:tcPr>
          <w:p>
            <w:pPr>
              <w:spacing w:after="0"/>
            </w:pPr>
            <w:r/>
            <w:r>
              <w:rPr>
                <w:rFonts w:ascii="Calibri" w:hAnsi="Calibri"/>
                <w:b w:val="0"/>
                <w:sz w:val="14"/>
              </w:rPr>
              <w:t>Open</w:t>
            </w:r>
          </w:p>
        </w:tc>
        <w:tc>
          <w:tcPr>
            <w:tcW w:type="dxa" w:w="1152"/>
            <w:shd w:fill="D9EAF7"/>
            <w:vAlign w:val="center"/>
          </w:tcPr>
          <w:p>
            <w:pPr>
              <w:spacing w:after="0"/>
            </w:pPr>
            <w:r/>
            <w:r>
              <w:rPr>
                <w:rFonts w:ascii="Calibri" w:hAnsi="Calibri"/>
                <w:b w:val="0"/>
                <w:sz w:val="14"/>
              </w:rPr>
              <w:t>High</w:t>
            </w:r>
          </w:p>
        </w:tc>
        <w:tc>
          <w:tcPr>
            <w:tcW w:type="dxa" w:w="1800"/>
            <w:shd w:fill="D9EAF7"/>
            <w:vAlign w:val="center"/>
          </w:tcPr>
          <w:p>
            <w:pPr>
              <w:spacing w:after="0"/>
            </w:pPr>
            <w:r/>
            <w:r>
              <w:rPr>
                <w:rFonts w:ascii="Calibri" w:hAnsi="Calibri"/>
                <w:b w:val="0"/>
                <w:sz w:val="14"/>
              </w:rPr>
              <w:t>Building Owners</w:t>
            </w:r>
          </w:p>
        </w:tc>
        <w:tc>
          <w:tcPr>
            <w:tcW w:type="dxa" w:w="2088"/>
            <w:shd w:fill="D9EAF7"/>
            <w:vAlign w:val="center"/>
          </w:tcPr>
          <w:p>
            <w:pPr>
              <w:spacing w:after="0"/>
            </w:pPr>
            <w:r/>
            <w:r>
              <w:rPr>
                <w:rFonts w:ascii="Calibri" w:hAnsi="Calibri"/>
                <w:b w:val="0"/>
                <w:sz w:val="14"/>
              </w:rPr>
              <w:t>Affects account recovery and support.</w:t>
            </w:r>
          </w:p>
        </w:tc>
      </w:tr>
      <w:tr>
        <w:tc>
          <w:tcPr>
            <w:tcW w:type="dxa" w:w="936"/>
            <w:shd w:fill="FFFFFF"/>
            <w:vAlign w:val="center"/>
          </w:tcPr>
          <w:p>
            <w:pPr>
              <w:spacing w:after="0"/>
            </w:pPr>
            <w:r/>
            <w:r>
              <w:rPr>
                <w:rFonts w:ascii="Calibri" w:hAnsi="Calibri"/>
                <w:b/>
                <w:sz w:val="14"/>
              </w:rPr>
              <w:t>ISS-008</w:t>
            </w:r>
          </w:p>
        </w:tc>
        <w:tc>
          <w:tcPr>
            <w:tcW w:type="dxa" w:w="3816"/>
            <w:shd w:fill="FFFFFF"/>
            <w:vAlign w:val="center"/>
          </w:tcPr>
          <w:p>
            <w:pPr>
              <w:spacing w:after="0"/>
            </w:pPr>
            <w:r/>
            <w:r>
              <w:rPr>
                <w:rFonts w:ascii="Calibri" w:hAnsi="Calibri"/>
                <w:b w:val="0"/>
                <w:sz w:val="14"/>
              </w:rPr>
              <w:t>Confirm the Arabic translation owner and review process for CR-003.</w:t>
            </w:r>
          </w:p>
        </w:tc>
        <w:tc>
          <w:tcPr>
            <w:tcW w:type="dxa" w:w="1440"/>
            <w:shd w:fill="FFFFFF"/>
            <w:vAlign w:val="center"/>
          </w:tcPr>
          <w:p>
            <w:pPr>
              <w:spacing w:after="0"/>
            </w:pPr>
            <w:r/>
            <w:r>
              <w:rPr>
                <w:rFonts w:ascii="Calibri" w:hAnsi="Calibri"/>
                <w:b w:val="0"/>
                <w:sz w:val="14"/>
              </w:rPr>
              <w:t>Open</w:t>
            </w:r>
          </w:p>
        </w:tc>
        <w:tc>
          <w:tcPr>
            <w:tcW w:type="dxa" w:w="1152"/>
            <w:shd w:fill="FFFFFF"/>
            <w:vAlign w:val="center"/>
          </w:tcPr>
          <w:p>
            <w:pPr>
              <w:spacing w:after="0"/>
            </w:pPr>
            <w:r/>
            <w:r>
              <w:rPr>
                <w:rFonts w:ascii="Calibri" w:hAnsi="Calibri"/>
                <w:b w:val="0"/>
                <w:sz w:val="14"/>
              </w:rPr>
              <w:t>Medium</w:t>
            </w:r>
          </w:p>
        </w:tc>
        <w:tc>
          <w:tcPr>
            <w:tcW w:type="dxa" w:w="1800"/>
            <w:shd w:fill="FFFFFF"/>
            <w:vAlign w:val="center"/>
          </w:tcPr>
          <w:p>
            <w:pPr>
              <w:spacing w:after="0"/>
            </w:pPr>
            <w:r/>
            <w:r>
              <w:rPr>
                <w:rFonts w:ascii="Calibri" w:hAnsi="Calibri"/>
                <w:b w:val="0"/>
                <w:sz w:val="14"/>
              </w:rPr>
              <w:t>Eng. Rasheed Aldhaferi</w:t>
            </w:r>
          </w:p>
        </w:tc>
        <w:tc>
          <w:tcPr>
            <w:tcW w:type="dxa" w:w="2088"/>
            <w:shd w:fill="FFFFFF"/>
            <w:vAlign w:val="center"/>
          </w:tcPr>
          <w:p>
            <w:pPr>
              <w:spacing w:after="0"/>
            </w:pPr>
            <w:r/>
            <w:r>
              <w:rPr>
                <w:rFonts w:ascii="Calibri" w:hAnsi="Calibri"/>
                <w:b w:val="0"/>
                <w:sz w:val="14"/>
              </w:rPr>
              <w:t>Affects localization quality and release readiness.</w:t>
            </w:r>
          </w:p>
        </w:tc>
      </w:tr>
      <w:tr>
        <w:tc>
          <w:tcPr>
            <w:tcW w:type="dxa" w:w="936"/>
            <w:shd w:fill="D9EAF7"/>
            <w:vAlign w:val="center"/>
          </w:tcPr>
          <w:p>
            <w:pPr>
              <w:spacing w:after="0"/>
            </w:pPr>
            <w:r/>
            <w:r>
              <w:rPr>
                <w:rFonts w:ascii="Calibri" w:hAnsi="Calibri"/>
                <w:b/>
                <w:sz w:val="14"/>
              </w:rPr>
              <w:t>ISS-009</w:t>
            </w:r>
          </w:p>
        </w:tc>
        <w:tc>
          <w:tcPr>
            <w:tcW w:type="dxa" w:w="3816"/>
            <w:shd w:fill="D9EAF7"/>
            <w:vAlign w:val="center"/>
          </w:tcPr>
          <w:p>
            <w:pPr>
              <w:spacing w:after="0"/>
            </w:pPr>
            <w:r/>
            <w:r>
              <w:rPr>
                <w:rFonts w:ascii="Calibri" w:hAnsi="Calibri"/>
                <w:b w:val="0"/>
                <w:sz w:val="14"/>
              </w:rPr>
              <w:t>Confirm whether tenants will have direct system access in V1.0 or remain secondary beneficiaries.</w:t>
            </w:r>
          </w:p>
        </w:tc>
        <w:tc>
          <w:tcPr>
            <w:tcW w:type="dxa" w:w="1440"/>
            <w:shd w:fill="D9EAF7"/>
            <w:vAlign w:val="center"/>
          </w:tcPr>
          <w:p>
            <w:pPr>
              <w:spacing w:after="0"/>
            </w:pPr>
            <w:r/>
            <w:r>
              <w:rPr>
                <w:rFonts w:ascii="Calibri" w:hAnsi="Calibri"/>
                <w:b w:val="0"/>
                <w:sz w:val="14"/>
              </w:rPr>
              <w:t>In Progress</w:t>
            </w:r>
          </w:p>
        </w:tc>
        <w:tc>
          <w:tcPr>
            <w:tcW w:type="dxa" w:w="1152"/>
            <w:shd w:fill="D9EAF7"/>
            <w:vAlign w:val="center"/>
          </w:tcPr>
          <w:p>
            <w:pPr>
              <w:spacing w:after="0"/>
            </w:pPr>
            <w:r/>
            <w:r>
              <w:rPr>
                <w:rFonts w:ascii="Calibri" w:hAnsi="Calibri"/>
                <w:b w:val="0"/>
                <w:sz w:val="14"/>
              </w:rPr>
              <w:t>High</w:t>
            </w:r>
          </w:p>
        </w:tc>
        <w:tc>
          <w:tcPr>
            <w:tcW w:type="dxa" w:w="1800"/>
            <w:shd w:fill="D9EAF7"/>
            <w:vAlign w:val="center"/>
          </w:tcPr>
          <w:p>
            <w:pPr>
              <w:spacing w:after="0"/>
            </w:pPr>
            <w:r/>
            <w:r>
              <w:rPr>
                <w:rFonts w:ascii="Calibri" w:hAnsi="Calibri"/>
                <w:b w:val="0"/>
                <w:sz w:val="14"/>
              </w:rPr>
              <w:t>Mohammed Alsamawi</w:t>
            </w:r>
          </w:p>
        </w:tc>
        <w:tc>
          <w:tcPr>
            <w:tcW w:type="dxa" w:w="2088"/>
            <w:shd w:fill="D9EAF7"/>
            <w:vAlign w:val="center"/>
          </w:tcPr>
          <w:p>
            <w:pPr>
              <w:spacing w:after="0"/>
            </w:pPr>
            <w:r/>
            <w:r>
              <w:rPr>
                <w:rFonts w:ascii="Calibri" w:hAnsi="Calibri"/>
                <w:b w:val="0"/>
                <w:sz w:val="14"/>
              </w:rPr>
              <w:t>Affects user classes, permissions, and UI scope.</w:t>
            </w:r>
          </w:p>
        </w:tc>
      </w:tr>
      <w:tr>
        <w:tc>
          <w:tcPr>
            <w:tcW w:type="dxa" w:w="936"/>
            <w:shd w:fill="FFFFFF"/>
            <w:vAlign w:val="center"/>
          </w:tcPr>
          <w:p>
            <w:pPr>
              <w:spacing w:after="0"/>
            </w:pPr>
            <w:r/>
            <w:r>
              <w:rPr>
                <w:rFonts w:ascii="Calibri" w:hAnsi="Calibri"/>
                <w:b/>
                <w:sz w:val="14"/>
              </w:rPr>
              <w:t>ISS-010</w:t>
            </w:r>
          </w:p>
        </w:tc>
        <w:tc>
          <w:tcPr>
            <w:tcW w:type="dxa" w:w="3816"/>
            <w:shd w:fill="FFFFFF"/>
            <w:vAlign w:val="center"/>
          </w:tcPr>
          <w:p>
            <w:pPr>
              <w:spacing w:after="0"/>
            </w:pPr>
            <w:r/>
            <w:r>
              <w:rPr>
                <w:rFonts w:ascii="Calibri" w:hAnsi="Calibri"/>
                <w:b w:val="0"/>
                <w:sz w:val="14"/>
              </w:rPr>
              <w:t>Confirm whether PDF reports require a fixed institutional template or only readable local export.</w:t>
            </w:r>
          </w:p>
        </w:tc>
        <w:tc>
          <w:tcPr>
            <w:tcW w:type="dxa" w:w="1440"/>
            <w:shd w:fill="FFFFFF"/>
            <w:vAlign w:val="center"/>
          </w:tcPr>
          <w:p>
            <w:pPr>
              <w:spacing w:after="0"/>
            </w:pPr>
            <w:r/>
            <w:r>
              <w:rPr>
                <w:rFonts w:ascii="Calibri" w:hAnsi="Calibri"/>
                <w:b w:val="0"/>
                <w:sz w:val="14"/>
              </w:rPr>
              <w:t>Open</w:t>
            </w:r>
          </w:p>
        </w:tc>
        <w:tc>
          <w:tcPr>
            <w:tcW w:type="dxa" w:w="1152"/>
            <w:shd w:fill="FFFFFF"/>
            <w:vAlign w:val="center"/>
          </w:tcPr>
          <w:p>
            <w:pPr>
              <w:spacing w:after="0"/>
            </w:pPr>
            <w:r/>
            <w:r>
              <w:rPr>
                <w:rFonts w:ascii="Calibri" w:hAnsi="Calibri"/>
                <w:b w:val="0"/>
                <w:sz w:val="14"/>
              </w:rPr>
              <w:t>Low</w:t>
            </w:r>
          </w:p>
        </w:tc>
        <w:tc>
          <w:tcPr>
            <w:tcW w:type="dxa" w:w="1800"/>
            <w:shd w:fill="FFFFFF"/>
            <w:vAlign w:val="center"/>
          </w:tcPr>
          <w:p>
            <w:pPr>
              <w:spacing w:after="0"/>
            </w:pPr>
            <w:r/>
            <w:r>
              <w:rPr>
                <w:rFonts w:ascii="Calibri" w:hAnsi="Calibri"/>
                <w:b w:val="0"/>
                <w:sz w:val="14"/>
              </w:rPr>
              <w:t>Eng. Rasheed Aldhaferi</w:t>
            </w:r>
          </w:p>
        </w:tc>
        <w:tc>
          <w:tcPr>
            <w:tcW w:type="dxa" w:w="2088"/>
            <w:shd w:fill="FFFFFF"/>
            <w:vAlign w:val="center"/>
          </w:tcPr>
          <w:p>
            <w:pPr>
              <w:spacing w:after="0"/>
            </w:pPr>
            <w:r/>
            <w:r>
              <w:rPr>
                <w:rFonts w:ascii="Calibri" w:hAnsi="Calibri"/>
                <w:b w:val="0"/>
                <w:sz w:val="14"/>
              </w:rPr>
              <w:t>Affects CR-002 report layout.</w:t>
            </w:r>
          </w:p>
        </w:tc>
      </w:tr>
      <w:tr>
        <w:tc>
          <w:tcPr>
            <w:tcW w:type="dxa" w:w="936"/>
            <w:shd w:fill="D9EAF7"/>
            <w:vAlign w:val="center"/>
          </w:tcPr>
          <w:p>
            <w:pPr>
              <w:spacing w:after="0"/>
            </w:pPr>
            <w:r/>
            <w:r>
              <w:rPr>
                <w:rFonts w:ascii="Calibri" w:hAnsi="Calibri"/>
                <w:b/>
                <w:sz w:val="14"/>
              </w:rPr>
              <w:t>ISS-011</w:t>
            </w:r>
          </w:p>
        </w:tc>
        <w:tc>
          <w:tcPr>
            <w:tcW w:type="dxa" w:w="3816"/>
            <w:shd w:fill="D9EAF7"/>
            <w:vAlign w:val="center"/>
          </w:tcPr>
          <w:p>
            <w:pPr>
              <w:spacing w:after="0"/>
            </w:pPr>
            <w:r/>
            <w:r>
              <w:rPr>
                <w:rFonts w:ascii="Calibri" w:hAnsi="Calibri"/>
                <w:b w:val="0"/>
                <w:sz w:val="14"/>
              </w:rPr>
              <w:t>Confirm whether the system should keep an immutable audit history for corrected payments.</w:t>
            </w:r>
          </w:p>
        </w:tc>
        <w:tc>
          <w:tcPr>
            <w:tcW w:type="dxa" w:w="1440"/>
            <w:shd w:fill="D9EAF7"/>
            <w:vAlign w:val="center"/>
          </w:tcPr>
          <w:p>
            <w:pPr>
              <w:spacing w:after="0"/>
            </w:pPr>
            <w:r/>
            <w:r>
              <w:rPr>
                <w:rFonts w:ascii="Calibri" w:hAnsi="Calibri"/>
                <w:b w:val="0"/>
                <w:sz w:val="14"/>
              </w:rPr>
              <w:t>Open</w:t>
            </w:r>
          </w:p>
        </w:tc>
        <w:tc>
          <w:tcPr>
            <w:tcW w:type="dxa" w:w="1152"/>
            <w:shd w:fill="D9EAF7"/>
            <w:vAlign w:val="center"/>
          </w:tcPr>
          <w:p>
            <w:pPr>
              <w:spacing w:after="0"/>
            </w:pPr>
            <w:r/>
            <w:r>
              <w:rPr>
                <w:rFonts w:ascii="Calibri" w:hAnsi="Calibri"/>
                <w:b w:val="0"/>
                <w:sz w:val="14"/>
              </w:rPr>
              <w:t>Medium</w:t>
            </w:r>
          </w:p>
        </w:tc>
        <w:tc>
          <w:tcPr>
            <w:tcW w:type="dxa" w:w="1800"/>
            <w:shd w:fill="D9EAF7"/>
            <w:vAlign w:val="center"/>
          </w:tcPr>
          <w:p>
            <w:pPr>
              <w:spacing w:after="0"/>
            </w:pPr>
            <w:r/>
            <w:r>
              <w:rPr>
                <w:rFonts w:ascii="Calibri" w:hAnsi="Calibri"/>
                <w:b w:val="0"/>
                <w:sz w:val="14"/>
              </w:rPr>
              <w:t>Building Owners</w:t>
            </w:r>
          </w:p>
        </w:tc>
        <w:tc>
          <w:tcPr>
            <w:tcW w:type="dxa" w:w="2088"/>
            <w:shd w:fill="D9EAF7"/>
            <w:vAlign w:val="center"/>
          </w:tcPr>
          <w:p>
            <w:pPr>
              <w:spacing w:after="0"/>
            </w:pPr>
            <w:r/>
            <w:r>
              <w:rPr>
                <w:rFonts w:ascii="Calibri" w:hAnsi="Calibri"/>
                <w:b w:val="0"/>
                <w:sz w:val="14"/>
              </w:rPr>
              <w:t>Affects audit data and maintainability.</w:t>
            </w:r>
          </w:p>
        </w:tc>
      </w:tr>
      <w:tr>
        <w:tc>
          <w:tcPr>
            <w:tcW w:type="dxa" w:w="936"/>
            <w:shd w:fill="FFFFFF"/>
            <w:vAlign w:val="center"/>
          </w:tcPr>
          <w:p>
            <w:pPr>
              <w:spacing w:after="0"/>
            </w:pPr>
            <w:r/>
            <w:r>
              <w:rPr>
                <w:rFonts w:ascii="Calibri" w:hAnsi="Calibri"/>
                <w:b/>
                <w:sz w:val="14"/>
              </w:rPr>
              <w:t>ISS-012</w:t>
            </w:r>
          </w:p>
        </w:tc>
        <w:tc>
          <w:tcPr>
            <w:tcW w:type="dxa" w:w="3816"/>
            <w:shd w:fill="FFFFFF"/>
            <w:vAlign w:val="center"/>
          </w:tcPr>
          <w:p>
            <w:pPr>
              <w:spacing w:after="0"/>
            </w:pPr>
            <w:r/>
            <w:r>
              <w:rPr>
                <w:rFonts w:ascii="Calibri" w:hAnsi="Calibri"/>
                <w:b w:val="0"/>
                <w:sz w:val="14"/>
              </w:rPr>
              <w:t>Confirm supported minimum screen resolution and accessibility expectations for the Windows desktop.</w:t>
            </w:r>
          </w:p>
        </w:tc>
        <w:tc>
          <w:tcPr>
            <w:tcW w:type="dxa" w:w="1440"/>
            <w:shd w:fill="FFFFFF"/>
            <w:vAlign w:val="center"/>
          </w:tcPr>
          <w:p>
            <w:pPr>
              <w:spacing w:after="0"/>
            </w:pPr>
            <w:r/>
            <w:r>
              <w:rPr>
                <w:rFonts w:ascii="Calibri" w:hAnsi="Calibri"/>
                <w:b w:val="0"/>
                <w:sz w:val="14"/>
              </w:rPr>
              <w:t>Open</w:t>
            </w:r>
          </w:p>
        </w:tc>
        <w:tc>
          <w:tcPr>
            <w:tcW w:type="dxa" w:w="1152"/>
            <w:shd w:fill="FFFFFF"/>
            <w:vAlign w:val="center"/>
          </w:tcPr>
          <w:p>
            <w:pPr>
              <w:spacing w:after="0"/>
            </w:pPr>
            <w:r/>
            <w:r>
              <w:rPr>
                <w:rFonts w:ascii="Calibri" w:hAnsi="Calibri"/>
                <w:b w:val="0"/>
                <w:sz w:val="14"/>
              </w:rPr>
              <w:t>Medium</w:t>
            </w:r>
          </w:p>
        </w:tc>
        <w:tc>
          <w:tcPr>
            <w:tcW w:type="dxa" w:w="1800"/>
            <w:shd w:fill="FFFFFF"/>
            <w:vAlign w:val="center"/>
          </w:tcPr>
          <w:p>
            <w:pPr>
              <w:spacing w:after="0"/>
            </w:pPr>
            <w:r/>
            <w:r>
              <w:rPr>
                <w:rFonts w:ascii="Calibri" w:hAnsi="Calibri"/>
                <w:b w:val="0"/>
                <w:sz w:val="14"/>
              </w:rPr>
              <w:t>Habib Sabri</w:t>
            </w:r>
          </w:p>
        </w:tc>
        <w:tc>
          <w:tcPr>
            <w:tcW w:type="dxa" w:w="2088"/>
            <w:shd w:fill="FFFFFF"/>
            <w:vAlign w:val="center"/>
          </w:tcPr>
          <w:p>
            <w:pPr>
              <w:spacing w:after="0"/>
            </w:pPr>
            <w:r/>
            <w:r>
              <w:rPr>
                <w:rFonts w:ascii="Calibri" w:hAnsi="Calibri"/>
                <w:b w:val="0"/>
                <w:sz w:val="14"/>
              </w:rPr>
              <w:t>Affects interface layout and usability testing.</w:t>
            </w:r>
          </w:p>
        </w:tc>
      </w:tr>
    </w:tbl>
    <w:p>
      <w:pPr>
        <w:spacing w:after="40"/>
      </w:pPr>
    </w:p>
    <w:p>
      <w:pPr>
        <w:pStyle w:val="Heading1"/>
        <w:keepNext/>
      </w:pPr>
      <w:r>
        <w:t>2. Review Guidance</w:t>
      </w:r>
    </w:p>
    <w:p>
      <w:pPr>
        <w:spacing w:line="259" w:lineRule="auto" w:after="120"/>
      </w:pPr>
      <w:r>
        <w:t>Open issues should be reviewed during the next stakeholder session. When a decision is made, the owner should update the issue status to Resolved, record the decision in the requirements baseline, and update any affected FR, NFR, BR, IR, DR, UC, US, or AC identifiers.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I.U.T.T | Software Engineering Tutorial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Apartment Management System (AMS)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40404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40404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12_Issues_Open_Questions</dc:title>
  <dc:subject>Apartment Management System (AMS)</dc:subject>
  <dc:creator>Eng. Rasheed Aldhaferi</dc:creator>
  <cp:keywords/>
  <dc:description>generated by python-docx</dc:description>
  <cp:lastModifiedBy/>
  <cp:revision>1</cp:revision>
  <dcterms:created xsi:type="dcterms:W3CDTF">2013-12-23T23:15:00Z</dcterms:created>
  <dcterms:modified xsi:type="dcterms:W3CDTF">2013-12-23T23:15:00Z</dcterms:modified>
  <cp:category/>
</cp:coreProperties>
</file>