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rFonts w:ascii="Calibri" w:hAnsi="Calibri"/>
          <w:b/>
          <w:sz w:val="20"/>
        </w:rPr>
        <w:t>Mécanisme fondamental</w:t>
      </w:r>
    </w:p>
    <w:p>
      <w:r/>
      <w:r>
        <w:rPr>
          <w:rFonts w:ascii="Calibri" w:hAnsi="Calibri"/>
          <w:b/>
          <w:sz w:val="20"/>
        </w:rPr>
        <w:t>Nombre d'arbres (</w:t>
      </w:r>
      <w:r>
        <w:rPr>
          <w:rFonts w:ascii="Consolas" w:hAnsi="Consolas"/>
          <w:b/>
          <w:sz w:val="19"/>
        </w:rPr>
        <w:t>n_estimators</w:t>
      </w:r>
      <w:r>
        <w:rPr>
          <w:rFonts w:ascii="Calibri" w:hAnsi="Calibri"/>
          <w:b/>
          <w:sz w:val="20"/>
        </w:rPr>
        <w:t>)</w:t>
      </w:r>
    </w:p>
    <w:p>
      <w:r/>
      <w:r>
        <w:rPr>
          <w:rFonts w:ascii="Calibri" w:hAnsi="Calibri"/>
          <w:sz w:val="20"/>
        </w:rPr>
        <w:t xml:space="preserve">O(n · log n) • </w:t>
      </w:r>
      <w:r>
        <w:rPr>
          <w:rFonts w:ascii="Calibri" w:hAnsi="Calibri"/>
          <w:i/>
          <w:sz w:val="20"/>
        </w:rPr>
        <w:t>Ultra-rapide</w:t>
      </w:r>
    </w:p>
    <w:p>
      <w:r/>
      <w:r>
        <w:rPr>
          <w:rFonts w:ascii="Calibri" w:hAnsi="Calibri"/>
          <w:sz w:val="20"/>
        </w:rPr>
        <w:t xml:space="preserve">Chaque paquet SYN a une taille légitime (≈ 60 B) → </w:t>
      </w:r>
      <w:r>
        <w:rPr>
          <w:rFonts w:ascii="Calibri" w:hAnsi="Calibri"/>
          <w:b/>
          <w:sz w:val="20"/>
        </w:rPr>
        <w:t>Non détecté</w:t>
      </w:r>
    </w:p>
    <w:p>
      <w:r/>
      <w:r>
        <w:rPr>
          <w:rFonts w:ascii="Calibri" w:hAnsi="Calibri"/>
          <w:sz w:val="20"/>
        </w:rPr>
        <w:t>Traitement des flux en direct sur interface physique ou virtuelle (</w:t>
      </w:r>
      <w:r>
        <w:rPr>
          <w:rFonts w:ascii="Consolas" w:hAnsi="Consolas"/>
          <w:sz w:val="19"/>
        </w:rPr>
        <w:t>raw sockets</w:t>
      </w:r>
      <w:r>
        <w:rPr>
          <w:rFonts w:ascii="Calibri" w:hAnsi="Calibri"/>
          <w:sz w:val="20"/>
        </w:rPr>
        <w:t>) et analyse différée de fichiers de capture (</w:t>
      </w:r>
      <w:r>
        <w:rPr>
          <w:rFonts w:ascii="Consolas" w:hAnsi="Consolas"/>
          <w:sz w:val="19"/>
        </w:rPr>
        <w:t>.pcap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9"/>
        </w:rPr>
        <w:t>.pcapng</w:t>
      </w:r>
      <w:r>
        <w:rPr>
          <w:rFonts w:ascii="Calibri" w:hAnsi="Calibri"/>
          <w:sz w:val="20"/>
        </w:rPr>
        <w:t>).</w:t>
      </w:r>
    </w:p>
    <w:p>
      <w:r/>
      <w:r>
        <w:rPr>
          <w:rFonts w:ascii="Calibri" w:hAnsi="Calibri"/>
          <w:sz w:val="20"/>
        </w:rPr>
        <w:t xml:space="preserve">Définition d'un ratio d'entropie R = P_unique / N_pkts combiné au décompte des drapeaux </w:t>
      </w:r>
      <w:r>
        <w:rPr>
          <w:rFonts w:ascii="Consolas" w:hAnsi="Consolas"/>
          <w:sz w:val="19"/>
        </w:rPr>
        <w:t>SYN</w:t>
      </w:r>
      <w:r>
        <w:rPr>
          <w:rFonts w:ascii="Calibri" w:hAnsi="Calibri"/>
          <w:sz w:val="20"/>
        </w:rPr>
        <w:t xml:space="preserve"> pour discriminer la navigation Web d'un balayage hostile.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