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color w:val="1F4E79"/>
          <w:sz w:val="44"/>
        </w:rPr>
        <w:t>《基于 BTCUSDT 5分钟K线的短期最高涨幅预测与实时信号看板系统设计》</w:t>
      </w:r>
    </w:p>
    <w:p>
      <w:pPr>
        <w:jc w:val="center"/>
      </w:pPr>
      <w:r>
        <w:rPr>
          <w:rFonts w:ascii="黑体" w:hAnsi="黑体" w:eastAsia="黑体"/>
          <w:b/>
          <w:sz w:val="32"/>
        </w:rPr>
        <w:t>大数据技术实践课程报告</w:t>
      </w:r>
    </w:p>
    <w:p/>
    <w:p/>
    <w:p/>
    <w:p/>
    <w:p>
      <w:pPr>
        <w:jc w:val="center"/>
      </w:pPr>
      <w:r>
        <w:rPr>
          <w:rFonts w:ascii="宋体" w:hAnsi="宋体" w:eastAsia="宋体"/>
          <w:sz w:val="26"/>
        </w:rPr>
        <w:t>课程名称：大数据技术实践</w:t>
      </w:r>
    </w:p>
    <w:p>
      <w:pPr>
        <w:jc w:val="center"/>
      </w:pPr>
      <w:r>
        <w:rPr>
          <w:rFonts w:ascii="宋体" w:hAnsi="宋体" w:eastAsia="宋体"/>
          <w:sz w:val="26"/>
        </w:rPr>
        <w:t>完成形式：个人完成</w:t>
      </w:r>
    </w:p>
    <w:p>
      <w:pPr>
        <w:jc w:val="center"/>
      </w:pPr>
      <w:r>
        <w:rPr>
          <w:rFonts w:ascii="宋体" w:hAnsi="宋体" w:eastAsia="宋体"/>
          <w:sz w:val="26"/>
        </w:rPr>
        <w:t>学生姓名：张橙</w:t>
      </w:r>
    </w:p>
    <w:p>
      <w:pPr>
        <w:jc w:val="center"/>
      </w:pPr>
      <w:r>
        <w:rPr>
          <w:rFonts w:ascii="宋体" w:hAnsi="宋体" w:eastAsia="宋体"/>
          <w:sz w:val="26"/>
        </w:rPr>
        <w:t>学号：20231113107</w:t>
      </w:r>
    </w:p>
    <w:p>
      <w:pPr>
        <w:jc w:val="center"/>
      </w:pPr>
      <w:r>
        <w:rPr>
          <w:rFonts w:ascii="宋体" w:hAnsi="宋体" w:eastAsia="宋体"/>
          <w:sz w:val="26"/>
        </w:rPr>
        <w:t>报告日期：2026年7月8日</w:t>
      </w:r>
    </w:p>
    <w:p>
      <w:r>
        <w:br w:type="page"/>
      </w:r>
    </w:p>
    <w:p>
      <w:pPr>
        <w:pStyle w:val="Heading1"/>
      </w:pPr>
      <w:r>
        <w:rPr>
          <w:rFonts w:ascii="黑体" w:hAnsi="黑体" w:eastAsia="黑体"/>
          <w:b/>
          <w:color w:val="1F4E79"/>
          <w:sz w:val="30"/>
        </w:rPr>
        <w:t>目录</w:t>
      </w:r>
    </w:p>
    <w:p>
      <w:pPr>
        <w:spacing w:line="300" w:lineRule="auto" w:after="120"/>
        <w:ind w:firstLine="420"/>
        <w:jc w:val="both"/>
      </w:pPr>
      <w:r>
        <w:rPr>
          <w:rFonts w:ascii="宋体" w:hAnsi="宋体" w:eastAsia="宋体"/>
          <w:b w:val="0"/>
          <w:sz w:val="21"/>
        </w:rPr>
        <w:t>摘要</w:t>
      </w:r>
    </w:p>
    <w:p>
      <w:pPr>
        <w:spacing w:line="300" w:lineRule="auto" w:after="120"/>
        <w:ind w:firstLine="420"/>
        <w:jc w:val="both"/>
      </w:pPr>
      <w:r>
        <w:rPr>
          <w:rFonts w:ascii="宋体" w:hAnsi="宋体" w:eastAsia="宋体"/>
          <w:b w:val="0"/>
          <w:sz w:val="21"/>
        </w:rPr>
        <w:t>1 项目背景</w:t>
      </w:r>
    </w:p>
    <w:p>
      <w:pPr>
        <w:spacing w:line="300" w:lineRule="auto" w:after="120"/>
        <w:ind w:firstLine="420"/>
        <w:jc w:val="both"/>
      </w:pPr>
      <w:r>
        <w:rPr>
          <w:rFonts w:ascii="宋体" w:hAnsi="宋体" w:eastAsia="宋体"/>
          <w:b w:val="0"/>
          <w:sz w:val="21"/>
        </w:rPr>
        <w:t>2 数据探索</w:t>
      </w:r>
    </w:p>
    <w:p>
      <w:pPr>
        <w:spacing w:line="300" w:lineRule="auto" w:after="120"/>
        <w:ind w:firstLine="420"/>
        <w:jc w:val="both"/>
      </w:pPr>
      <w:r>
        <w:rPr>
          <w:rFonts w:ascii="宋体" w:hAnsi="宋体" w:eastAsia="宋体"/>
          <w:b w:val="0"/>
          <w:sz w:val="21"/>
        </w:rPr>
        <w:t>3 模型设计</w:t>
      </w:r>
    </w:p>
    <w:p>
      <w:pPr>
        <w:spacing w:line="300" w:lineRule="auto" w:after="120"/>
        <w:ind w:firstLine="420"/>
        <w:jc w:val="both"/>
      </w:pPr>
      <w:r>
        <w:rPr>
          <w:rFonts w:ascii="宋体" w:hAnsi="宋体" w:eastAsia="宋体"/>
          <w:b w:val="0"/>
          <w:sz w:val="21"/>
        </w:rPr>
        <w:t>4 实验分析与结果讨论</w:t>
      </w:r>
    </w:p>
    <w:p>
      <w:pPr>
        <w:spacing w:line="300" w:lineRule="auto" w:after="120"/>
        <w:ind w:firstLine="420"/>
        <w:jc w:val="both"/>
      </w:pPr>
      <w:r>
        <w:rPr>
          <w:rFonts w:ascii="宋体" w:hAnsi="宋体" w:eastAsia="宋体"/>
          <w:b w:val="0"/>
          <w:sz w:val="21"/>
        </w:rPr>
        <w:t>5 系统设计与实现</w:t>
      </w:r>
    </w:p>
    <w:p>
      <w:pPr>
        <w:spacing w:line="300" w:lineRule="auto" w:after="120"/>
        <w:ind w:firstLine="420"/>
        <w:jc w:val="both"/>
      </w:pPr>
      <w:r>
        <w:rPr>
          <w:rFonts w:ascii="宋体" w:hAnsi="宋体" w:eastAsia="宋体"/>
          <w:b w:val="0"/>
          <w:sz w:val="21"/>
        </w:rPr>
        <w:t>6 系统部署方案设计</w:t>
      </w:r>
    </w:p>
    <w:p>
      <w:pPr>
        <w:spacing w:line="300" w:lineRule="auto" w:after="120"/>
        <w:ind w:firstLine="420"/>
        <w:jc w:val="both"/>
      </w:pPr>
      <w:r>
        <w:rPr>
          <w:rFonts w:ascii="宋体" w:hAnsi="宋体" w:eastAsia="宋体"/>
          <w:b w:val="0"/>
          <w:sz w:val="21"/>
        </w:rPr>
        <w:t>7 总结</w:t>
      </w:r>
    </w:p>
    <w:p>
      <w:pPr>
        <w:spacing w:line="300" w:lineRule="auto" w:after="120"/>
        <w:ind w:firstLine="420"/>
        <w:jc w:val="both"/>
      </w:pPr>
      <w:r>
        <w:rPr>
          <w:rFonts w:ascii="宋体" w:hAnsi="宋体" w:eastAsia="宋体"/>
          <w:b w:val="0"/>
          <w:sz w:val="21"/>
        </w:rPr>
        <w:t>8 心得体会</w:t>
      </w:r>
    </w:p>
    <w:p>
      <w:pPr>
        <w:spacing w:line="300" w:lineRule="auto" w:after="120"/>
        <w:ind w:firstLine="420"/>
        <w:jc w:val="both"/>
      </w:pPr>
      <w:r>
        <w:rPr>
          <w:rFonts w:ascii="宋体" w:hAnsi="宋体" w:eastAsia="宋体"/>
          <w:b w:val="0"/>
          <w:sz w:val="21"/>
        </w:rPr>
        <w:t>9 小组分工</w:t>
      </w:r>
    </w:p>
    <w:p>
      <w:r>
        <w:br w:type="page"/>
      </w:r>
    </w:p>
    <w:p>
      <w:pPr>
        <w:pStyle w:val="Heading1"/>
      </w:pPr>
      <w:r>
        <w:rPr>
          <w:rFonts w:ascii="黑体" w:hAnsi="黑体" w:eastAsia="黑体"/>
          <w:b/>
          <w:color w:val="1F4E79"/>
          <w:sz w:val="30"/>
        </w:rPr>
        <w:t>摘要</w:t>
      </w:r>
    </w:p>
    <w:p>
      <w:pPr>
        <w:spacing w:line="300" w:lineRule="auto" w:after="120"/>
        <w:ind w:firstLine="420"/>
        <w:jc w:val="both"/>
      </w:pPr>
      <w:r>
        <w:rPr>
          <w:rFonts w:ascii="宋体" w:hAnsi="宋体" w:eastAsia="宋体"/>
          <w:b w:val="0"/>
          <w:sz w:val="21"/>
        </w:rPr>
        <w:t>数字货币市场具有连续交易、波动频繁和短周期行情变化明显等特点，适合作为大数据技术实践中时间序列数据处理、特征工程、机器学习建模和实时系统展示的综合案例。本文基于 BTCUSDT 5分钟K线数据，构建一个研究型短期预测系统，目标不是直接进行自动交易，而是预测未来30分钟内最高价相对当前K线收盘价的最大上冲幅度，并通过前端 Dashboard 展示模型信号、实时预测记录和延迟结算结果。</w:t>
      </w:r>
    </w:p>
    <w:p>
      <w:pPr>
        <w:spacing w:line="300" w:lineRule="auto" w:after="120"/>
        <w:ind w:firstLine="420"/>
        <w:jc w:val="both"/>
      </w:pPr>
      <w:r>
        <w:rPr>
          <w:rFonts w:ascii="宋体" w:hAnsi="宋体" w:eastAsia="宋体"/>
          <w:b w:val="0"/>
          <w:sz w:val="21"/>
        </w:rPr>
        <w:t>本项目使用约两年的 BTCUSDT 5分钟K线数据，原始数据共 210,241 条记录。标签定义为 future_max_return_30m，即未来6根5分钟K线最高价相对当前收盘价的最大涨幅；当该值大于 0.002 时，分类标签 y_buy 取 1。项目在数据审计、标签构造、历史特征工程和时间顺序切分基础上，采用 LightGBMClassifier 输出 buy_probability，并采用 LightGBMRegressor 输出 predicted_max_return，再由信号规则生成 BUY、WATCH 和 NO_BUY。系统实现了后端 API、实时预测记录、PENDING/SETTLED 延迟结算、live_metrics 实时统计和前端 Dashboard 展示。</w:t>
      </w:r>
    </w:p>
    <w:p>
      <w:pPr>
        <w:spacing w:line="300" w:lineRule="auto" w:after="120"/>
        <w:ind w:firstLine="420"/>
        <w:jc w:val="both"/>
      </w:pPr>
      <w:r>
        <w:rPr>
          <w:rFonts w:ascii="宋体" w:hAnsi="宋体" w:eastAsia="宋体"/>
          <w:b w:val="0"/>
          <w:sz w:val="21"/>
        </w:rPr>
        <w:t>实验结果表明，在测试集上，分类模型 AUC 为 0.693835，Average Precision 为 0.554033，Top 5% hit rate 为 0.719721，Top 10% hit rate 为 0.661275；回归模型 MAE 为 0.001483，RMSE 为 0.002295，Pearson correlation 为 0.373039。研究型回测中，模型 BUY 信号数为 7,000，precision_on_triggered_signals 为 0.584857，但扣除手续费与滑点后的平均收益为 -0.002299，说明当前模型虽然能在一定程度上识别短期上冲样本，但不能直接作为真实交易策略使用。实时记录方面，当前 live_metrics.json 中 SETTLED 记录为 29 条，PENDING 记录为 1 条，signal_hit_rate 为 0.448276。实时样本量仍较小，该指标主要说明系统闭环可以运行，不能代表长期稳定效果。</w:t>
      </w:r>
    </w:p>
    <w:p>
      <w:pPr>
        <w:spacing w:line="300" w:lineRule="auto" w:after="120"/>
        <w:ind w:firstLine="420"/>
        <w:jc w:val="both"/>
      </w:pPr>
      <w:r>
        <w:rPr>
          <w:rFonts w:ascii="宋体" w:hAnsi="宋体" w:eastAsia="宋体"/>
          <w:b w:val="0"/>
          <w:sz w:val="21"/>
        </w:rPr>
        <w:t>关键词：BTCUSDT；5分钟K线；LightGBM；短期最高涨幅预测；实时信号看板；延迟结算</w:t>
      </w:r>
    </w:p>
    <w:p>
      <w:pPr>
        <w:pStyle w:val="Heading1"/>
      </w:pPr>
      <w:r>
        <w:rPr>
          <w:rFonts w:ascii="黑体" w:hAnsi="黑体" w:eastAsia="黑体"/>
          <w:b/>
          <w:color w:val="1F4E79"/>
          <w:sz w:val="30"/>
        </w:rPr>
        <w:t>1 项目背景</w:t>
      </w:r>
    </w:p>
    <w:p>
      <w:pPr>
        <w:pStyle w:val="Heading2"/>
      </w:pPr>
      <w:r>
        <w:rPr>
          <w:rFonts w:ascii="黑体" w:hAnsi="黑体" w:eastAsia="黑体"/>
          <w:b/>
          <w:color w:val="1F4E79"/>
          <w:sz w:val="26"/>
        </w:rPr>
        <w:t>1.1 研究背景</w:t>
      </w:r>
    </w:p>
    <w:p>
      <w:pPr>
        <w:spacing w:line="300" w:lineRule="auto" w:after="120"/>
        <w:ind w:firstLine="420"/>
        <w:jc w:val="both"/>
      </w:pPr>
      <w:r>
        <w:rPr>
          <w:rFonts w:ascii="宋体" w:hAnsi="宋体" w:eastAsia="宋体"/>
          <w:b w:val="0"/>
          <w:sz w:val="21"/>
        </w:rPr>
        <w:t>金融时间序列数据具有高频、噪声强、非平稳和受外部因素影响明显等特点。与传统日线行情相比，5分钟K线能够更细粒度地反映短周期价格变化、成交量变化和局部波动结构。BTCUSDT 作为交易活跃的数字货币交易对，具有数据连续性强、样本规模较大和行情波动充分等特征，因此适合用于大数据技术实践中的数据处理、特征构造、模型训练、评估分析与系统展示。</w:t>
      </w:r>
    </w:p>
    <w:p>
      <w:pPr>
        <w:spacing w:line="300" w:lineRule="auto" w:after="120"/>
        <w:ind w:firstLine="420"/>
        <w:jc w:val="both"/>
      </w:pPr>
      <w:r>
        <w:rPr>
          <w:rFonts w:ascii="宋体" w:hAnsi="宋体" w:eastAsia="宋体"/>
          <w:b w:val="0"/>
          <w:sz w:val="21"/>
        </w:rPr>
        <w:t>本项目关注的不是“未来30分钟后的收盘价是多少”，而是“未来30分钟内是否出现过相对当前收盘价足够明显的最高价上冲”。这种建模方式更接近短周期机会识别问题，也更适合使用未来窗口内最高价构造监督学习标签。但需要强调的是，未来最高价上冲被预测命中，并不等价于真实交易盈利，因为真实交易还受到入场价格、成交滑点、手续费、退出规则和风险控制等因素影响。</w:t>
      </w:r>
    </w:p>
    <w:p>
      <w:pPr>
        <w:pStyle w:val="Heading2"/>
      </w:pPr>
      <w:r>
        <w:rPr>
          <w:rFonts w:ascii="黑体" w:hAnsi="黑体" w:eastAsia="黑体"/>
          <w:b/>
          <w:color w:val="1F4E79"/>
          <w:sz w:val="26"/>
        </w:rPr>
        <w:t>1.2 项目目的</w:t>
      </w:r>
    </w:p>
    <w:p>
      <w:pPr>
        <w:spacing w:line="300" w:lineRule="auto" w:after="120"/>
        <w:ind w:firstLine="420"/>
        <w:jc w:val="both"/>
      </w:pPr>
      <w:r>
        <w:rPr>
          <w:rFonts w:ascii="宋体" w:hAnsi="宋体" w:eastAsia="宋体"/>
          <w:b w:val="0"/>
          <w:sz w:val="21"/>
        </w:rPr>
        <w:t>本项目的目的不是接入真实交易，也不是证明模型可以直接产生交易收益，而是基于 BTCUSDT 5分钟K线构建一个研究型短期最高涨幅预测系统，用于研究未来30分钟内是否存在上冲机会，并通过前端看板展示模型预测、实时记录和预测结算结果。</w:t>
      </w:r>
    </w:p>
    <w:p>
      <w:pPr>
        <w:spacing w:line="300" w:lineRule="auto" w:after="120"/>
        <w:ind w:firstLine="420"/>
        <w:jc w:val="both"/>
      </w:pPr>
      <w:r>
        <w:rPr>
          <w:rFonts w:ascii="宋体" w:hAnsi="宋体" w:eastAsia="宋体"/>
          <w:b w:val="0"/>
          <w:sz w:val="21"/>
        </w:rPr>
        <w:t>具体目标包括：完成 BTCUSDT 5分钟K线数据处理与质量审计；构造 future_max_return_30m 和 y_buy 标签；基于历史K线生成不含未来信息的特征；训练 LightGBM 分类模型和回归模型；生成 BUY、WATCH 和 NO_BUY 研究信号；在测试集上进行分类、回归和研究型回测评估；实现实时预测记录写入、PENDING/SETTLED 延迟结算和实时指标统计；构建 Dashboard 展示当前行情、最新信号、最近实时预测记录和实时准确率。</w:t>
      </w:r>
    </w:p>
    <w:p>
      <w:pPr>
        <w:pStyle w:val="Heading2"/>
      </w:pPr>
      <w:r>
        <w:rPr>
          <w:rFonts w:ascii="黑体" w:hAnsi="黑体" w:eastAsia="黑体"/>
          <w:b/>
          <w:color w:val="1F4E79"/>
          <w:sz w:val="26"/>
        </w:rPr>
        <w:t>1.3 研究内容</w:t>
      </w:r>
    </w:p>
    <w:p>
      <w:pPr>
        <w:spacing w:line="300" w:lineRule="auto" w:after="120"/>
        <w:ind w:firstLine="420"/>
        <w:jc w:val="both"/>
      </w:pPr>
      <w:r>
        <w:rPr>
          <w:rFonts w:ascii="宋体" w:hAnsi="宋体" w:eastAsia="宋体"/>
          <w:b w:val="0"/>
          <w:sz w:val="21"/>
        </w:rPr>
        <w:t>本文围绕“数据、模型、系统、部署”四个层面展开。数据层面完成原始K线字段分析、缺失值检查、时间连续性检查、价格合理性检查和标签分布分析。模型层面采用双模型结构，分类模型用于估计未来上冲事件发生概率，回归模型用于估计未来最大上冲幅度。系统层面实现从实时K线获取、特征生成、模型推理、信号生成、记录持久化到延迟结算的闭环。部署层面设计本地部署、Docker 部署和 GitHub + Vercel 前端部署方案，并明确 Vercel 只用于前端 Dashboard 部署，不承担模型训练和长期运行的实时预测后端。</w:t>
      </w:r>
    </w:p>
    <w:p>
      <w:pPr>
        <w:pStyle w:val="Heading2"/>
      </w:pPr>
      <w:r>
        <w:rPr>
          <w:rFonts w:ascii="黑体" w:hAnsi="黑体" w:eastAsia="黑体"/>
          <w:b/>
          <w:color w:val="1F4E79"/>
          <w:sz w:val="26"/>
        </w:rPr>
        <w:t>1.4 本文主要工作</w:t>
      </w:r>
    </w:p>
    <w:p>
      <w:pPr>
        <w:spacing w:line="300" w:lineRule="auto" w:after="120"/>
        <w:ind w:firstLine="420"/>
        <w:jc w:val="both"/>
      </w:pPr>
      <w:r>
        <w:rPr>
          <w:rFonts w:ascii="宋体" w:hAnsi="宋体" w:eastAsia="宋体"/>
          <w:b w:val="0"/>
          <w:sz w:val="21"/>
        </w:rPr>
        <w:t>本文主要工作包括：第一，基于项目真实数据文件和训练产物完成数据探索与指标整理；第二，说明 future_max_return_30m 和 y_buy 的构造方式，并解释未来30分钟窗口的含义；第三，介绍 LightGBM 双模型结构及 BUY、WATCH、NO_BUY 信号规则；第四，基于 training_metrics.json、backtest_report.json、live_metrics.json 和 CSV 输出文件整理测试集指标、回测结果和实时结算指标；第五，结合项目真实文件路径说明标签、特征、模型、信号、后端 API、实时结算、前端 Dashboard 和测试模块；第六，给出课程展示阶段可执行的 GitHub + Vercel 前端部署方案。</w:t>
      </w:r>
    </w:p>
    <w:p>
      <w:pPr>
        <w:pStyle w:val="Heading1"/>
      </w:pPr>
      <w:r>
        <w:rPr>
          <w:rFonts w:ascii="黑体" w:hAnsi="黑体" w:eastAsia="黑体"/>
          <w:b/>
          <w:color w:val="1F4E79"/>
          <w:sz w:val="30"/>
        </w:rPr>
        <w:t>2 数据探索</w:t>
      </w:r>
    </w:p>
    <w:p>
      <w:pPr>
        <w:pStyle w:val="Heading2"/>
      </w:pPr>
      <w:r>
        <w:rPr>
          <w:rFonts w:ascii="黑体" w:hAnsi="黑体" w:eastAsia="黑体"/>
          <w:b/>
          <w:color w:val="1F4E79"/>
          <w:sz w:val="26"/>
        </w:rPr>
        <w:t>2.1 数据来源与字段说明</w:t>
      </w:r>
    </w:p>
    <w:p>
      <w:pPr>
        <w:spacing w:line="300" w:lineRule="auto" w:after="120"/>
        <w:ind w:firstLine="420"/>
        <w:jc w:val="both"/>
      </w:pPr>
      <w:r>
        <w:rPr>
          <w:rFonts w:ascii="宋体" w:hAnsi="宋体" w:eastAsia="宋体"/>
          <w:b w:val="0"/>
          <w:sz w:val="21"/>
        </w:rPr>
        <w:t>本项目使用 BTCUSDT 5分钟K线数据，数据路径由 config/training.yaml 指定为 数据集/BTCUSDT_5m_2y.csv。training_metrics.json 记录的原始数据规模为 210,241 行，时间范围为 2024-07-06 06:25:00 至 2026-07-06 06:25:00。</w:t>
      </w:r>
    </w:p>
    <w:p>
      <w:pPr>
        <w:spacing w:line="300" w:lineRule="auto" w:after="120"/>
        <w:ind w:firstLine="0"/>
        <w:jc w:val="center"/>
      </w:pPr>
      <w:r>
        <w:rPr>
          <w:rFonts w:ascii="宋体" w:hAnsi="宋体" w:eastAsia="宋体"/>
          <w:b/>
          <w:sz w:val="21"/>
        </w:rPr>
        <w:t>表1 原始K线数据字段说明</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start w:w="100" w:type="dxa"/>
              <w:bottom w:w="80" w:type="dxa"/>
              <w:end w:w="100" w:type="dxa"/>
            </w:tcMar>
            <w:shd w:fill="D9EAF7"/>
          </w:tcPr>
          <w:p>
            <w:pPr>
              <w:jc w:val="center"/>
            </w:pPr>
            <w:r>
              <w:rPr>
                <w:rFonts w:ascii="宋体" w:hAnsi="宋体" w:eastAsia="宋体"/>
                <w:b/>
                <w:sz w:val="18"/>
              </w:rPr>
              <w:t>字段名</w:t>
            </w:r>
          </w:p>
        </w:tc>
        <w:tc>
          <w:tcPr>
            <w:tcW w:type="dxa" w:w="3024"/>
            <w:vAlign w:val="center"/>
            <w:tcMar>
              <w:top w:w="80" w:type="dxa"/>
              <w:start w:w="100" w:type="dxa"/>
              <w:bottom w:w="80" w:type="dxa"/>
              <w:end w:w="100" w:type="dxa"/>
            </w:tcMar>
            <w:shd w:fill="D9EAF7"/>
          </w:tcPr>
          <w:p>
            <w:pPr>
              <w:jc w:val="center"/>
            </w:pPr>
            <w:r>
              <w:rPr>
                <w:rFonts w:ascii="宋体" w:hAnsi="宋体" w:eastAsia="宋体"/>
                <w:b/>
                <w:sz w:val="18"/>
              </w:rPr>
              <w:t>含义</w:t>
            </w:r>
          </w:p>
        </w:tc>
        <w:tc>
          <w:tcPr>
            <w:tcW w:type="dxa" w:w="3024"/>
            <w:vAlign w:val="center"/>
            <w:tcMar>
              <w:top w:w="80" w:type="dxa"/>
              <w:start w:w="100" w:type="dxa"/>
              <w:bottom w:w="80" w:type="dxa"/>
              <w:end w:w="100" w:type="dxa"/>
            </w:tcMar>
            <w:shd w:fill="D9EAF7"/>
          </w:tcPr>
          <w:p>
            <w:pPr>
              <w:jc w:val="center"/>
            </w:pPr>
            <w:r>
              <w:rPr>
                <w:rFonts w:ascii="宋体" w:hAnsi="宋体" w:eastAsia="宋体"/>
                <w:b/>
                <w:sz w:val="18"/>
              </w:rPr>
              <w:t>数据类型记录</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open_time</w:t>
            </w:r>
          </w:p>
        </w:tc>
        <w:tc>
          <w:tcPr>
            <w:tcW w:type="dxa" w:w="3024"/>
            <w:vAlign w:val="center"/>
            <w:tcMar>
              <w:top w:w="80" w:type="dxa"/>
              <w:start w:w="100" w:type="dxa"/>
              <w:bottom w:w="80" w:type="dxa"/>
              <w:end w:w="100" w:type="dxa"/>
            </w:tcMar>
          </w:tcPr>
          <w:p>
            <w:pPr>
              <w:jc w:val="left"/>
            </w:pPr>
            <w:r>
              <w:rPr>
                <w:rFonts w:ascii="宋体" w:hAnsi="宋体" w:eastAsia="宋体"/>
                <w:b w:val="0"/>
                <w:sz w:val="18"/>
              </w:rPr>
              <w:t>K线开盘时间</w:t>
            </w:r>
          </w:p>
        </w:tc>
        <w:tc>
          <w:tcPr>
            <w:tcW w:type="dxa" w:w="3024"/>
            <w:vAlign w:val="center"/>
            <w:tcMar>
              <w:top w:w="80" w:type="dxa"/>
              <w:start w:w="100" w:type="dxa"/>
              <w:bottom w:w="80" w:type="dxa"/>
              <w:end w:w="100" w:type="dxa"/>
            </w:tcMar>
          </w:tcPr>
          <w:p>
            <w:pPr>
              <w:jc w:val="left"/>
            </w:pPr>
            <w:r>
              <w:rPr>
                <w:rFonts w:ascii="宋体" w:hAnsi="宋体" w:eastAsia="宋体"/>
                <w:b w:val="0"/>
                <w:sz w:val="18"/>
              </w:rPr>
              <w:t>datetime64[us]</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open</w:t>
            </w:r>
          </w:p>
        </w:tc>
        <w:tc>
          <w:tcPr>
            <w:tcW w:type="dxa" w:w="3024"/>
            <w:vAlign w:val="center"/>
            <w:tcMar>
              <w:top w:w="80" w:type="dxa"/>
              <w:start w:w="100" w:type="dxa"/>
              <w:bottom w:w="80" w:type="dxa"/>
              <w:end w:w="100" w:type="dxa"/>
            </w:tcMar>
          </w:tcPr>
          <w:p>
            <w:pPr>
              <w:jc w:val="left"/>
            </w:pPr>
            <w:r>
              <w:rPr>
                <w:rFonts w:ascii="宋体" w:hAnsi="宋体" w:eastAsia="宋体"/>
                <w:b w:val="0"/>
                <w:sz w:val="18"/>
              </w:rPr>
              <w:t>当前5分钟K线开盘价</w:t>
            </w:r>
          </w:p>
        </w:tc>
        <w:tc>
          <w:tcPr>
            <w:tcW w:type="dxa" w:w="3024"/>
            <w:vAlign w:val="center"/>
            <w:tcMar>
              <w:top w:w="80" w:type="dxa"/>
              <w:start w:w="100" w:type="dxa"/>
              <w:bottom w:w="80" w:type="dxa"/>
              <w:end w:w="100" w:type="dxa"/>
            </w:tcMar>
          </w:tcPr>
          <w:p>
            <w:pPr>
              <w:jc w:val="left"/>
            </w:pPr>
            <w:r>
              <w:rPr>
                <w:rFonts w:ascii="宋体" w:hAnsi="宋体" w:eastAsia="宋体"/>
                <w:b w:val="0"/>
                <w:sz w:val="18"/>
              </w:rPr>
              <w:t>float64</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high</w:t>
            </w:r>
          </w:p>
        </w:tc>
        <w:tc>
          <w:tcPr>
            <w:tcW w:type="dxa" w:w="3024"/>
            <w:vAlign w:val="center"/>
            <w:tcMar>
              <w:top w:w="80" w:type="dxa"/>
              <w:start w:w="100" w:type="dxa"/>
              <w:bottom w:w="80" w:type="dxa"/>
              <w:end w:w="100" w:type="dxa"/>
            </w:tcMar>
          </w:tcPr>
          <w:p>
            <w:pPr>
              <w:jc w:val="left"/>
            </w:pPr>
            <w:r>
              <w:rPr>
                <w:rFonts w:ascii="宋体" w:hAnsi="宋体" w:eastAsia="宋体"/>
                <w:b w:val="0"/>
                <w:sz w:val="18"/>
              </w:rPr>
              <w:t>当前5分钟K线最高价</w:t>
            </w:r>
          </w:p>
        </w:tc>
        <w:tc>
          <w:tcPr>
            <w:tcW w:type="dxa" w:w="3024"/>
            <w:vAlign w:val="center"/>
            <w:tcMar>
              <w:top w:w="80" w:type="dxa"/>
              <w:start w:w="100" w:type="dxa"/>
              <w:bottom w:w="80" w:type="dxa"/>
              <w:end w:w="100" w:type="dxa"/>
            </w:tcMar>
          </w:tcPr>
          <w:p>
            <w:pPr>
              <w:jc w:val="left"/>
            </w:pPr>
            <w:r>
              <w:rPr>
                <w:rFonts w:ascii="宋体" w:hAnsi="宋体" w:eastAsia="宋体"/>
                <w:b w:val="0"/>
                <w:sz w:val="18"/>
              </w:rPr>
              <w:t>float64</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low</w:t>
            </w:r>
          </w:p>
        </w:tc>
        <w:tc>
          <w:tcPr>
            <w:tcW w:type="dxa" w:w="3024"/>
            <w:vAlign w:val="center"/>
            <w:tcMar>
              <w:top w:w="80" w:type="dxa"/>
              <w:start w:w="100" w:type="dxa"/>
              <w:bottom w:w="80" w:type="dxa"/>
              <w:end w:w="100" w:type="dxa"/>
            </w:tcMar>
          </w:tcPr>
          <w:p>
            <w:pPr>
              <w:jc w:val="left"/>
            </w:pPr>
            <w:r>
              <w:rPr>
                <w:rFonts w:ascii="宋体" w:hAnsi="宋体" w:eastAsia="宋体"/>
                <w:b w:val="0"/>
                <w:sz w:val="18"/>
              </w:rPr>
              <w:t>当前5分钟K线最低价</w:t>
            </w:r>
          </w:p>
        </w:tc>
        <w:tc>
          <w:tcPr>
            <w:tcW w:type="dxa" w:w="3024"/>
            <w:vAlign w:val="center"/>
            <w:tcMar>
              <w:top w:w="80" w:type="dxa"/>
              <w:start w:w="100" w:type="dxa"/>
              <w:bottom w:w="80" w:type="dxa"/>
              <w:end w:w="100" w:type="dxa"/>
            </w:tcMar>
          </w:tcPr>
          <w:p>
            <w:pPr>
              <w:jc w:val="left"/>
            </w:pPr>
            <w:r>
              <w:rPr>
                <w:rFonts w:ascii="宋体" w:hAnsi="宋体" w:eastAsia="宋体"/>
                <w:b w:val="0"/>
                <w:sz w:val="18"/>
              </w:rPr>
              <w:t>float64</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close</w:t>
            </w:r>
          </w:p>
        </w:tc>
        <w:tc>
          <w:tcPr>
            <w:tcW w:type="dxa" w:w="3024"/>
            <w:vAlign w:val="center"/>
            <w:tcMar>
              <w:top w:w="80" w:type="dxa"/>
              <w:start w:w="100" w:type="dxa"/>
              <w:bottom w:w="80" w:type="dxa"/>
              <w:end w:w="100" w:type="dxa"/>
            </w:tcMar>
          </w:tcPr>
          <w:p>
            <w:pPr>
              <w:jc w:val="left"/>
            </w:pPr>
            <w:r>
              <w:rPr>
                <w:rFonts w:ascii="宋体" w:hAnsi="宋体" w:eastAsia="宋体"/>
                <w:b w:val="0"/>
                <w:sz w:val="18"/>
              </w:rPr>
              <w:t>当前5分钟K线收盘价</w:t>
            </w:r>
          </w:p>
        </w:tc>
        <w:tc>
          <w:tcPr>
            <w:tcW w:type="dxa" w:w="3024"/>
            <w:vAlign w:val="center"/>
            <w:tcMar>
              <w:top w:w="80" w:type="dxa"/>
              <w:start w:w="100" w:type="dxa"/>
              <w:bottom w:w="80" w:type="dxa"/>
              <w:end w:w="100" w:type="dxa"/>
            </w:tcMar>
          </w:tcPr>
          <w:p>
            <w:pPr>
              <w:jc w:val="left"/>
            </w:pPr>
            <w:r>
              <w:rPr>
                <w:rFonts w:ascii="宋体" w:hAnsi="宋体" w:eastAsia="宋体"/>
                <w:b w:val="0"/>
                <w:sz w:val="18"/>
              </w:rPr>
              <w:t>float64</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volume</w:t>
            </w:r>
          </w:p>
        </w:tc>
        <w:tc>
          <w:tcPr>
            <w:tcW w:type="dxa" w:w="3024"/>
            <w:vAlign w:val="center"/>
            <w:tcMar>
              <w:top w:w="80" w:type="dxa"/>
              <w:start w:w="100" w:type="dxa"/>
              <w:bottom w:w="80" w:type="dxa"/>
              <w:end w:w="100" w:type="dxa"/>
            </w:tcMar>
          </w:tcPr>
          <w:p>
            <w:pPr>
              <w:jc w:val="left"/>
            </w:pPr>
            <w:r>
              <w:rPr>
                <w:rFonts w:ascii="宋体" w:hAnsi="宋体" w:eastAsia="宋体"/>
                <w:b w:val="0"/>
                <w:sz w:val="18"/>
              </w:rPr>
              <w:t>成交量</w:t>
            </w:r>
          </w:p>
        </w:tc>
        <w:tc>
          <w:tcPr>
            <w:tcW w:type="dxa" w:w="3024"/>
            <w:vAlign w:val="center"/>
            <w:tcMar>
              <w:top w:w="80" w:type="dxa"/>
              <w:start w:w="100" w:type="dxa"/>
              <w:bottom w:w="80" w:type="dxa"/>
              <w:end w:w="100" w:type="dxa"/>
            </w:tcMar>
          </w:tcPr>
          <w:p>
            <w:pPr>
              <w:jc w:val="left"/>
            </w:pPr>
            <w:r>
              <w:rPr>
                <w:rFonts w:ascii="宋体" w:hAnsi="宋体" w:eastAsia="宋体"/>
                <w:b w:val="0"/>
                <w:sz w:val="18"/>
              </w:rPr>
              <w:t>float64</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close_time</w:t>
            </w:r>
          </w:p>
        </w:tc>
        <w:tc>
          <w:tcPr>
            <w:tcW w:type="dxa" w:w="3024"/>
            <w:vAlign w:val="center"/>
            <w:tcMar>
              <w:top w:w="80" w:type="dxa"/>
              <w:start w:w="100" w:type="dxa"/>
              <w:bottom w:w="80" w:type="dxa"/>
              <w:end w:w="100" w:type="dxa"/>
            </w:tcMar>
          </w:tcPr>
          <w:p>
            <w:pPr>
              <w:jc w:val="left"/>
            </w:pPr>
            <w:r>
              <w:rPr>
                <w:rFonts w:ascii="宋体" w:hAnsi="宋体" w:eastAsia="宋体"/>
                <w:b w:val="0"/>
                <w:sz w:val="18"/>
              </w:rPr>
              <w:t>K线收盘时间戳</w:t>
            </w:r>
          </w:p>
        </w:tc>
        <w:tc>
          <w:tcPr>
            <w:tcW w:type="dxa" w:w="3024"/>
            <w:vAlign w:val="center"/>
            <w:tcMar>
              <w:top w:w="80" w:type="dxa"/>
              <w:start w:w="100" w:type="dxa"/>
              <w:bottom w:w="80" w:type="dxa"/>
              <w:end w:w="100" w:type="dxa"/>
            </w:tcMar>
          </w:tcPr>
          <w:p>
            <w:pPr>
              <w:jc w:val="left"/>
            </w:pPr>
            <w:r>
              <w:rPr>
                <w:rFonts w:ascii="宋体" w:hAnsi="宋体" w:eastAsia="宋体"/>
                <w:b w:val="0"/>
                <w:sz w:val="18"/>
              </w:rPr>
              <w:t>int64</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quote_volume</w:t>
            </w:r>
          </w:p>
        </w:tc>
        <w:tc>
          <w:tcPr>
            <w:tcW w:type="dxa" w:w="3024"/>
            <w:vAlign w:val="center"/>
            <w:tcMar>
              <w:top w:w="80" w:type="dxa"/>
              <w:start w:w="100" w:type="dxa"/>
              <w:bottom w:w="80" w:type="dxa"/>
              <w:end w:w="100" w:type="dxa"/>
            </w:tcMar>
          </w:tcPr>
          <w:p>
            <w:pPr>
              <w:jc w:val="left"/>
            </w:pPr>
            <w:r>
              <w:rPr>
                <w:rFonts w:ascii="宋体" w:hAnsi="宋体" w:eastAsia="宋体"/>
                <w:b w:val="0"/>
                <w:sz w:val="18"/>
              </w:rPr>
              <w:t>计价资产成交额</w:t>
            </w:r>
          </w:p>
        </w:tc>
        <w:tc>
          <w:tcPr>
            <w:tcW w:type="dxa" w:w="3024"/>
            <w:vAlign w:val="center"/>
            <w:tcMar>
              <w:top w:w="80" w:type="dxa"/>
              <w:start w:w="100" w:type="dxa"/>
              <w:bottom w:w="80" w:type="dxa"/>
              <w:end w:w="100" w:type="dxa"/>
            </w:tcMar>
          </w:tcPr>
          <w:p>
            <w:pPr>
              <w:jc w:val="left"/>
            </w:pPr>
            <w:r>
              <w:rPr>
                <w:rFonts w:ascii="宋体" w:hAnsi="宋体" w:eastAsia="宋体"/>
                <w:b w:val="0"/>
                <w:sz w:val="18"/>
              </w:rPr>
              <w:t>float64</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trade_count</w:t>
            </w:r>
          </w:p>
        </w:tc>
        <w:tc>
          <w:tcPr>
            <w:tcW w:type="dxa" w:w="3024"/>
            <w:vAlign w:val="center"/>
            <w:tcMar>
              <w:top w:w="80" w:type="dxa"/>
              <w:start w:w="100" w:type="dxa"/>
              <w:bottom w:w="80" w:type="dxa"/>
              <w:end w:w="100" w:type="dxa"/>
            </w:tcMar>
          </w:tcPr>
          <w:p>
            <w:pPr>
              <w:jc w:val="left"/>
            </w:pPr>
            <w:r>
              <w:rPr>
                <w:rFonts w:ascii="宋体" w:hAnsi="宋体" w:eastAsia="宋体"/>
                <w:b w:val="0"/>
                <w:sz w:val="18"/>
              </w:rPr>
              <w:t>成交笔数</w:t>
            </w:r>
          </w:p>
        </w:tc>
        <w:tc>
          <w:tcPr>
            <w:tcW w:type="dxa" w:w="3024"/>
            <w:vAlign w:val="center"/>
            <w:tcMar>
              <w:top w:w="80" w:type="dxa"/>
              <w:start w:w="100" w:type="dxa"/>
              <w:bottom w:w="80" w:type="dxa"/>
              <w:end w:w="100" w:type="dxa"/>
            </w:tcMar>
          </w:tcPr>
          <w:p>
            <w:pPr>
              <w:jc w:val="left"/>
            </w:pPr>
            <w:r>
              <w:rPr>
                <w:rFonts w:ascii="宋体" w:hAnsi="宋体" w:eastAsia="宋体"/>
                <w:b w:val="0"/>
                <w:sz w:val="18"/>
              </w:rPr>
              <w:t>int64</w:t>
            </w:r>
          </w:p>
        </w:tc>
      </w:tr>
    </w:tbl>
    <w:p/>
    <w:p>
      <w:pPr>
        <w:pStyle w:val="Heading2"/>
      </w:pPr>
      <w:r>
        <w:rPr>
          <w:rFonts w:ascii="黑体" w:hAnsi="黑体" w:eastAsia="黑体"/>
          <w:b/>
          <w:color w:val="1F4E79"/>
          <w:sz w:val="26"/>
        </w:rPr>
        <w:t>2.2 数据质量审计</w:t>
      </w:r>
    </w:p>
    <w:p>
      <w:pPr>
        <w:spacing w:line="300" w:lineRule="auto" w:after="120"/>
        <w:ind w:firstLine="420"/>
        <w:jc w:val="both"/>
      </w:pPr>
      <w:r>
        <w:rPr>
          <w:rFonts w:ascii="宋体" w:hAnsi="宋体" w:eastAsia="宋体"/>
          <w:b w:val="0"/>
          <w:sz w:val="21"/>
        </w:rPr>
        <w:t>数据质量审计结果来自 runs/latest/reports/training_metrics.json。审计内容覆盖行数、字段、缺失值、重复时间、5分钟间隔连续性、价格关系合理性和极端收益率检查。</w:t>
      </w:r>
    </w:p>
    <w:p>
      <w:pPr>
        <w:spacing w:line="300" w:lineRule="auto" w:after="120"/>
        <w:ind w:firstLine="0"/>
        <w:jc w:val="center"/>
      </w:pPr>
      <w:r>
        <w:rPr>
          <w:rFonts w:ascii="宋体" w:hAnsi="宋体" w:eastAsia="宋体"/>
          <w:b/>
          <w:sz w:val="21"/>
        </w:rPr>
        <w:t>表2 数据质量审计结果</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vAlign w:val="center"/>
            <w:tcMar>
              <w:top w:w="80" w:type="dxa"/>
              <w:start w:w="100" w:type="dxa"/>
              <w:bottom w:w="80" w:type="dxa"/>
              <w:end w:w="100" w:type="dxa"/>
            </w:tcMar>
            <w:shd w:fill="D9EAF7"/>
          </w:tcPr>
          <w:p>
            <w:pPr>
              <w:jc w:val="center"/>
            </w:pPr>
            <w:r>
              <w:rPr>
                <w:rFonts w:ascii="宋体" w:hAnsi="宋体" w:eastAsia="宋体"/>
                <w:b/>
                <w:sz w:val="18"/>
              </w:rPr>
              <w:t>审计项目</w:t>
            </w:r>
          </w:p>
        </w:tc>
        <w:tc>
          <w:tcPr>
            <w:tcW w:type="dxa" w:w="4535"/>
            <w:vAlign w:val="center"/>
            <w:tcMar>
              <w:top w:w="80" w:type="dxa"/>
              <w:start w:w="100" w:type="dxa"/>
              <w:bottom w:w="80" w:type="dxa"/>
              <w:end w:w="100" w:type="dxa"/>
            </w:tcMar>
            <w:shd w:fill="D9EAF7"/>
          </w:tcPr>
          <w:p>
            <w:pPr>
              <w:jc w:val="center"/>
            </w:pPr>
            <w:r>
              <w:rPr>
                <w:rFonts w:ascii="宋体" w:hAnsi="宋体" w:eastAsia="宋体"/>
                <w:b/>
                <w:sz w:val="18"/>
              </w:rPr>
              <w:t>结果</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原始记录数</w:t>
            </w:r>
          </w:p>
        </w:tc>
        <w:tc>
          <w:tcPr>
            <w:tcW w:type="dxa" w:w="4535"/>
            <w:vAlign w:val="center"/>
            <w:tcMar>
              <w:top w:w="80" w:type="dxa"/>
              <w:start w:w="100" w:type="dxa"/>
              <w:bottom w:w="80" w:type="dxa"/>
              <w:end w:w="100" w:type="dxa"/>
            </w:tcMar>
          </w:tcPr>
          <w:p>
            <w:pPr>
              <w:jc w:val="left"/>
            </w:pPr>
            <w:r>
              <w:rPr>
                <w:rFonts w:ascii="宋体" w:hAnsi="宋体" w:eastAsia="宋体"/>
                <w:b w:val="0"/>
                <w:sz w:val="18"/>
              </w:rPr>
              <w:t>210,241</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字段数</w:t>
            </w:r>
          </w:p>
        </w:tc>
        <w:tc>
          <w:tcPr>
            <w:tcW w:type="dxa" w:w="4535"/>
            <w:vAlign w:val="center"/>
            <w:tcMar>
              <w:top w:w="80" w:type="dxa"/>
              <w:start w:w="100" w:type="dxa"/>
              <w:bottom w:w="80" w:type="dxa"/>
              <w:end w:w="100" w:type="dxa"/>
            </w:tcMar>
          </w:tcPr>
          <w:p>
            <w:pPr>
              <w:jc w:val="left"/>
            </w:pPr>
            <w:r>
              <w:rPr>
                <w:rFonts w:ascii="宋体" w:hAnsi="宋体" w:eastAsia="宋体"/>
                <w:b w:val="0"/>
                <w:sz w:val="18"/>
              </w:rPr>
              <w:t>9</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时间起点</w:t>
            </w:r>
          </w:p>
        </w:tc>
        <w:tc>
          <w:tcPr>
            <w:tcW w:type="dxa" w:w="4535"/>
            <w:vAlign w:val="center"/>
            <w:tcMar>
              <w:top w:w="80" w:type="dxa"/>
              <w:start w:w="100" w:type="dxa"/>
              <w:bottom w:w="80" w:type="dxa"/>
              <w:end w:w="100" w:type="dxa"/>
            </w:tcMar>
          </w:tcPr>
          <w:p>
            <w:pPr>
              <w:jc w:val="left"/>
            </w:pPr>
            <w:r>
              <w:rPr>
                <w:rFonts w:ascii="宋体" w:hAnsi="宋体" w:eastAsia="宋体"/>
                <w:b w:val="0"/>
                <w:sz w:val="18"/>
              </w:rPr>
              <w:t>2024-07-06 06:25:00</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时间终点</w:t>
            </w:r>
          </w:p>
        </w:tc>
        <w:tc>
          <w:tcPr>
            <w:tcW w:type="dxa" w:w="4535"/>
            <w:vAlign w:val="center"/>
            <w:tcMar>
              <w:top w:w="80" w:type="dxa"/>
              <w:start w:w="100" w:type="dxa"/>
              <w:bottom w:w="80" w:type="dxa"/>
              <w:end w:w="100" w:type="dxa"/>
            </w:tcMar>
          </w:tcPr>
          <w:p>
            <w:pPr>
              <w:jc w:val="left"/>
            </w:pPr>
            <w:r>
              <w:rPr>
                <w:rFonts w:ascii="宋体" w:hAnsi="宋体" w:eastAsia="宋体"/>
                <w:b w:val="0"/>
                <w:sz w:val="18"/>
              </w:rPr>
              <w:t>2026-07-06 06:25:00</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缺失值记录</w:t>
            </w:r>
          </w:p>
        </w:tc>
        <w:tc>
          <w:tcPr>
            <w:tcW w:type="dxa" w:w="4535"/>
            <w:vAlign w:val="center"/>
            <w:tcMar>
              <w:top w:w="80" w:type="dxa"/>
              <w:start w:w="100" w:type="dxa"/>
              <w:bottom w:w="80" w:type="dxa"/>
              <w:end w:w="100" w:type="dxa"/>
            </w:tcMar>
          </w:tcPr>
          <w:p>
            <w:pPr>
              <w:jc w:val="left"/>
            </w:pPr>
            <w:r>
              <w:rPr>
                <w:rFonts w:ascii="宋体" w:hAnsi="宋体" w:eastAsia="宋体"/>
                <w:b w:val="0"/>
                <w:sz w:val="18"/>
              </w:rPr>
              <w:t>0</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duplicate_open_time</w:t>
            </w:r>
          </w:p>
        </w:tc>
        <w:tc>
          <w:tcPr>
            <w:tcW w:type="dxa" w:w="4535"/>
            <w:vAlign w:val="center"/>
            <w:tcMar>
              <w:top w:w="80" w:type="dxa"/>
              <w:start w:w="100" w:type="dxa"/>
              <w:bottom w:w="80" w:type="dxa"/>
              <w:end w:w="100" w:type="dxa"/>
            </w:tcMar>
          </w:tcPr>
          <w:p>
            <w:pPr>
              <w:jc w:val="left"/>
            </w:pPr>
            <w:r>
              <w:rPr>
                <w:rFonts w:ascii="宋体" w:hAnsi="宋体" w:eastAsia="宋体"/>
                <w:b w:val="0"/>
                <w:sz w:val="18"/>
              </w:rPr>
              <w:t>0</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non_5m_intervals</w:t>
            </w:r>
          </w:p>
        </w:tc>
        <w:tc>
          <w:tcPr>
            <w:tcW w:type="dxa" w:w="4535"/>
            <w:vAlign w:val="center"/>
            <w:tcMar>
              <w:top w:w="80" w:type="dxa"/>
              <w:start w:w="100" w:type="dxa"/>
              <w:bottom w:w="80" w:type="dxa"/>
              <w:end w:w="100" w:type="dxa"/>
            </w:tcMar>
          </w:tcPr>
          <w:p>
            <w:pPr>
              <w:jc w:val="left"/>
            </w:pPr>
            <w:r>
              <w:rPr>
                <w:rFonts w:ascii="宋体" w:hAnsi="宋体" w:eastAsia="宋体"/>
                <w:b w:val="0"/>
                <w:sz w:val="18"/>
              </w:rPr>
              <w:t>0</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estimated_missing_bars</w:t>
            </w:r>
          </w:p>
        </w:tc>
        <w:tc>
          <w:tcPr>
            <w:tcW w:type="dxa" w:w="4535"/>
            <w:vAlign w:val="center"/>
            <w:tcMar>
              <w:top w:w="80" w:type="dxa"/>
              <w:start w:w="100" w:type="dxa"/>
              <w:bottom w:w="80" w:type="dxa"/>
              <w:end w:w="100" w:type="dxa"/>
            </w:tcMar>
          </w:tcPr>
          <w:p>
            <w:pPr>
              <w:jc w:val="left"/>
            </w:pPr>
            <w:r>
              <w:rPr>
                <w:rFonts w:ascii="宋体" w:hAnsi="宋体" w:eastAsia="宋体"/>
                <w:b w:val="0"/>
                <w:sz w:val="18"/>
              </w:rPr>
              <w:t>0</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high &lt; low</w:t>
            </w:r>
          </w:p>
        </w:tc>
        <w:tc>
          <w:tcPr>
            <w:tcW w:type="dxa" w:w="4535"/>
            <w:vAlign w:val="center"/>
            <w:tcMar>
              <w:top w:w="80" w:type="dxa"/>
              <w:start w:w="100" w:type="dxa"/>
              <w:bottom w:w="80" w:type="dxa"/>
              <w:end w:w="100" w:type="dxa"/>
            </w:tcMar>
          </w:tcPr>
          <w:p>
            <w:pPr>
              <w:jc w:val="left"/>
            </w:pPr>
            <w:r>
              <w:rPr>
                <w:rFonts w:ascii="宋体" w:hAnsi="宋体" w:eastAsia="宋体"/>
                <w:b w:val="0"/>
                <w:sz w:val="18"/>
              </w:rPr>
              <w:t>0</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high &lt; open</w:t>
            </w:r>
          </w:p>
        </w:tc>
        <w:tc>
          <w:tcPr>
            <w:tcW w:type="dxa" w:w="4535"/>
            <w:vAlign w:val="center"/>
            <w:tcMar>
              <w:top w:w="80" w:type="dxa"/>
              <w:start w:w="100" w:type="dxa"/>
              <w:bottom w:w="80" w:type="dxa"/>
              <w:end w:w="100" w:type="dxa"/>
            </w:tcMar>
          </w:tcPr>
          <w:p>
            <w:pPr>
              <w:jc w:val="left"/>
            </w:pPr>
            <w:r>
              <w:rPr>
                <w:rFonts w:ascii="宋体" w:hAnsi="宋体" w:eastAsia="宋体"/>
                <w:b w:val="0"/>
                <w:sz w:val="18"/>
              </w:rPr>
              <w:t>0</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high &lt; close</w:t>
            </w:r>
          </w:p>
        </w:tc>
        <w:tc>
          <w:tcPr>
            <w:tcW w:type="dxa" w:w="4535"/>
            <w:vAlign w:val="center"/>
            <w:tcMar>
              <w:top w:w="80" w:type="dxa"/>
              <w:start w:w="100" w:type="dxa"/>
              <w:bottom w:w="80" w:type="dxa"/>
              <w:end w:w="100" w:type="dxa"/>
            </w:tcMar>
          </w:tcPr>
          <w:p>
            <w:pPr>
              <w:jc w:val="left"/>
            </w:pPr>
            <w:r>
              <w:rPr>
                <w:rFonts w:ascii="宋体" w:hAnsi="宋体" w:eastAsia="宋体"/>
                <w:b w:val="0"/>
                <w:sz w:val="18"/>
              </w:rPr>
              <w:t>0</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low &gt; open</w:t>
            </w:r>
          </w:p>
        </w:tc>
        <w:tc>
          <w:tcPr>
            <w:tcW w:type="dxa" w:w="4535"/>
            <w:vAlign w:val="center"/>
            <w:tcMar>
              <w:top w:w="80" w:type="dxa"/>
              <w:start w:w="100" w:type="dxa"/>
              <w:bottom w:w="80" w:type="dxa"/>
              <w:end w:w="100" w:type="dxa"/>
            </w:tcMar>
          </w:tcPr>
          <w:p>
            <w:pPr>
              <w:jc w:val="left"/>
            </w:pPr>
            <w:r>
              <w:rPr>
                <w:rFonts w:ascii="宋体" w:hAnsi="宋体" w:eastAsia="宋体"/>
                <w:b w:val="0"/>
                <w:sz w:val="18"/>
              </w:rPr>
              <w:t>0</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low &gt; close</w:t>
            </w:r>
          </w:p>
        </w:tc>
        <w:tc>
          <w:tcPr>
            <w:tcW w:type="dxa" w:w="4535"/>
            <w:vAlign w:val="center"/>
            <w:tcMar>
              <w:top w:w="80" w:type="dxa"/>
              <w:start w:w="100" w:type="dxa"/>
              <w:bottom w:w="80" w:type="dxa"/>
              <w:end w:w="100" w:type="dxa"/>
            </w:tcMar>
          </w:tcPr>
          <w:p>
            <w:pPr>
              <w:jc w:val="left"/>
            </w:pPr>
            <w:r>
              <w:rPr>
                <w:rFonts w:ascii="宋体" w:hAnsi="宋体" w:eastAsia="宋体"/>
                <w:b w:val="0"/>
                <w:sz w:val="18"/>
              </w:rPr>
              <w:t>0</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5分钟收益率最小值</w:t>
            </w:r>
          </w:p>
        </w:tc>
        <w:tc>
          <w:tcPr>
            <w:tcW w:type="dxa" w:w="4535"/>
            <w:vAlign w:val="center"/>
            <w:tcMar>
              <w:top w:w="80" w:type="dxa"/>
              <w:start w:w="100" w:type="dxa"/>
              <w:bottom w:w="80" w:type="dxa"/>
              <w:end w:w="100" w:type="dxa"/>
            </w:tcMar>
          </w:tcPr>
          <w:p>
            <w:pPr>
              <w:jc w:val="left"/>
            </w:pPr>
            <w:r>
              <w:rPr>
                <w:rFonts w:ascii="宋体" w:hAnsi="宋体" w:eastAsia="宋体"/>
                <w:b w:val="0"/>
                <w:sz w:val="18"/>
              </w:rPr>
              <w:t>-0.07338157886293983</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5分钟收益率最大值</w:t>
            </w:r>
          </w:p>
        </w:tc>
        <w:tc>
          <w:tcPr>
            <w:tcW w:type="dxa" w:w="4535"/>
            <w:vAlign w:val="center"/>
            <w:tcMar>
              <w:top w:w="80" w:type="dxa"/>
              <w:start w:w="100" w:type="dxa"/>
              <w:bottom w:w="80" w:type="dxa"/>
              <w:end w:w="100" w:type="dxa"/>
            </w:tcMar>
          </w:tcPr>
          <w:p>
            <w:pPr>
              <w:jc w:val="left"/>
            </w:pPr>
            <w:r>
              <w:rPr>
                <w:rFonts w:ascii="宋体" w:hAnsi="宋体" w:eastAsia="宋体"/>
                <w:b w:val="0"/>
                <w:sz w:val="18"/>
              </w:rPr>
              <w:t>0.04081567095864935</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审计结论</w:t>
            </w:r>
          </w:p>
        </w:tc>
        <w:tc>
          <w:tcPr>
            <w:tcW w:type="dxa" w:w="4535"/>
            <w:vAlign w:val="center"/>
            <w:tcMar>
              <w:top w:w="80" w:type="dxa"/>
              <w:start w:w="100" w:type="dxa"/>
              <w:bottom w:w="80" w:type="dxa"/>
              <w:end w:w="100" w:type="dxa"/>
            </w:tcMar>
          </w:tcPr>
          <w:p>
            <w:pPr>
              <w:jc w:val="left"/>
            </w:pPr>
            <w:r>
              <w:rPr>
                <w:rFonts w:ascii="宋体" w:hAnsi="宋体" w:eastAsia="宋体"/>
                <w:b w:val="0"/>
                <w:sz w:val="18"/>
              </w:rPr>
              <w:t>passed = true</w:t>
            </w:r>
          </w:p>
        </w:tc>
      </w:tr>
    </w:tbl>
    <w:p/>
    <w:p>
      <w:pPr>
        <w:spacing w:line="300" w:lineRule="auto" w:after="120"/>
        <w:ind w:firstLine="420"/>
        <w:jc w:val="both"/>
      </w:pPr>
      <w:r>
        <w:rPr>
          <w:rFonts w:ascii="宋体" w:hAnsi="宋体" w:eastAsia="宋体"/>
          <w:b w:val="0"/>
          <w:sz w:val="21"/>
        </w:rPr>
        <w:t>审计结果显示，当前数据不存在缺失值、重复 open_time、非5分钟间隔和价格关系异常。审计报告中记录了极端负收益率观测值，说明短周期数据存在剧烈波动，需要在建模和评估中采用稳健、保守的解释方式。</w:t>
      </w:r>
    </w:p>
    <w:p>
      <w:pPr>
        <w:pStyle w:val="Heading2"/>
      </w:pPr>
      <w:r>
        <w:rPr>
          <w:rFonts w:ascii="黑体" w:hAnsi="黑体" w:eastAsia="黑体"/>
          <w:b/>
          <w:color w:val="1F4E79"/>
          <w:sz w:val="26"/>
        </w:rPr>
        <w:t>2.3 标签定义与标签分布</w:t>
      </w:r>
    </w:p>
    <w:p>
      <w:pPr>
        <w:spacing w:line="300" w:lineRule="auto" w:after="120"/>
        <w:ind w:firstLine="420"/>
        <w:jc w:val="both"/>
      </w:pPr>
      <w:r>
        <w:rPr>
          <w:rFonts w:ascii="宋体" w:hAnsi="宋体" w:eastAsia="宋体"/>
          <w:b w:val="0"/>
          <w:sz w:val="21"/>
        </w:rPr>
        <w:t>本项目的预测窗口为未来6根5分钟K线，即未来30分钟。由于当前K线的 high 已经在当前时刻可知，标签只使用 high[t+1] 至 high[t+6]，不包含 high[t]，从而避免把当前已发生价格信息混入未来标签。最后6行样本由于无法获得完整未来窗口，因此在标签构造后被丢弃。</w:t>
      </w:r>
    </w:p>
    <w:p>
      <w:pPr>
        <w:spacing w:line="300" w:lineRule="auto" w:after="120"/>
        <w:ind w:firstLine="420"/>
        <w:jc w:val="both"/>
      </w:pPr>
      <w:r>
        <w:rPr>
          <w:rFonts w:ascii="宋体" w:hAnsi="宋体" w:eastAsia="宋体"/>
          <w:b w:val="0"/>
          <w:sz w:val="21"/>
        </w:rPr>
        <w:t>公式（1）未来30分钟最大上冲幅度定义如下：</w:t>
      </w:r>
    </w:p>
    <w:p>
      <w:pPr>
        <w:spacing w:line="300" w:lineRule="auto" w:after="120"/>
        <w:ind w:firstLine="420"/>
        <w:jc w:val="both"/>
      </w:pPr>
      <w:r>
        <w:rPr>
          <w:rFonts w:ascii="宋体" w:hAnsi="宋体" w:eastAsia="宋体"/>
          <w:b w:val="0"/>
          <w:sz w:val="21"/>
        </w:rPr>
        <w:t>future_max_return_30m_t = max(high_{t+1}, high_{t+2}, high_{t+3}, high_{t+4}, high_{t+5}, high_{t+6}) / close_t - 1    （1）</w:t>
      </w:r>
    </w:p>
    <w:p>
      <w:pPr>
        <w:spacing w:line="300" w:lineRule="auto" w:after="120"/>
        <w:ind w:firstLine="420"/>
        <w:jc w:val="both"/>
      </w:pPr>
      <w:r>
        <w:rPr>
          <w:rFonts w:ascii="宋体" w:hAnsi="宋体" w:eastAsia="宋体"/>
          <w:b w:val="0"/>
          <w:sz w:val="21"/>
        </w:rPr>
        <w:t>公式（2）二分类标签定义如下：</w:t>
      </w:r>
    </w:p>
    <w:p>
      <w:pPr>
        <w:spacing w:line="300" w:lineRule="auto" w:after="120"/>
        <w:ind w:firstLine="420"/>
        <w:jc w:val="both"/>
      </w:pPr>
      <w:r>
        <w:rPr>
          <w:rFonts w:ascii="宋体" w:hAnsi="宋体" w:eastAsia="宋体"/>
          <w:b w:val="0"/>
          <w:sz w:val="21"/>
        </w:rPr>
        <w:t>y_buy_t = I(future_max_return_30m_t &gt; 0.002)    （2）</w:t>
      </w:r>
    </w:p>
    <w:p>
      <w:pPr>
        <w:spacing w:line="300" w:lineRule="auto" w:after="120"/>
        <w:ind w:firstLine="420"/>
        <w:jc w:val="both"/>
      </w:pPr>
      <w:r>
        <w:rPr>
          <w:rFonts w:ascii="宋体" w:hAnsi="宋体" w:eastAsia="宋体"/>
          <w:b w:val="0"/>
          <w:sz w:val="21"/>
        </w:rPr>
        <w:t>其中 0.002 表示 0.2% 的研究阈值。该阈值用于定义未来30分钟内是否出现足够幅度的最高价上冲，不等于真实交易盈利阈值。future_max_return_30m 和 y_buy 只作为标签或评估字段使用，不进入模型输入特征。</w:t>
      </w:r>
    </w:p>
    <w:p>
      <w:pPr>
        <w:spacing w:line="300" w:lineRule="auto" w:after="120"/>
        <w:ind w:firstLine="420"/>
        <w:jc w:val="both"/>
      </w:pPr>
      <w:r>
        <w:rPr>
          <w:rFonts w:ascii="宋体" w:hAnsi="宋体" w:eastAsia="宋体"/>
          <w:b w:val="0"/>
          <w:sz w:val="21"/>
        </w:rPr>
        <w:t>根据 training_metrics.json，标签构造后的 labeled_rows 为 210,235，positive_count 为 82,071，positive_rate 为 0.3903774347753704，负样本数量为 128,164。</w:t>
      </w:r>
    </w:p>
    <w:p>
      <w:pPr>
        <w:jc w:val="center"/>
      </w:pPr>
      <w:r>
        <w:drawing>
          <wp:inline xmlns:a="http://schemas.openxmlformats.org/drawingml/2006/main" xmlns:pic="http://schemas.openxmlformats.org/drawingml/2006/picture">
            <wp:extent cx="5394960" cy="2223819"/>
            <wp:docPr id="1" name="Picture 1"/>
            <wp:cNvGraphicFramePr>
              <a:graphicFrameLocks noChangeAspect="1"/>
            </wp:cNvGraphicFramePr>
            <a:graphic>
              <a:graphicData uri="http://schemas.openxmlformats.org/drawingml/2006/picture">
                <pic:pic>
                  <pic:nvPicPr>
                    <pic:cNvPr id="0" name="close_price_timeseries.png"/>
                    <pic:cNvPicPr/>
                  </pic:nvPicPr>
                  <pic:blipFill>
                    <a:blip r:embed="rId11"/>
                    <a:stretch>
                      <a:fillRect/>
                    </a:stretch>
                  </pic:blipFill>
                  <pic:spPr>
                    <a:xfrm>
                      <a:off x="0" y="0"/>
                      <a:ext cx="5394960" cy="2223819"/>
                    </a:xfrm>
                    <a:prstGeom prst="rect"/>
                  </pic:spPr>
                </pic:pic>
              </a:graphicData>
            </a:graphic>
          </wp:inline>
        </w:drawing>
      </w:r>
    </w:p>
    <w:p>
      <w:pPr>
        <w:spacing w:line="300" w:lineRule="auto" w:after="120"/>
        <w:ind w:firstLine="0"/>
        <w:jc w:val="center"/>
      </w:pPr>
      <w:r>
        <w:rPr>
          <w:rFonts w:ascii="宋体" w:hAnsi="宋体" w:eastAsia="宋体"/>
          <w:b/>
          <w:sz w:val="21"/>
        </w:rPr>
        <w:t>图1 BTCUSDT 收盘价时间序列</w:t>
      </w:r>
    </w:p>
    <w:p>
      <w:pPr>
        <w:jc w:val="center"/>
      </w:pPr>
      <w:r>
        <w:drawing>
          <wp:inline xmlns:a="http://schemas.openxmlformats.org/drawingml/2006/main" xmlns:pic="http://schemas.openxmlformats.org/drawingml/2006/picture">
            <wp:extent cx="5394960" cy="2667273"/>
            <wp:docPr id="2" name="Picture 2"/>
            <wp:cNvGraphicFramePr>
              <a:graphicFrameLocks noChangeAspect="1"/>
            </wp:cNvGraphicFramePr>
            <a:graphic>
              <a:graphicData uri="http://schemas.openxmlformats.org/drawingml/2006/picture">
                <pic:pic>
                  <pic:nvPicPr>
                    <pic:cNvPr id="0" name="return_1_distribution.png"/>
                    <pic:cNvPicPr/>
                  </pic:nvPicPr>
                  <pic:blipFill>
                    <a:blip r:embed="rId12"/>
                    <a:stretch>
                      <a:fillRect/>
                    </a:stretch>
                  </pic:blipFill>
                  <pic:spPr>
                    <a:xfrm>
                      <a:off x="0" y="0"/>
                      <a:ext cx="5394960" cy="2667273"/>
                    </a:xfrm>
                    <a:prstGeom prst="rect"/>
                  </pic:spPr>
                </pic:pic>
              </a:graphicData>
            </a:graphic>
          </wp:inline>
        </w:drawing>
      </w:r>
    </w:p>
    <w:p>
      <w:pPr>
        <w:spacing w:line="300" w:lineRule="auto" w:after="120"/>
        <w:ind w:firstLine="0"/>
        <w:jc w:val="center"/>
      </w:pPr>
      <w:r>
        <w:rPr>
          <w:rFonts w:ascii="宋体" w:hAnsi="宋体" w:eastAsia="宋体"/>
          <w:b/>
          <w:sz w:val="21"/>
        </w:rPr>
        <w:t>图2 5分钟收益率分布（0.1%～99.9%分位数截尾展示）</w:t>
      </w:r>
    </w:p>
    <w:p>
      <w:pPr>
        <w:spacing w:line="300" w:lineRule="auto" w:after="120"/>
        <w:ind w:firstLine="420"/>
        <w:jc w:val="both"/>
      </w:pPr>
      <w:r>
        <w:rPr>
          <w:rFonts w:ascii="宋体" w:hAnsi="宋体" w:eastAsia="宋体"/>
          <w:b w:val="0"/>
          <w:sz w:val="21"/>
        </w:rPr>
        <w:t>说明：图2 为 0.1%～99.9% 分位数截尾展示，极端值未删除，只是为了改善可视化效果。</w:t>
      </w:r>
    </w:p>
    <w:p>
      <w:pPr>
        <w:jc w:val="center"/>
      </w:pPr>
      <w:r>
        <w:drawing>
          <wp:inline xmlns:a="http://schemas.openxmlformats.org/drawingml/2006/main" xmlns:pic="http://schemas.openxmlformats.org/drawingml/2006/picture">
            <wp:extent cx="5394960" cy="2665744"/>
            <wp:docPr id="3" name="Picture 3"/>
            <wp:cNvGraphicFramePr>
              <a:graphicFrameLocks noChangeAspect="1"/>
            </wp:cNvGraphicFramePr>
            <a:graphic>
              <a:graphicData uri="http://schemas.openxmlformats.org/drawingml/2006/picture">
                <pic:pic>
                  <pic:nvPicPr>
                    <pic:cNvPr id="0" name="volume_distribution.png"/>
                    <pic:cNvPicPr/>
                  </pic:nvPicPr>
                  <pic:blipFill>
                    <a:blip r:embed="rId13"/>
                    <a:stretch>
                      <a:fillRect/>
                    </a:stretch>
                  </pic:blipFill>
                  <pic:spPr>
                    <a:xfrm>
                      <a:off x="0" y="0"/>
                      <a:ext cx="5394960" cy="2665744"/>
                    </a:xfrm>
                    <a:prstGeom prst="rect"/>
                  </pic:spPr>
                </pic:pic>
              </a:graphicData>
            </a:graphic>
          </wp:inline>
        </w:drawing>
      </w:r>
    </w:p>
    <w:p>
      <w:pPr>
        <w:spacing w:line="300" w:lineRule="auto" w:after="120"/>
        <w:ind w:firstLine="0"/>
        <w:jc w:val="center"/>
      </w:pPr>
      <w:r>
        <w:rPr>
          <w:rFonts w:ascii="宋体" w:hAnsi="宋体" w:eastAsia="宋体"/>
          <w:b/>
          <w:sz w:val="21"/>
        </w:rPr>
        <w:t>图3 成交量 log10 分布</w:t>
      </w:r>
    </w:p>
    <w:p>
      <w:pPr>
        <w:jc w:val="center"/>
      </w:pPr>
      <w:r>
        <w:drawing>
          <wp:inline xmlns:a="http://schemas.openxmlformats.org/drawingml/2006/main" xmlns:pic="http://schemas.openxmlformats.org/drawingml/2006/picture">
            <wp:extent cx="5394960" cy="2667273"/>
            <wp:docPr id="4" name="Picture 4"/>
            <wp:cNvGraphicFramePr>
              <a:graphicFrameLocks noChangeAspect="1"/>
            </wp:cNvGraphicFramePr>
            <a:graphic>
              <a:graphicData uri="http://schemas.openxmlformats.org/drawingml/2006/picture">
                <pic:pic>
                  <pic:nvPicPr>
                    <pic:cNvPr id="0" name="future_max_return_distribution.png"/>
                    <pic:cNvPicPr/>
                  </pic:nvPicPr>
                  <pic:blipFill>
                    <a:blip r:embed="rId14"/>
                    <a:stretch>
                      <a:fillRect/>
                    </a:stretch>
                  </pic:blipFill>
                  <pic:spPr>
                    <a:xfrm>
                      <a:off x="0" y="0"/>
                      <a:ext cx="5394960" cy="2667273"/>
                    </a:xfrm>
                    <a:prstGeom prst="rect"/>
                  </pic:spPr>
                </pic:pic>
              </a:graphicData>
            </a:graphic>
          </wp:inline>
        </w:drawing>
      </w:r>
    </w:p>
    <w:p>
      <w:pPr>
        <w:spacing w:line="300" w:lineRule="auto" w:after="120"/>
        <w:ind w:firstLine="0"/>
        <w:jc w:val="center"/>
      </w:pPr>
      <w:r>
        <w:rPr>
          <w:rFonts w:ascii="宋体" w:hAnsi="宋体" w:eastAsia="宋体"/>
          <w:b/>
          <w:sz w:val="21"/>
        </w:rPr>
        <w:t>图4 future_max_return_30m 分布</w:t>
      </w:r>
    </w:p>
    <w:p>
      <w:pPr>
        <w:jc w:val="center"/>
      </w:pPr>
      <w:r>
        <w:drawing>
          <wp:inline xmlns:a="http://schemas.openxmlformats.org/drawingml/2006/main" xmlns:pic="http://schemas.openxmlformats.org/drawingml/2006/picture">
            <wp:extent cx="5394960" cy="3334516"/>
            <wp:docPr id="5" name="Picture 5"/>
            <wp:cNvGraphicFramePr>
              <a:graphicFrameLocks noChangeAspect="1"/>
            </wp:cNvGraphicFramePr>
            <a:graphic>
              <a:graphicData uri="http://schemas.openxmlformats.org/drawingml/2006/picture">
                <pic:pic>
                  <pic:nvPicPr>
                    <pic:cNvPr id="0" name="y_buy_distribution.png"/>
                    <pic:cNvPicPr/>
                  </pic:nvPicPr>
                  <pic:blipFill>
                    <a:blip r:embed="rId15"/>
                    <a:stretch>
                      <a:fillRect/>
                    </a:stretch>
                  </pic:blipFill>
                  <pic:spPr>
                    <a:xfrm>
                      <a:off x="0" y="0"/>
                      <a:ext cx="5394960" cy="3334516"/>
                    </a:xfrm>
                    <a:prstGeom prst="rect"/>
                  </pic:spPr>
                </pic:pic>
              </a:graphicData>
            </a:graphic>
          </wp:inline>
        </w:drawing>
      </w:r>
    </w:p>
    <w:p>
      <w:pPr>
        <w:spacing w:line="300" w:lineRule="auto" w:after="120"/>
        <w:ind w:firstLine="0"/>
        <w:jc w:val="center"/>
      </w:pPr>
      <w:r>
        <w:rPr>
          <w:rFonts w:ascii="宋体" w:hAnsi="宋体" w:eastAsia="宋体"/>
          <w:b/>
          <w:sz w:val="21"/>
        </w:rPr>
        <w:t>图5 y_buy 正负样本比例</w:t>
      </w:r>
    </w:p>
    <w:p>
      <w:pPr>
        <w:pStyle w:val="Heading2"/>
      </w:pPr>
      <w:r>
        <w:rPr>
          <w:rFonts w:ascii="黑体" w:hAnsi="黑体" w:eastAsia="黑体"/>
          <w:b/>
          <w:color w:val="1F4E79"/>
          <w:sz w:val="26"/>
        </w:rPr>
        <w:t>2.4 基本数据分析</w:t>
      </w:r>
    </w:p>
    <w:p>
      <w:pPr>
        <w:spacing w:line="300" w:lineRule="auto" w:after="120"/>
        <w:ind w:firstLine="420"/>
        <w:jc w:val="both"/>
      </w:pPr>
      <w:r>
        <w:rPr>
          <w:rFonts w:ascii="宋体" w:hAnsi="宋体" w:eastAsia="宋体"/>
          <w:b w:val="0"/>
          <w:sz w:val="21"/>
        </w:rPr>
        <w:t>从收盘价时间序列可以看出，BTCUSDT 在两年样本区间内存在明显的阶段性趋势和波动切换。5分钟收益率分布集中在零附近，但存在较长尾部，反映短周期价格变化具有尖峰厚尾特征。成交量分布经过 log10 转换后仍表现出明显偏态，说明市场活跃程度在不同时间段差异较大。</w:t>
      </w:r>
    </w:p>
    <w:p>
      <w:pPr>
        <w:spacing w:line="300" w:lineRule="auto" w:after="120"/>
        <w:ind w:firstLine="420"/>
        <w:jc w:val="both"/>
      </w:pPr>
      <w:r>
        <w:rPr>
          <w:rFonts w:ascii="宋体" w:hAnsi="宋体" w:eastAsia="宋体"/>
          <w:b w:val="0"/>
          <w:sz w:val="21"/>
        </w:rPr>
        <w:t>月度正样本率反映 y_buy 在不同市场阶段的变化。training_metrics.json 中月度正样本率最低出现在 2025-09，为 0.21608796296296295；较高月份包括 2026-02，正样本率为 0.5372023809523809。该现象说明标签分布并非时间稳定，模型评估必须使用时间顺序切分，而不能随机打乱样本。</w:t>
      </w:r>
    </w:p>
    <w:p>
      <w:pPr>
        <w:jc w:val="center"/>
      </w:pPr>
      <w:r>
        <w:drawing>
          <wp:inline xmlns:a="http://schemas.openxmlformats.org/drawingml/2006/main" xmlns:pic="http://schemas.openxmlformats.org/drawingml/2006/picture">
            <wp:extent cx="5394960" cy="2229447"/>
            <wp:docPr id="6" name="Picture 6"/>
            <wp:cNvGraphicFramePr>
              <a:graphicFrameLocks noChangeAspect="1"/>
            </wp:cNvGraphicFramePr>
            <a:graphic>
              <a:graphicData uri="http://schemas.openxmlformats.org/drawingml/2006/picture">
                <pic:pic>
                  <pic:nvPicPr>
                    <pic:cNvPr id="0" name="monthly_positive_rate.png"/>
                    <pic:cNvPicPr/>
                  </pic:nvPicPr>
                  <pic:blipFill>
                    <a:blip r:embed="rId16"/>
                    <a:stretch>
                      <a:fillRect/>
                    </a:stretch>
                  </pic:blipFill>
                  <pic:spPr>
                    <a:xfrm>
                      <a:off x="0" y="0"/>
                      <a:ext cx="5394960" cy="2229447"/>
                    </a:xfrm>
                    <a:prstGeom prst="rect"/>
                  </pic:spPr>
                </pic:pic>
              </a:graphicData>
            </a:graphic>
          </wp:inline>
        </w:drawing>
      </w:r>
    </w:p>
    <w:p>
      <w:pPr>
        <w:spacing w:line="300" w:lineRule="auto" w:after="120"/>
        <w:ind w:firstLine="0"/>
        <w:jc w:val="center"/>
      </w:pPr>
      <w:r>
        <w:rPr>
          <w:rFonts w:ascii="宋体" w:hAnsi="宋体" w:eastAsia="宋体"/>
          <w:b/>
          <w:sz w:val="21"/>
        </w:rPr>
        <w:t>图6 月度正样本率变化</w:t>
      </w:r>
    </w:p>
    <w:p>
      <w:pPr>
        <w:pStyle w:val="Heading2"/>
      </w:pPr>
      <w:r>
        <w:rPr>
          <w:rFonts w:ascii="黑体" w:hAnsi="黑体" w:eastAsia="黑体"/>
          <w:b/>
          <w:color w:val="1F4E79"/>
          <w:sz w:val="26"/>
        </w:rPr>
        <w:t>2.5 特征工程与相关性分析</w:t>
      </w:r>
    </w:p>
    <w:p>
      <w:pPr>
        <w:spacing w:line="300" w:lineRule="auto" w:after="120"/>
        <w:ind w:firstLine="420"/>
        <w:jc w:val="both"/>
      </w:pPr>
      <w:r>
        <w:rPr>
          <w:rFonts w:ascii="宋体" w:hAnsi="宋体" w:eastAsia="宋体"/>
          <w:b w:val="0"/>
          <w:sz w:val="21"/>
        </w:rPr>
        <w:t>特征工程由 src/features/build_features.py 实现，所有特征均基于当前及历史K线计算，不使用未来标签字段。runs/latest/models/feature_columns.json 中记录了当前模型实际使用的 20 个特征。</w:t>
      </w:r>
    </w:p>
    <w:p>
      <w:pPr>
        <w:spacing w:line="300" w:lineRule="auto" w:after="120"/>
        <w:ind w:firstLine="0"/>
        <w:jc w:val="center"/>
      </w:pPr>
      <w:r>
        <w:rPr>
          <w:rFonts w:ascii="宋体" w:hAnsi="宋体" w:eastAsia="宋体"/>
          <w:b/>
          <w:sz w:val="21"/>
        </w:rPr>
        <w:t>表3 特征工程设计表</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start w:w="100" w:type="dxa"/>
              <w:bottom w:w="80" w:type="dxa"/>
              <w:end w:w="100" w:type="dxa"/>
            </w:tcMar>
            <w:shd w:fill="D9EAF7"/>
          </w:tcPr>
          <w:p>
            <w:pPr>
              <w:jc w:val="center"/>
            </w:pPr>
            <w:r>
              <w:rPr>
                <w:rFonts w:ascii="宋体" w:hAnsi="宋体" w:eastAsia="宋体"/>
                <w:b/>
                <w:sz w:val="18"/>
              </w:rPr>
              <w:t>特征类别</w:t>
            </w:r>
          </w:p>
        </w:tc>
        <w:tc>
          <w:tcPr>
            <w:tcW w:type="dxa" w:w="3024"/>
            <w:vAlign w:val="center"/>
            <w:tcMar>
              <w:top w:w="80" w:type="dxa"/>
              <w:start w:w="100" w:type="dxa"/>
              <w:bottom w:w="80" w:type="dxa"/>
              <w:end w:w="100" w:type="dxa"/>
            </w:tcMar>
            <w:shd w:fill="D9EAF7"/>
          </w:tcPr>
          <w:p>
            <w:pPr>
              <w:jc w:val="center"/>
            </w:pPr>
            <w:r>
              <w:rPr>
                <w:rFonts w:ascii="宋体" w:hAnsi="宋体" w:eastAsia="宋体"/>
                <w:b/>
                <w:sz w:val="18"/>
              </w:rPr>
              <w:t>特征列</w:t>
            </w:r>
          </w:p>
        </w:tc>
        <w:tc>
          <w:tcPr>
            <w:tcW w:type="dxa" w:w="3024"/>
            <w:vAlign w:val="center"/>
            <w:tcMar>
              <w:top w:w="80" w:type="dxa"/>
              <w:start w:w="100" w:type="dxa"/>
              <w:bottom w:w="80" w:type="dxa"/>
              <w:end w:w="100" w:type="dxa"/>
            </w:tcMar>
            <w:shd w:fill="D9EAF7"/>
          </w:tcPr>
          <w:p>
            <w:pPr>
              <w:jc w:val="center"/>
            </w:pPr>
            <w:r>
              <w:rPr>
                <w:rFonts w:ascii="宋体" w:hAnsi="宋体" w:eastAsia="宋体"/>
                <w:b/>
                <w:sz w:val="18"/>
              </w:rPr>
              <w:t>说明</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价格收益率特征</w:t>
            </w:r>
          </w:p>
        </w:tc>
        <w:tc>
          <w:tcPr>
            <w:tcW w:type="dxa" w:w="3024"/>
            <w:vAlign w:val="center"/>
            <w:tcMar>
              <w:top w:w="80" w:type="dxa"/>
              <w:start w:w="100" w:type="dxa"/>
              <w:bottom w:w="80" w:type="dxa"/>
              <w:end w:w="100" w:type="dxa"/>
            </w:tcMar>
          </w:tcPr>
          <w:p>
            <w:pPr>
              <w:jc w:val="left"/>
            </w:pPr>
            <w:r>
              <w:rPr>
                <w:rFonts w:ascii="宋体" w:hAnsi="宋体" w:eastAsia="宋体"/>
                <w:b w:val="0"/>
                <w:sz w:val="18"/>
              </w:rPr>
              <w:t>return_1、return_2、return_3、return_6、return_12、return_24、return_48</w:t>
            </w:r>
          </w:p>
        </w:tc>
        <w:tc>
          <w:tcPr>
            <w:tcW w:type="dxa" w:w="3024"/>
            <w:vAlign w:val="center"/>
            <w:tcMar>
              <w:top w:w="80" w:type="dxa"/>
              <w:start w:w="100" w:type="dxa"/>
              <w:bottom w:w="80" w:type="dxa"/>
              <w:end w:w="100" w:type="dxa"/>
            </w:tcMar>
          </w:tcPr>
          <w:p>
            <w:pPr>
              <w:jc w:val="left"/>
            </w:pPr>
            <w:r>
              <w:rPr>
                <w:rFonts w:ascii="宋体" w:hAnsi="宋体" w:eastAsia="宋体"/>
                <w:b w:val="0"/>
                <w:sz w:val="18"/>
              </w:rPr>
              <w:t>描述不同历史窗口的收盘价变化</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均线趋势特征</w:t>
            </w:r>
          </w:p>
        </w:tc>
        <w:tc>
          <w:tcPr>
            <w:tcW w:type="dxa" w:w="3024"/>
            <w:vAlign w:val="center"/>
            <w:tcMar>
              <w:top w:w="80" w:type="dxa"/>
              <w:start w:w="100" w:type="dxa"/>
              <w:bottom w:w="80" w:type="dxa"/>
              <w:end w:w="100" w:type="dxa"/>
            </w:tcMar>
          </w:tcPr>
          <w:p>
            <w:pPr>
              <w:jc w:val="left"/>
            </w:pPr>
            <w:r>
              <w:rPr>
                <w:rFonts w:ascii="宋体" w:hAnsi="宋体" w:eastAsia="宋体"/>
                <w:b w:val="0"/>
                <w:sz w:val="18"/>
              </w:rPr>
              <w:t>ma_5、ma_10、ma_20、ma_60</w:t>
            </w:r>
          </w:p>
        </w:tc>
        <w:tc>
          <w:tcPr>
            <w:tcW w:type="dxa" w:w="3024"/>
            <w:vAlign w:val="center"/>
            <w:tcMar>
              <w:top w:w="80" w:type="dxa"/>
              <w:start w:w="100" w:type="dxa"/>
              <w:bottom w:w="80" w:type="dxa"/>
              <w:end w:w="100" w:type="dxa"/>
            </w:tcMar>
          </w:tcPr>
          <w:p>
            <w:pPr>
              <w:jc w:val="left"/>
            </w:pPr>
            <w:r>
              <w:rPr>
                <w:rFonts w:ascii="宋体" w:hAnsi="宋体" w:eastAsia="宋体"/>
                <w:b w:val="0"/>
                <w:sz w:val="18"/>
              </w:rPr>
              <w:t>描述短中期价格趋势</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波动特征</w:t>
            </w:r>
          </w:p>
        </w:tc>
        <w:tc>
          <w:tcPr>
            <w:tcW w:type="dxa" w:w="3024"/>
            <w:vAlign w:val="center"/>
            <w:tcMar>
              <w:top w:w="80" w:type="dxa"/>
              <w:start w:w="100" w:type="dxa"/>
              <w:bottom w:w="80" w:type="dxa"/>
              <w:end w:w="100" w:type="dxa"/>
            </w:tcMar>
          </w:tcPr>
          <w:p>
            <w:pPr>
              <w:jc w:val="left"/>
            </w:pPr>
            <w:r>
              <w:rPr>
                <w:rFonts w:ascii="宋体" w:hAnsi="宋体" w:eastAsia="宋体"/>
                <w:b w:val="0"/>
                <w:sz w:val="18"/>
              </w:rPr>
              <w:t>rolling_std_12、rolling_std_24、rolling_std_48、high_low_range</w:t>
            </w:r>
          </w:p>
        </w:tc>
        <w:tc>
          <w:tcPr>
            <w:tcW w:type="dxa" w:w="3024"/>
            <w:vAlign w:val="center"/>
            <w:tcMar>
              <w:top w:w="80" w:type="dxa"/>
              <w:start w:w="100" w:type="dxa"/>
              <w:bottom w:w="80" w:type="dxa"/>
              <w:end w:w="100" w:type="dxa"/>
            </w:tcMar>
          </w:tcPr>
          <w:p>
            <w:pPr>
              <w:jc w:val="left"/>
            </w:pPr>
            <w:r>
              <w:rPr>
                <w:rFonts w:ascii="宋体" w:hAnsi="宋体" w:eastAsia="宋体"/>
                <w:b w:val="0"/>
                <w:sz w:val="18"/>
              </w:rPr>
              <w:t>描述短周期收益波动和K线振幅</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成交活跃度特征</w:t>
            </w:r>
          </w:p>
        </w:tc>
        <w:tc>
          <w:tcPr>
            <w:tcW w:type="dxa" w:w="3024"/>
            <w:vAlign w:val="center"/>
            <w:tcMar>
              <w:top w:w="80" w:type="dxa"/>
              <w:start w:w="100" w:type="dxa"/>
              <w:bottom w:w="80" w:type="dxa"/>
              <w:end w:w="100" w:type="dxa"/>
            </w:tcMar>
          </w:tcPr>
          <w:p>
            <w:pPr>
              <w:jc w:val="left"/>
            </w:pPr>
            <w:r>
              <w:rPr>
                <w:rFonts w:ascii="宋体" w:hAnsi="宋体" w:eastAsia="宋体"/>
                <w:b w:val="0"/>
                <w:sz w:val="18"/>
              </w:rPr>
              <w:t>volume_zscore_20、trade_count_change_1</w:t>
            </w:r>
          </w:p>
        </w:tc>
        <w:tc>
          <w:tcPr>
            <w:tcW w:type="dxa" w:w="3024"/>
            <w:vAlign w:val="center"/>
            <w:tcMar>
              <w:top w:w="80" w:type="dxa"/>
              <w:start w:w="100" w:type="dxa"/>
              <w:bottom w:w="80" w:type="dxa"/>
              <w:end w:w="100" w:type="dxa"/>
            </w:tcMar>
          </w:tcPr>
          <w:p>
            <w:pPr>
              <w:jc w:val="left"/>
            </w:pPr>
            <w:r>
              <w:rPr>
                <w:rFonts w:ascii="宋体" w:hAnsi="宋体" w:eastAsia="宋体"/>
                <w:b w:val="0"/>
                <w:sz w:val="18"/>
              </w:rPr>
              <w:t>描述成交量异常程度和成交笔数变化</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K线形态特征</w:t>
            </w:r>
          </w:p>
        </w:tc>
        <w:tc>
          <w:tcPr>
            <w:tcW w:type="dxa" w:w="3024"/>
            <w:vAlign w:val="center"/>
            <w:tcMar>
              <w:top w:w="80" w:type="dxa"/>
              <w:start w:w="100" w:type="dxa"/>
              <w:bottom w:w="80" w:type="dxa"/>
              <w:end w:w="100" w:type="dxa"/>
            </w:tcMar>
          </w:tcPr>
          <w:p>
            <w:pPr>
              <w:jc w:val="left"/>
            </w:pPr>
            <w:r>
              <w:rPr>
                <w:rFonts w:ascii="宋体" w:hAnsi="宋体" w:eastAsia="宋体"/>
                <w:b w:val="0"/>
                <w:sz w:val="18"/>
              </w:rPr>
              <w:t>body_ratio、upper_shadow_ratio、lower_shadow_ratio</w:t>
            </w:r>
          </w:p>
        </w:tc>
        <w:tc>
          <w:tcPr>
            <w:tcW w:type="dxa" w:w="3024"/>
            <w:vAlign w:val="center"/>
            <w:tcMar>
              <w:top w:w="80" w:type="dxa"/>
              <w:start w:w="100" w:type="dxa"/>
              <w:bottom w:w="80" w:type="dxa"/>
              <w:end w:w="100" w:type="dxa"/>
            </w:tcMar>
          </w:tcPr>
          <w:p>
            <w:pPr>
              <w:jc w:val="left"/>
            </w:pPr>
            <w:r>
              <w:rPr>
                <w:rFonts w:ascii="宋体" w:hAnsi="宋体" w:eastAsia="宋体"/>
                <w:b w:val="0"/>
                <w:sz w:val="18"/>
              </w:rPr>
              <w:t>描述实体和上下影线结构</w:t>
            </w:r>
          </w:p>
        </w:tc>
      </w:tr>
    </w:tbl>
    <w:p/>
    <w:p>
      <w:pPr>
        <w:jc w:val="center"/>
      </w:pPr>
      <w:r>
        <w:drawing>
          <wp:inline xmlns:a="http://schemas.openxmlformats.org/drawingml/2006/main" xmlns:pic="http://schemas.openxmlformats.org/drawingml/2006/picture">
            <wp:extent cx="5394960" cy="4703952"/>
            <wp:docPr id="7" name="Picture 7"/>
            <wp:cNvGraphicFramePr>
              <a:graphicFrameLocks noChangeAspect="1"/>
            </wp:cNvGraphicFramePr>
            <a:graphic>
              <a:graphicData uri="http://schemas.openxmlformats.org/drawingml/2006/picture">
                <pic:pic>
                  <pic:nvPicPr>
                    <pic:cNvPr id="0" name="feature_correlation_heatmap.png"/>
                    <pic:cNvPicPr/>
                  </pic:nvPicPr>
                  <pic:blipFill>
                    <a:blip r:embed="rId17"/>
                    <a:stretch>
                      <a:fillRect/>
                    </a:stretch>
                  </pic:blipFill>
                  <pic:spPr>
                    <a:xfrm>
                      <a:off x="0" y="0"/>
                      <a:ext cx="5394960" cy="4703952"/>
                    </a:xfrm>
                    <a:prstGeom prst="rect"/>
                  </pic:spPr>
                </pic:pic>
              </a:graphicData>
            </a:graphic>
          </wp:inline>
        </w:drawing>
      </w:r>
    </w:p>
    <w:p>
      <w:pPr>
        <w:spacing w:line="300" w:lineRule="auto" w:after="120"/>
        <w:ind w:firstLine="0"/>
        <w:jc w:val="center"/>
      </w:pPr>
      <w:r>
        <w:rPr>
          <w:rFonts w:ascii="宋体" w:hAnsi="宋体" w:eastAsia="宋体"/>
          <w:b/>
          <w:sz w:val="21"/>
        </w:rPr>
        <w:t>图7 特征相关性热力图</w:t>
      </w:r>
    </w:p>
    <w:p>
      <w:pPr>
        <w:spacing w:line="300" w:lineRule="auto" w:after="120"/>
        <w:ind w:firstLine="420"/>
        <w:jc w:val="both"/>
      </w:pPr>
      <w:r>
        <w:rPr>
          <w:rFonts w:ascii="宋体" w:hAnsi="宋体" w:eastAsia="宋体"/>
          <w:b w:val="0"/>
          <w:sz w:val="21"/>
        </w:rPr>
        <w:t>相关性热力图用于观察特征之间及特征与标签分析字段之间的线性相关程度。需要说明的是，Pearson 相关性只表示线性关系，不代表因果关系；future_max_return_30m 和 y_buy 仅用于标签分析和评估解释，不进入模型输入；ma_5、ma_10、ma_20、ma_60 等均线特征之间高度相关，说明均线特征存在一定冗余；Pearson 相关性不能替代 LightGBM feature importance，最终特征贡献仍需结合树模型的特征重要性和验证集、测试集表现综合判断。</w:t>
      </w:r>
    </w:p>
    <w:p>
      <w:pPr>
        <w:pStyle w:val="Heading1"/>
      </w:pPr>
      <w:r>
        <w:rPr>
          <w:rFonts w:ascii="黑体" w:hAnsi="黑体" w:eastAsia="黑体"/>
          <w:b/>
          <w:color w:val="1F4E79"/>
          <w:sz w:val="30"/>
        </w:rPr>
        <w:t>3 模型设计</w:t>
      </w:r>
    </w:p>
    <w:p>
      <w:pPr>
        <w:pStyle w:val="Heading2"/>
      </w:pPr>
      <w:r>
        <w:rPr>
          <w:rFonts w:ascii="黑体" w:hAnsi="黑体" w:eastAsia="黑体"/>
          <w:b/>
          <w:color w:val="1F4E79"/>
          <w:sz w:val="26"/>
        </w:rPr>
        <w:t>3.1 问题建模</w:t>
      </w:r>
    </w:p>
    <w:p>
      <w:pPr>
        <w:spacing w:line="300" w:lineRule="auto" w:after="120"/>
        <w:ind w:firstLine="420"/>
        <w:jc w:val="both"/>
      </w:pPr>
      <w:r>
        <w:rPr>
          <w:rFonts w:ascii="宋体" w:hAnsi="宋体" w:eastAsia="宋体"/>
          <w:b w:val="0"/>
          <w:sz w:val="21"/>
        </w:rPr>
        <w:t>本项目将短期最高涨幅预测拆分为两个监督学习问题。</w:t>
      </w:r>
    </w:p>
    <w:p>
      <w:pPr>
        <w:spacing w:line="300" w:lineRule="auto" w:after="120"/>
        <w:ind w:firstLine="420"/>
        <w:jc w:val="both"/>
      </w:pPr>
      <w:r>
        <w:rPr>
          <w:rFonts w:ascii="宋体" w:hAnsi="宋体" w:eastAsia="宋体"/>
          <w:b w:val="0"/>
          <w:sz w:val="21"/>
        </w:rPr>
        <w:t>1. 二分类问题：判断未来30分钟内最大上冲幅度是否超过 0.2%，目标变量为 y_buy，模型输出 buy_probability。</w:t>
      </w:r>
    </w:p>
    <w:p>
      <w:pPr>
        <w:spacing w:line="300" w:lineRule="auto" w:after="120"/>
        <w:ind w:firstLine="420"/>
        <w:jc w:val="both"/>
      </w:pPr>
      <w:r>
        <w:rPr>
          <w:rFonts w:ascii="宋体" w:hAnsi="宋体" w:eastAsia="宋体"/>
          <w:b w:val="0"/>
          <w:sz w:val="21"/>
        </w:rPr>
        <w:t>2. 回归问题：估计 future_max_return_30m 的连续值，目标变量为未来30分钟最大涨幅，模型输出 predicted_max_return。</w:t>
      </w:r>
    </w:p>
    <w:p>
      <w:pPr>
        <w:spacing w:line="300" w:lineRule="auto" w:after="120"/>
        <w:ind w:firstLine="420"/>
        <w:jc w:val="both"/>
      </w:pPr>
      <w:r>
        <w:rPr>
          <w:rFonts w:ascii="宋体" w:hAnsi="宋体" w:eastAsia="宋体"/>
          <w:b w:val="0"/>
          <w:sz w:val="21"/>
        </w:rPr>
        <w:t>这种建模方式将“是否存在上冲机会”和“上冲幅度可能有多大”分开处理，有助于信号规则同时考虑概率置信度和空间大小。需要说明的是，分类命中率衡量的是未来30分钟最大上冲事件预测是否命中，回归误差衡量的是 predicted_max_return 与 actual future max return 的偏差，二者都不等同于实际交易收益。</w:t>
      </w:r>
    </w:p>
    <w:p>
      <w:pPr>
        <w:pStyle w:val="Heading2"/>
      </w:pPr>
      <w:r>
        <w:rPr>
          <w:rFonts w:ascii="黑体" w:hAnsi="黑体" w:eastAsia="黑体"/>
          <w:b/>
          <w:color w:val="1F4E79"/>
          <w:sz w:val="26"/>
        </w:rPr>
        <w:t>3.2 特征工程设计</w:t>
      </w:r>
    </w:p>
    <w:p>
      <w:pPr>
        <w:spacing w:line="300" w:lineRule="auto" w:after="120"/>
        <w:ind w:firstLine="420"/>
        <w:jc w:val="both"/>
      </w:pPr>
      <w:r>
        <w:rPr>
          <w:rFonts w:ascii="宋体" w:hAnsi="宋体" w:eastAsia="宋体"/>
          <w:b w:val="0"/>
          <w:sz w:val="21"/>
        </w:rPr>
        <w:t>特征工程遵循严格的时间因果约束，即第 t 根K线的特征只能由第 t 根及其之前的历史K线计算。src/features/build_features.py 中显式维护 FORBIDDEN_FEATURE_COLUMNS，禁止 future_max_return_30m、future_min_return_30m、future_close_return_30m、y_buy、signal、buy_probability 和 predicted_max_return 等目标或预测字段进入输入特征。</w:t>
      </w:r>
    </w:p>
    <w:p>
      <w:pPr>
        <w:spacing w:line="300" w:lineRule="auto" w:after="120"/>
        <w:ind w:firstLine="420"/>
        <w:jc w:val="both"/>
      </w:pPr>
      <w:r>
        <w:rPr>
          <w:rFonts w:ascii="宋体" w:hAnsi="宋体" w:eastAsia="宋体"/>
          <w:b w:val="0"/>
          <w:sz w:val="21"/>
        </w:rPr>
        <w:t>特征构造后，缺少完整历史窗口的早期样本会被删除。training_metrics.json 记录 rows_after_feature_dropna 为 210,176，feature_count 为 20。</w:t>
      </w:r>
    </w:p>
    <w:p>
      <w:pPr>
        <w:pStyle w:val="Heading2"/>
      </w:pPr>
      <w:r>
        <w:rPr>
          <w:rFonts w:ascii="黑体" w:hAnsi="黑体" w:eastAsia="黑体"/>
          <w:b/>
          <w:color w:val="1F4E79"/>
          <w:sz w:val="26"/>
        </w:rPr>
        <w:t>3.3 LightGBM 算法原理</w:t>
      </w:r>
    </w:p>
    <w:p>
      <w:pPr>
        <w:spacing w:line="300" w:lineRule="auto" w:after="120"/>
        <w:ind w:firstLine="420"/>
        <w:jc w:val="both"/>
      </w:pPr>
      <w:r>
        <w:rPr>
          <w:rFonts w:ascii="宋体" w:hAnsi="宋体" w:eastAsia="宋体"/>
          <w:b w:val="0"/>
          <w:sz w:val="21"/>
        </w:rPr>
        <w:t>LightGBM 属于梯度提升决策树 GBDT 系列算法。GBDT 的基本思想是通过多轮弱学习器逐步拟合前一轮模型的残差或负梯度，使多个决策树以加法模型形式共同完成预测。对于结构化表格数据，GBDT 类模型通常能够较好处理非线性关系、特征交互和不同量纲特征。</w:t>
      </w:r>
    </w:p>
    <w:p>
      <w:pPr>
        <w:spacing w:line="300" w:lineRule="auto" w:after="120"/>
        <w:ind w:firstLine="420"/>
        <w:jc w:val="both"/>
      </w:pPr>
      <w:r>
        <w:rPr>
          <w:rFonts w:ascii="宋体" w:hAnsi="宋体" w:eastAsia="宋体"/>
          <w:b w:val="0"/>
          <w:sz w:val="21"/>
        </w:rPr>
        <w:t>LightGBM 在 GBDT 基础上采用直方图算法、叶子优先生长等机制，能够提升训练效率并降低内存消耗。当前项目数据规模为 20 万级K线样本，特征为结构化历史统计特征，因此 LightGBM 比 LSTM、Transformer 等深度模型更适合作为第一版工程落地模型。深度学习模型可以作为后续研究方向，但不应在没有稳定基线和充分对比实验前替代当前主模型。</w:t>
      </w:r>
    </w:p>
    <w:p>
      <w:pPr>
        <w:pStyle w:val="Heading2"/>
      </w:pPr>
      <w:r>
        <w:rPr>
          <w:rFonts w:ascii="黑体" w:hAnsi="黑体" w:eastAsia="黑体"/>
          <w:b/>
          <w:color w:val="1F4E79"/>
          <w:sz w:val="26"/>
        </w:rPr>
        <w:t>3.4 双模型结构设计</w:t>
      </w:r>
    </w:p>
    <w:p>
      <w:pPr>
        <w:spacing w:line="300" w:lineRule="auto" w:after="120"/>
        <w:ind w:firstLine="420"/>
        <w:jc w:val="both"/>
      </w:pPr>
      <w:r>
        <w:rPr>
          <w:rFonts w:ascii="宋体" w:hAnsi="宋体" w:eastAsia="宋体"/>
          <w:b w:val="0"/>
          <w:sz w:val="21"/>
        </w:rPr>
        <w:t>单一分类模型能够给出未来上冲事件的概率，但不能直接估计未来最大涨幅空间；单一回归模型能够给出涨幅预测值，但缺少事件发生置信度表达。因此，本项目采用 LightGBMClassifier 与 LightGBMRegressor 的双模型结构。</w:t>
      </w:r>
    </w:p>
    <w:p>
      <w:pPr>
        <w:spacing w:line="300" w:lineRule="auto" w:after="120"/>
        <w:ind w:firstLine="420"/>
        <w:jc w:val="both"/>
      </w:pPr>
      <w:r>
        <w:rPr>
          <w:rFonts w:ascii="宋体" w:hAnsi="宋体" w:eastAsia="宋体"/>
          <w:b w:val="0"/>
          <w:sz w:val="21"/>
        </w:rPr>
        <w:t>分类模型以 y_buy 为目标，输出 buy_probability；回归模型以 future_max_return_30m 为目标，输出 predicted_max_return。最终信号由两个输出共同决定，从而避免仅凭概率或仅凭幅度作出信号判断。</w:t>
      </w:r>
    </w:p>
    <w:p>
      <w:pPr>
        <w:jc w:val="center"/>
      </w:pPr>
      <w:r>
        <w:drawing>
          <wp:inline xmlns:a="http://schemas.openxmlformats.org/drawingml/2006/main" xmlns:pic="http://schemas.openxmlformats.org/drawingml/2006/picture">
            <wp:extent cx="5394960" cy="2676061"/>
            <wp:docPr id="8" name="Picture 8"/>
            <wp:cNvGraphicFramePr>
              <a:graphicFrameLocks noChangeAspect="1"/>
            </wp:cNvGraphicFramePr>
            <a:graphic>
              <a:graphicData uri="http://schemas.openxmlformats.org/drawingml/2006/picture">
                <pic:pic>
                  <pic:nvPicPr>
                    <pic:cNvPr id="0" name="lightgbm_dual_model_structure.png"/>
                    <pic:cNvPicPr/>
                  </pic:nvPicPr>
                  <pic:blipFill>
                    <a:blip r:embed="rId18"/>
                    <a:stretch>
                      <a:fillRect/>
                    </a:stretch>
                  </pic:blipFill>
                  <pic:spPr>
                    <a:xfrm>
                      <a:off x="0" y="0"/>
                      <a:ext cx="5394960" cy="2676061"/>
                    </a:xfrm>
                    <a:prstGeom prst="rect"/>
                  </pic:spPr>
                </pic:pic>
              </a:graphicData>
            </a:graphic>
          </wp:inline>
        </w:drawing>
      </w:r>
    </w:p>
    <w:p>
      <w:pPr>
        <w:spacing w:line="300" w:lineRule="auto" w:after="120"/>
        <w:ind w:firstLine="0"/>
        <w:jc w:val="center"/>
      </w:pPr>
      <w:r>
        <w:rPr>
          <w:rFonts w:ascii="宋体" w:hAnsi="宋体" w:eastAsia="宋体"/>
          <w:b/>
          <w:sz w:val="21"/>
        </w:rPr>
        <w:t>图8 LightGBM 双模型结构图</w:t>
      </w:r>
    </w:p>
    <w:p>
      <w:pPr>
        <w:pStyle w:val="Heading2"/>
      </w:pPr>
      <w:r>
        <w:rPr>
          <w:rFonts w:ascii="黑体" w:hAnsi="黑体" w:eastAsia="黑体"/>
          <w:b/>
          <w:color w:val="1F4E79"/>
          <w:sz w:val="26"/>
        </w:rPr>
        <w:t>3.5 信号生成规则</w:t>
      </w:r>
    </w:p>
    <w:p>
      <w:pPr>
        <w:spacing w:line="300" w:lineRule="auto" w:after="120"/>
        <w:ind w:firstLine="420"/>
        <w:jc w:val="both"/>
      </w:pPr>
      <w:r>
        <w:rPr>
          <w:rFonts w:ascii="宋体" w:hAnsi="宋体" w:eastAsia="宋体"/>
          <w:b w:val="0"/>
          <w:sz w:val="21"/>
        </w:rPr>
        <w:t>信号生成规则由 src/signals/signal_engine.py 实现，阈值来自 config/training.yaml 和 model_metadata.json。当前项目规则如下：</w:t>
      </w:r>
    </w:p>
    <w:p>
      <w:pPr>
        <w:spacing w:line="300" w:lineRule="auto" w:after="120"/>
        <w:ind w:firstLine="420"/>
        <w:jc w:val="both"/>
      </w:pPr>
      <w:r>
        <w:rPr>
          <w:rFonts w:ascii="宋体" w:hAnsi="宋体" w:eastAsia="宋体"/>
          <w:b w:val="0"/>
          <w:sz w:val="21"/>
        </w:rPr>
        <w:t>公式（3）当 buy_probability &gt;= 0.62 且 predicted_max_return &gt;= 0.0025 时，signal = BUY。</w:t>
      </w:r>
    </w:p>
    <w:p>
      <w:pPr>
        <w:spacing w:line="300" w:lineRule="auto" w:after="120"/>
        <w:ind w:firstLine="420"/>
        <w:jc w:val="both"/>
      </w:pPr>
      <w:r>
        <w:rPr>
          <w:rFonts w:ascii="宋体" w:hAnsi="宋体" w:eastAsia="宋体"/>
          <w:b w:val="0"/>
          <w:sz w:val="21"/>
        </w:rPr>
        <w:t>公式（4）当 buy_probability &gt;= 0.55 且 predicted_max_return &gt;= 0.0015，且不满足 BUY 条件时，signal = WATCH。</w:t>
      </w:r>
    </w:p>
    <w:p>
      <w:pPr>
        <w:spacing w:line="300" w:lineRule="auto" w:after="120"/>
        <w:ind w:firstLine="420"/>
        <w:jc w:val="both"/>
      </w:pPr>
      <w:r>
        <w:rPr>
          <w:rFonts w:ascii="宋体" w:hAnsi="宋体" w:eastAsia="宋体"/>
          <w:b w:val="0"/>
          <w:sz w:val="21"/>
        </w:rPr>
        <w:t>公式（5）其他情况下，signal = NO_BUY。</w:t>
      </w:r>
    </w:p>
    <w:p>
      <w:pPr>
        <w:spacing w:line="300" w:lineRule="auto" w:after="120"/>
        <w:ind w:firstLine="420"/>
        <w:jc w:val="both"/>
      </w:pPr>
      <w:r>
        <w:rPr>
          <w:rFonts w:ascii="宋体" w:hAnsi="宋体" w:eastAsia="宋体"/>
          <w:b w:val="0"/>
          <w:sz w:val="21"/>
        </w:rPr>
        <w:t>BUY 命中率表示未来30分钟最大上冲预测命中率，不等于交易盈利率。预测未来30分钟最大上冲成功，也不等于持有30分钟后盈利。真实交易结果还取决于入场、退出、手续费、滑点和风险控制规则。</w:t>
      </w:r>
    </w:p>
    <w:p>
      <w:pPr>
        <w:pStyle w:val="Heading2"/>
      </w:pPr>
      <w:r>
        <w:rPr>
          <w:rFonts w:ascii="黑体" w:hAnsi="黑体" w:eastAsia="黑体"/>
          <w:b/>
          <w:color w:val="1F4E79"/>
          <w:sz w:val="26"/>
        </w:rPr>
        <w:t>3.6 模型训练与推理流程</w:t>
      </w:r>
    </w:p>
    <w:p>
      <w:pPr>
        <w:spacing w:line="300" w:lineRule="auto" w:after="120"/>
        <w:ind w:firstLine="420"/>
        <w:jc w:val="both"/>
      </w:pPr>
      <w:r>
        <w:rPr>
          <w:rFonts w:ascii="宋体" w:hAnsi="宋体" w:eastAsia="宋体"/>
          <w:b w:val="0"/>
          <w:sz w:val="21"/>
        </w:rPr>
        <w:t>训练流程使用时间顺序切分，train、valid、test 分别占 70%、15%、15%，并通过 gap=6 降低相邻切分边界的标签窗口泄漏风险。训练阶段保存模型文件、特征列、模型元数据、测试集预测和训练报告。推理阶段读取 feature_columns.json 保证特征顺序一致，加载 buy_classifier.txt 与 return_regressor.txt，输出预测概率和预测最大涨幅，再交由信号规则生成研究信号。</w:t>
      </w:r>
    </w:p>
    <w:p>
      <w:pPr>
        <w:jc w:val="center"/>
      </w:pPr>
      <w:r>
        <w:drawing>
          <wp:inline xmlns:a="http://schemas.openxmlformats.org/drawingml/2006/main" xmlns:pic="http://schemas.openxmlformats.org/drawingml/2006/picture">
            <wp:extent cx="5394960" cy="1681676"/>
            <wp:docPr id="9" name="Picture 9"/>
            <wp:cNvGraphicFramePr>
              <a:graphicFrameLocks noChangeAspect="1"/>
            </wp:cNvGraphicFramePr>
            <a:graphic>
              <a:graphicData uri="http://schemas.openxmlformats.org/drawingml/2006/picture">
                <pic:pic>
                  <pic:nvPicPr>
                    <pic:cNvPr id="0" name="time_split_chart.png"/>
                    <pic:cNvPicPr/>
                  </pic:nvPicPr>
                  <pic:blipFill>
                    <a:blip r:embed="rId19"/>
                    <a:stretch>
                      <a:fillRect/>
                    </a:stretch>
                  </pic:blipFill>
                  <pic:spPr>
                    <a:xfrm>
                      <a:off x="0" y="0"/>
                      <a:ext cx="5394960" cy="1681676"/>
                    </a:xfrm>
                    <a:prstGeom prst="rect"/>
                  </pic:spPr>
                </pic:pic>
              </a:graphicData>
            </a:graphic>
          </wp:inline>
        </w:drawing>
      </w:r>
    </w:p>
    <w:p>
      <w:pPr>
        <w:spacing w:line="300" w:lineRule="auto" w:after="120"/>
        <w:ind w:firstLine="0"/>
        <w:jc w:val="center"/>
      </w:pPr>
      <w:r>
        <w:rPr>
          <w:rFonts w:ascii="宋体" w:hAnsi="宋体" w:eastAsia="宋体"/>
          <w:b/>
          <w:sz w:val="21"/>
        </w:rPr>
        <w:t>图9 训练/验证/测试时间切分图</w:t>
      </w:r>
    </w:p>
    <w:p>
      <w:pPr>
        <w:spacing w:line="300" w:lineRule="auto" w:after="120"/>
        <w:ind w:firstLine="420"/>
        <w:jc w:val="both"/>
      </w:pPr>
      <w:r>
        <w:rPr>
          <w:rFonts w:ascii="宋体" w:hAnsi="宋体" w:eastAsia="宋体"/>
          <w:b w:val="0"/>
          <w:sz w:val="21"/>
        </w:rPr>
        <w:t>说明：图9 中训练集、验证集和测试集严格按时间顺序切分，且配置 gap=6。由于标签窗口为未来6根5分钟K线，gap=6 用于降低切分边界附近未来窗口重叠带来的泄漏风险。</w:t>
      </w:r>
    </w:p>
    <w:p>
      <w:pPr>
        <w:jc w:val="center"/>
      </w:pPr>
      <w:r>
        <w:drawing>
          <wp:inline xmlns:a="http://schemas.openxmlformats.org/drawingml/2006/main" xmlns:pic="http://schemas.openxmlformats.org/drawingml/2006/picture">
            <wp:extent cx="5394960" cy="2725712"/>
            <wp:docPr id="10" name="Picture 10"/>
            <wp:cNvGraphicFramePr>
              <a:graphicFrameLocks noChangeAspect="1"/>
            </wp:cNvGraphicFramePr>
            <a:graphic>
              <a:graphicData uri="http://schemas.openxmlformats.org/drawingml/2006/picture">
                <pic:pic>
                  <pic:nvPicPr>
                    <pic:cNvPr id="0" name="model_training_flow.png"/>
                    <pic:cNvPicPr/>
                  </pic:nvPicPr>
                  <pic:blipFill>
                    <a:blip r:embed="rId20"/>
                    <a:stretch>
                      <a:fillRect/>
                    </a:stretch>
                  </pic:blipFill>
                  <pic:spPr>
                    <a:xfrm>
                      <a:off x="0" y="0"/>
                      <a:ext cx="5394960" cy="2725712"/>
                    </a:xfrm>
                    <a:prstGeom prst="rect"/>
                  </pic:spPr>
                </pic:pic>
              </a:graphicData>
            </a:graphic>
          </wp:inline>
        </w:drawing>
      </w:r>
    </w:p>
    <w:p>
      <w:pPr>
        <w:spacing w:line="300" w:lineRule="auto" w:after="120"/>
        <w:ind w:firstLine="0"/>
        <w:jc w:val="center"/>
      </w:pPr>
      <w:r>
        <w:rPr>
          <w:rFonts w:ascii="宋体" w:hAnsi="宋体" w:eastAsia="宋体"/>
          <w:b/>
          <w:sz w:val="21"/>
        </w:rPr>
        <w:t>图10 模型训练流程图</w:t>
      </w:r>
    </w:p>
    <w:p>
      <w:pPr>
        <w:pStyle w:val="Heading1"/>
      </w:pPr>
      <w:r>
        <w:rPr>
          <w:rFonts w:ascii="黑体" w:hAnsi="黑体" w:eastAsia="黑体"/>
          <w:b/>
          <w:color w:val="1F4E79"/>
          <w:sz w:val="30"/>
        </w:rPr>
        <w:t>4 实验分析与结果讨论</w:t>
      </w:r>
    </w:p>
    <w:p>
      <w:pPr>
        <w:pStyle w:val="Heading2"/>
      </w:pPr>
      <w:r>
        <w:rPr>
          <w:rFonts w:ascii="黑体" w:hAnsi="黑体" w:eastAsia="黑体"/>
          <w:b/>
          <w:color w:val="1F4E79"/>
          <w:sz w:val="26"/>
        </w:rPr>
        <w:t>4.1 实验设置</w:t>
      </w:r>
    </w:p>
    <w:p>
      <w:pPr>
        <w:spacing w:line="300" w:lineRule="auto" w:after="120"/>
        <w:ind w:firstLine="420"/>
        <w:jc w:val="both"/>
      </w:pPr>
      <w:r>
        <w:rPr>
          <w:rFonts w:ascii="宋体" w:hAnsi="宋体" w:eastAsia="宋体"/>
          <w:b w:val="0"/>
          <w:sz w:val="21"/>
        </w:rPr>
        <w:t>实验配置来自 config/training.yaml 与 training_metrics.json。随机种子为 42，标签窗口 horizon 为 6，upside_threshold 为 0.002。训练集、验证集和测试集按时间顺序切分，不进行随机打乱。训练集共 147,123 行，时间范围为 2024-07-06 11:20:00 至 2025-11-29 07:30:00；验证集共 31,520 行，时间范围为 2025-11-29 08:05:00 至 2026-03-18 18:40:00；测试集共 31,521 行，时间范围为 2026-03-18 19:15:00 至 2026-07-06 05:55:00。</w:t>
      </w:r>
    </w:p>
    <w:p>
      <w:pPr>
        <w:spacing w:line="300" w:lineRule="auto" w:after="120"/>
        <w:ind w:firstLine="420"/>
        <w:jc w:val="both"/>
      </w:pPr>
      <w:r>
        <w:rPr>
          <w:rFonts w:ascii="宋体" w:hAnsi="宋体" w:eastAsia="宋体"/>
          <w:b w:val="0"/>
          <w:sz w:val="21"/>
        </w:rPr>
        <w:t>分类模型参数包括 objective=binary、n_estimators=500、learning_rate=0.03、num_leaves=31、subsample=0.8、colsample_bytree=0.8、reg_alpha=0.1、reg_lambda=0.1、class_weight=balanced。回归模型参数包括 objective=regression、n_estimators=500、learning_rate=0.03、num_leaves=31、subsample=0.8、colsample_bytree=0.8、reg_alpha=0.1 和 reg_lambda=0.1。</w:t>
      </w:r>
    </w:p>
    <w:p>
      <w:pPr>
        <w:pStyle w:val="Heading2"/>
      </w:pPr>
      <w:r>
        <w:rPr>
          <w:rFonts w:ascii="黑体" w:hAnsi="黑体" w:eastAsia="黑体"/>
          <w:b/>
          <w:color w:val="1F4E79"/>
          <w:sz w:val="26"/>
        </w:rPr>
        <w:t>4.2 分类模型预测效果</w:t>
      </w:r>
    </w:p>
    <w:p>
      <w:pPr>
        <w:spacing w:line="300" w:lineRule="auto" w:after="120"/>
        <w:ind w:firstLine="420"/>
        <w:jc w:val="both"/>
      </w:pPr>
      <w:r>
        <w:rPr>
          <w:rFonts w:ascii="宋体" w:hAnsi="宋体" w:eastAsia="宋体"/>
          <w:b w:val="0"/>
          <w:sz w:val="21"/>
        </w:rPr>
        <w:t>分类模型能力主要通过 AUC、Average Precision、Top 5% hit rate 和 Top 10% hit rate 衡量。其中 AUC 衡量整体排序能力，Average Precision 更关注正样本稀疏场景下的精确率-召回率表现，Top hit rate 衡量模型概率最高的一部分样本中实际正样本占比。</w:t>
      </w:r>
    </w:p>
    <w:p>
      <w:pPr>
        <w:spacing w:line="300" w:lineRule="auto" w:after="120"/>
        <w:ind w:firstLine="0"/>
        <w:jc w:val="center"/>
      </w:pPr>
      <w:r>
        <w:rPr>
          <w:rFonts w:ascii="宋体" w:hAnsi="宋体" w:eastAsia="宋体"/>
          <w:b/>
          <w:sz w:val="21"/>
        </w:rPr>
        <w:t>表4 分类模型测试集效果</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vAlign w:val="center"/>
            <w:tcMar>
              <w:top w:w="80" w:type="dxa"/>
              <w:start w:w="100" w:type="dxa"/>
              <w:bottom w:w="80" w:type="dxa"/>
              <w:end w:w="100" w:type="dxa"/>
            </w:tcMar>
            <w:shd w:fill="D9EAF7"/>
          </w:tcPr>
          <w:p>
            <w:pPr>
              <w:jc w:val="center"/>
            </w:pPr>
            <w:r>
              <w:rPr>
                <w:rFonts w:ascii="宋体" w:hAnsi="宋体" w:eastAsia="宋体"/>
                <w:b/>
                <w:sz w:val="18"/>
              </w:rPr>
              <w:t>模型</w:t>
            </w:r>
          </w:p>
        </w:tc>
        <w:tc>
          <w:tcPr>
            <w:tcW w:type="dxa" w:w="1512"/>
            <w:vAlign w:val="center"/>
            <w:tcMar>
              <w:top w:w="80" w:type="dxa"/>
              <w:start w:w="100" w:type="dxa"/>
              <w:bottom w:w="80" w:type="dxa"/>
              <w:end w:w="100" w:type="dxa"/>
            </w:tcMar>
            <w:shd w:fill="D9EAF7"/>
          </w:tcPr>
          <w:p>
            <w:pPr>
              <w:jc w:val="center"/>
            </w:pPr>
            <w:r>
              <w:rPr>
                <w:rFonts w:ascii="宋体" w:hAnsi="宋体" w:eastAsia="宋体"/>
                <w:b/>
                <w:sz w:val="18"/>
              </w:rPr>
              <w:t>AUC</w:t>
            </w:r>
          </w:p>
        </w:tc>
        <w:tc>
          <w:tcPr>
            <w:tcW w:type="dxa" w:w="1512"/>
            <w:vAlign w:val="center"/>
            <w:tcMar>
              <w:top w:w="80" w:type="dxa"/>
              <w:start w:w="100" w:type="dxa"/>
              <w:bottom w:w="80" w:type="dxa"/>
              <w:end w:w="100" w:type="dxa"/>
            </w:tcMar>
            <w:shd w:fill="D9EAF7"/>
          </w:tcPr>
          <w:p>
            <w:pPr>
              <w:jc w:val="center"/>
            </w:pPr>
            <w:r>
              <w:rPr>
                <w:rFonts w:ascii="宋体" w:hAnsi="宋体" w:eastAsia="宋体"/>
                <w:b/>
                <w:sz w:val="18"/>
              </w:rPr>
              <w:t>Average Precision</w:t>
            </w:r>
          </w:p>
        </w:tc>
        <w:tc>
          <w:tcPr>
            <w:tcW w:type="dxa" w:w="1512"/>
            <w:vAlign w:val="center"/>
            <w:tcMar>
              <w:top w:w="80" w:type="dxa"/>
              <w:start w:w="100" w:type="dxa"/>
              <w:bottom w:w="80" w:type="dxa"/>
              <w:end w:w="100" w:type="dxa"/>
            </w:tcMar>
            <w:shd w:fill="D9EAF7"/>
          </w:tcPr>
          <w:p>
            <w:pPr>
              <w:jc w:val="center"/>
            </w:pPr>
            <w:r>
              <w:rPr>
                <w:rFonts w:ascii="宋体" w:hAnsi="宋体" w:eastAsia="宋体"/>
                <w:b/>
                <w:sz w:val="18"/>
              </w:rPr>
              <w:t>Top 5% hit rate</w:t>
            </w:r>
          </w:p>
        </w:tc>
        <w:tc>
          <w:tcPr>
            <w:tcW w:type="dxa" w:w="1512"/>
            <w:vAlign w:val="center"/>
            <w:tcMar>
              <w:top w:w="80" w:type="dxa"/>
              <w:start w:w="100" w:type="dxa"/>
              <w:bottom w:w="80" w:type="dxa"/>
              <w:end w:w="100" w:type="dxa"/>
            </w:tcMar>
            <w:shd w:fill="D9EAF7"/>
          </w:tcPr>
          <w:p>
            <w:pPr>
              <w:jc w:val="center"/>
            </w:pPr>
            <w:r>
              <w:rPr>
                <w:rFonts w:ascii="宋体" w:hAnsi="宋体" w:eastAsia="宋体"/>
                <w:b/>
                <w:sz w:val="18"/>
              </w:rPr>
              <w:t>Top 10% hit rate</w:t>
            </w:r>
          </w:p>
        </w:tc>
        <w:tc>
          <w:tcPr>
            <w:tcW w:type="dxa" w:w="1512"/>
            <w:vAlign w:val="center"/>
            <w:tcMar>
              <w:top w:w="80" w:type="dxa"/>
              <w:start w:w="100" w:type="dxa"/>
              <w:bottom w:w="80" w:type="dxa"/>
              <w:end w:w="100" w:type="dxa"/>
            </w:tcMar>
            <w:shd w:fill="D9EAF7"/>
          </w:tcPr>
          <w:p>
            <w:pPr>
              <w:jc w:val="center"/>
            </w:pPr>
            <w:r>
              <w:rPr>
                <w:rFonts w:ascii="宋体" w:hAnsi="宋体" w:eastAsia="宋体"/>
                <w:b/>
                <w:sz w:val="18"/>
              </w:rPr>
              <w:t>数据来源</w:t>
            </w:r>
          </w:p>
        </w:tc>
      </w:tr>
      <w:tr>
        <w:tc>
          <w:tcPr>
            <w:tcW w:type="dxa" w:w="1512"/>
            <w:vAlign w:val="center"/>
            <w:tcMar>
              <w:top w:w="80" w:type="dxa"/>
              <w:start w:w="100" w:type="dxa"/>
              <w:bottom w:w="80" w:type="dxa"/>
              <w:end w:w="100" w:type="dxa"/>
            </w:tcMar>
          </w:tcPr>
          <w:p>
            <w:pPr>
              <w:jc w:val="left"/>
            </w:pPr>
            <w:r>
              <w:rPr>
                <w:rFonts w:ascii="宋体" w:hAnsi="宋体" w:eastAsia="宋体"/>
                <w:b w:val="0"/>
                <w:sz w:val="18"/>
              </w:rPr>
              <w:t>LightGBMClassifier</w:t>
            </w:r>
          </w:p>
        </w:tc>
        <w:tc>
          <w:tcPr>
            <w:tcW w:type="dxa" w:w="1512"/>
            <w:vAlign w:val="center"/>
            <w:tcMar>
              <w:top w:w="80" w:type="dxa"/>
              <w:start w:w="100" w:type="dxa"/>
              <w:bottom w:w="80" w:type="dxa"/>
              <w:end w:w="100" w:type="dxa"/>
            </w:tcMar>
          </w:tcPr>
          <w:p>
            <w:pPr>
              <w:jc w:val="left"/>
            </w:pPr>
            <w:r>
              <w:rPr>
                <w:rFonts w:ascii="宋体" w:hAnsi="宋体" w:eastAsia="宋体"/>
                <w:b w:val="0"/>
                <w:sz w:val="18"/>
              </w:rPr>
              <w:t>0.693835</w:t>
            </w:r>
          </w:p>
        </w:tc>
        <w:tc>
          <w:tcPr>
            <w:tcW w:type="dxa" w:w="1512"/>
            <w:vAlign w:val="center"/>
            <w:tcMar>
              <w:top w:w="80" w:type="dxa"/>
              <w:start w:w="100" w:type="dxa"/>
              <w:bottom w:w="80" w:type="dxa"/>
              <w:end w:w="100" w:type="dxa"/>
            </w:tcMar>
          </w:tcPr>
          <w:p>
            <w:pPr>
              <w:jc w:val="left"/>
            </w:pPr>
            <w:r>
              <w:rPr>
                <w:rFonts w:ascii="宋体" w:hAnsi="宋体" w:eastAsia="宋体"/>
                <w:b w:val="0"/>
                <w:sz w:val="18"/>
              </w:rPr>
              <w:t>0.554033</w:t>
            </w:r>
          </w:p>
        </w:tc>
        <w:tc>
          <w:tcPr>
            <w:tcW w:type="dxa" w:w="1512"/>
            <w:vAlign w:val="center"/>
            <w:tcMar>
              <w:top w:w="80" w:type="dxa"/>
              <w:start w:w="100" w:type="dxa"/>
              <w:bottom w:w="80" w:type="dxa"/>
              <w:end w:w="100" w:type="dxa"/>
            </w:tcMar>
          </w:tcPr>
          <w:p>
            <w:pPr>
              <w:jc w:val="left"/>
            </w:pPr>
            <w:r>
              <w:rPr>
                <w:rFonts w:ascii="宋体" w:hAnsi="宋体" w:eastAsia="宋体"/>
                <w:b w:val="0"/>
                <w:sz w:val="18"/>
              </w:rPr>
              <w:t>0.719721</w:t>
            </w:r>
          </w:p>
        </w:tc>
        <w:tc>
          <w:tcPr>
            <w:tcW w:type="dxa" w:w="1512"/>
            <w:vAlign w:val="center"/>
            <w:tcMar>
              <w:top w:w="80" w:type="dxa"/>
              <w:start w:w="100" w:type="dxa"/>
              <w:bottom w:w="80" w:type="dxa"/>
              <w:end w:w="100" w:type="dxa"/>
            </w:tcMar>
          </w:tcPr>
          <w:p>
            <w:pPr>
              <w:jc w:val="left"/>
            </w:pPr>
            <w:r>
              <w:rPr>
                <w:rFonts w:ascii="宋体" w:hAnsi="宋体" w:eastAsia="宋体"/>
                <w:b w:val="0"/>
                <w:sz w:val="18"/>
              </w:rPr>
              <w:t>0.661275</w:t>
            </w:r>
          </w:p>
        </w:tc>
        <w:tc>
          <w:tcPr>
            <w:tcW w:type="dxa" w:w="1512"/>
            <w:vAlign w:val="center"/>
            <w:tcMar>
              <w:top w:w="80" w:type="dxa"/>
              <w:start w:w="100" w:type="dxa"/>
              <w:bottom w:w="80" w:type="dxa"/>
              <w:end w:w="100" w:type="dxa"/>
            </w:tcMar>
          </w:tcPr>
          <w:p>
            <w:pPr>
              <w:jc w:val="left"/>
            </w:pPr>
            <w:r>
              <w:rPr>
                <w:rFonts w:ascii="宋体" w:hAnsi="宋体" w:eastAsia="宋体"/>
                <w:b w:val="0"/>
                <w:sz w:val="18"/>
              </w:rPr>
              <w:t>training_metrics.json</w:t>
            </w:r>
          </w:p>
        </w:tc>
      </w:tr>
    </w:tbl>
    <w:p/>
    <w:p>
      <w:pPr>
        <w:spacing w:line="300" w:lineRule="auto" w:after="120"/>
        <w:ind w:firstLine="420"/>
        <w:jc w:val="both"/>
      </w:pPr>
      <w:r>
        <w:rPr>
          <w:rFonts w:ascii="宋体" w:hAnsi="宋体" w:eastAsia="宋体"/>
          <w:b w:val="0"/>
          <w:sz w:val="21"/>
        </w:rPr>
        <w:t>在测试集上，模型最高概率样本中的命中率高于测试集整体正样本比例，说明分类模型具有一定排序能力。但 AUC 未达到很高水平，表明模型对短周期噪声数据的区分能力仍有限，不能据此夸大模型效果。</w:t>
      </w:r>
    </w:p>
    <w:p>
      <w:pPr>
        <w:pStyle w:val="Heading2"/>
      </w:pPr>
      <w:r>
        <w:rPr>
          <w:rFonts w:ascii="黑体" w:hAnsi="黑体" w:eastAsia="黑体"/>
          <w:b/>
          <w:color w:val="1F4E79"/>
          <w:sz w:val="26"/>
        </w:rPr>
        <w:t>4.3 回归模型预测效果</w:t>
      </w:r>
    </w:p>
    <w:p>
      <w:pPr>
        <w:spacing w:line="300" w:lineRule="auto" w:after="120"/>
        <w:ind w:firstLine="420"/>
        <w:jc w:val="both"/>
      </w:pPr>
      <w:r>
        <w:rPr>
          <w:rFonts w:ascii="宋体" w:hAnsi="宋体" w:eastAsia="宋体"/>
          <w:b w:val="0"/>
          <w:sz w:val="21"/>
        </w:rPr>
        <w:t>回归模型用于估计 future_max_return_30m 的连续值。其效果通过 MAE、RMSE、Pearson correlation、误差分位数和绝对误差分位数进行评估。MAE 衡量平均绝对误差，RMSE 对较大误差更敏感，Pearson correlation 衡量预测值与真实值的线性相关程度。</w:t>
      </w:r>
    </w:p>
    <w:p>
      <w:pPr>
        <w:spacing w:line="300" w:lineRule="auto" w:after="120"/>
        <w:ind w:firstLine="0"/>
        <w:jc w:val="center"/>
      </w:pPr>
      <w:r>
        <w:rPr>
          <w:rFonts w:ascii="宋体" w:hAnsi="宋体" w:eastAsia="宋体"/>
          <w:b/>
          <w:sz w:val="21"/>
        </w:rPr>
        <w:t>表5 回归模型测试集效果</w:t>
      </w:r>
    </w:p>
    <w:tbl>
      <w:tblPr>
        <w:tblStyle w:val="TableGrid"/>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tcMar>
              <w:top w:w="80" w:type="dxa"/>
              <w:start w:w="100" w:type="dxa"/>
              <w:bottom w:w="80" w:type="dxa"/>
              <w:end w:w="100" w:type="dxa"/>
            </w:tcMar>
            <w:shd w:fill="D9EAF7"/>
          </w:tcPr>
          <w:p>
            <w:pPr>
              <w:jc w:val="center"/>
            </w:pPr>
            <w:r>
              <w:rPr>
                <w:rFonts w:ascii="宋体" w:hAnsi="宋体" w:eastAsia="宋体"/>
                <w:b/>
                <w:sz w:val="16"/>
              </w:rPr>
              <w:t>模型</w:t>
            </w:r>
          </w:p>
        </w:tc>
        <w:tc>
          <w:tcPr>
            <w:tcW w:type="dxa" w:w="1134"/>
            <w:vAlign w:val="center"/>
            <w:tcMar>
              <w:top w:w="80" w:type="dxa"/>
              <w:start w:w="100" w:type="dxa"/>
              <w:bottom w:w="80" w:type="dxa"/>
              <w:end w:w="100" w:type="dxa"/>
            </w:tcMar>
            <w:shd w:fill="D9EAF7"/>
          </w:tcPr>
          <w:p>
            <w:pPr>
              <w:jc w:val="center"/>
            </w:pPr>
            <w:r>
              <w:rPr>
                <w:rFonts w:ascii="宋体" w:hAnsi="宋体" w:eastAsia="宋体"/>
                <w:b/>
                <w:sz w:val="16"/>
              </w:rPr>
              <w:t>MAE</w:t>
            </w:r>
          </w:p>
        </w:tc>
        <w:tc>
          <w:tcPr>
            <w:tcW w:type="dxa" w:w="1134"/>
            <w:vAlign w:val="center"/>
            <w:tcMar>
              <w:top w:w="80" w:type="dxa"/>
              <w:start w:w="100" w:type="dxa"/>
              <w:bottom w:w="80" w:type="dxa"/>
              <w:end w:w="100" w:type="dxa"/>
            </w:tcMar>
            <w:shd w:fill="D9EAF7"/>
          </w:tcPr>
          <w:p>
            <w:pPr>
              <w:jc w:val="center"/>
            </w:pPr>
            <w:r>
              <w:rPr>
                <w:rFonts w:ascii="宋体" w:hAnsi="宋体" w:eastAsia="宋体"/>
                <w:b/>
                <w:sz w:val="16"/>
              </w:rPr>
              <w:t>RMSE</w:t>
            </w:r>
          </w:p>
        </w:tc>
        <w:tc>
          <w:tcPr>
            <w:tcW w:type="dxa" w:w="1134"/>
            <w:vAlign w:val="center"/>
            <w:tcMar>
              <w:top w:w="80" w:type="dxa"/>
              <w:start w:w="100" w:type="dxa"/>
              <w:bottom w:w="80" w:type="dxa"/>
              <w:end w:w="100" w:type="dxa"/>
            </w:tcMar>
            <w:shd w:fill="D9EAF7"/>
          </w:tcPr>
          <w:p>
            <w:pPr>
              <w:jc w:val="center"/>
            </w:pPr>
            <w:r>
              <w:rPr>
                <w:rFonts w:ascii="宋体" w:hAnsi="宋体" w:eastAsia="宋体"/>
                <w:b/>
                <w:sz w:val="16"/>
              </w:rPr>
              <w:t>Pearson correlation</w:t>
            </w:r>
          </w:p>
        </w:tc>
        <w:tc>
          <w:tcPr>
            <w:tcW w:type="dxa" w:w="1134"/>
            <w:vAlign w:val="center"/>
            <w:tcMar>
              <w:top w:w="80" w:type="dxa"/>
              <w:start w:w="100" w:type="dxa"/>
              <w:bottom w:w="80" w:type="dxa"/>
              <w:end w:w="100" w:type="dxa"/>
            </w:tcMar>
            <w:shd w:fill="D9EAF7"/>
          </w:tcPr>
          <w:p>
            <w:pPr>
              <w:jc w:val="center"/>
            </w:pPr>
            <w:r>
              <w:rPr>
                <w:rFonts w:ascii="宋体" w:hAnsi="宋体" w:eastAsia="宋体"/>
                <w:b/>
                <w:sz w:val="16"/>
              </w:rPr>
              <w:t>p50 绝对误差</w:t>
            </w:r>
          </w:p>
        </w:tc>
        <w:tc>
          <w:tcPr>
            <w:tcW w:type="dxa" w:w="1134"/>
            <w:vAlign w:val="center"/>
            <w:tcMar>
              <w:top w:w="80" w:type="dxa"/>
              <w:start w:w="100" w:type="dxa"/>
              <w:bottom w:w="80" w:type="dxa"/>
              <w:end w:w="100" w:type="dxa"/>
            </w:tcMar>
            <w:shd w:fill="D9EAF7"/>
          </w:tcPr>
          <w:p>
            <w:pPr>
              <w:jc w:val="center"/>
            </w:pPr>
            <w:r>
              <w:rPr>
                <w:rFonts w:ascii="宋体" w:hAnsi="宋体" w:eastAsia="宋体"/>
                <w:b/>
                <w:sz w:val="16"/>
              </w:rPr>
              <w:t>p95 绝对误差</w:t>
            </w:r>
          </w:p>
        </w:tc>
        <w:tc>
          <w:tcPr>
            <w:tcW w:type="dxa" w:w="1134"/>
            <w:vAlign w:val="center"/>
            <w:tcMar>
              <w:top w:w="80" w:type="dxa"/>
              <w:start w:w="100" w:type="dxa"/>
              <w:bottom w:w="80" w:type="dxa"/>
              <w:end w:w="100" w:type="dxa"/>
            </w:tcMar>
            <w:shd w:fill="D9EAF7"/>
          </w:tcPr>
          <w:p>
            <w:pPr>
              <w:jc w:val="center"/>
            </w:pPr>
            <w:r>
              <w:rPr>
                <w:rFonts w:ascii="宋体" w:hAnsi="宋体" w:eastAsia="宋体"/>
                <w:b/>
                <w:sz w:val="16"/>
              </w:rPr>
              <w:t>p99 绝对误差</w:t>
            </w:r>
          </w:p>
        </w:tc>
        <w:tc>
          <w:tcPr>
            <w:tcW w:type="dxa" w:w="1134"/>
            <w:vAlign w:val="center"/>
            <w:tcMar>
              <w:top w:w="80" w:type="dxa"/>
              <w:start w:w="100" w:type="dxa"/>
              <w:bottom w:w="80" w:type="dxa"/>
              <w:end w:w="100" w:type="dxa"/>
            </w:tcMar>
            <w:shd w:fill="D9EAF7"/>
          </w:tcPr>
          <w:p>
            <w:pPr>
              <w:jc w:val="center"/>
            </w:pPr>
            <w:r>
              <w:rPr>
                <w:rFonts w:ascii="宋体" w:hAnsi="宋体" w:eastAsia="宋体"/>
                <w:b/>
                <w:sz w:val="16"/>
              </w:rPr>
              <w:t>数据来源</w:t>
            </w:r>
          </w:p>
        </w:tc>
      </w:tr>
      <w:tr>
        <w:tc>
          <w:tcPr>
            <w:tcW w:type="dxa" w:w="1134"/>
            <w:vAlign w:val="center"/>
            <w:tcMar>
              <w:top w:w="80" w:type="dxa"/>
              <w:start w:w="100" w:type="dxa"/>
              <w:bottom w:w="80" w:type="dxa"/>
              <w:end w:w="100" w:type="dxa"/>
            </w:tcMar>
          </w:tcPr>
          <w:p>
            <w:pPr>
              <w:jc w:val="left"/>
            </w:pPr>
            <w:r>
              <w:rPr>
                <w:rFonts w:ascii="宋体" w:hAnsi="宋体" w:eastAsia="宋体"/>
                <w:b w:val="0"/>
                <w:sz w:val="16"/>
              </w:rPr>
              <w:t>LightGBMRegressor</w:t>
            </w:r>
          </w:p>
        </w:tc>
        <w:tc>
          <w:tcPr>
            <w:tcW w:type="dxa" w:w="1134"/>
            <w:vAlign w:val="center"/>
            <w:tcMar>
              <w:top w:w="80" w:type="dxa"/>
              <w:start w:w="100" w:type="dxa"/>
              <w:bottom w:w="80" w:type="dxa"/>
              <w:end w:w="100" w:type="dxa"/>
            </w:tcMar>
          </w:tcPr>
          <w:p>
            <w:pPr>
              <w:jc w:val="left"/>
            </w:pPr>
            <w:r>
              <w:rPr>
                <w:rFonts w:ascii="宋体" w:hAnsi="宋体" w:eastAsia="宋体"/>
                <w:b w:val="0"/>
                <w:sz w:val="16"/>
              </w:rPr>
              <w:t>0.001483</w:t>
            </w:r>
          </w:p>
        </w:tc>
        <w:tc>
          <w:tcPr>
            <w:tcW w:type="dxa" w:w="1134"/>
            <w:vAlign w:val="center"/>
            <w:tcMar>
              <w:top w:w="80" w:type="dxa"/>
              <w:start w:w="100" w:type="dxa"/>
              <w:bottom w:w="80" w:type="dxa"/>
              <w:end w:w="100" w:type="dxa"/>
            </w:tcMar>
          </w:tcPr>
          <w:p>
            <w:pPr>
              <w:jc w:val="left"/>
            </w:pPr>
            <w:r>
              <w:rPr>
                <w:rFonts w:ascii="宋体" w:hAnsi="宋体" w:eastAsia="宋体"/>
                <w:b w:val="0"/>
                <w:sz w:val="16"/>
              </w:rPr>
              <w:t>0.002295</w:t>
            </w:r>
          </w:p>
        </w:tc>
        <w:tc>
          <w:tcPr>
            <w:tcW w:type="dxa" w:w="1134"/>
            <w:vAlign w:val="center"/>
            <w:tcMar>
              <w:top w:w="80" w:type="dxa"/>
              <w:start w:w="100" w:type="dxa"/>
              <w:bottom w:w="80" w:type="dxa"/>
              <w:end w:w="100" w:type="dxa"/>
            </w:tcMar>
          </w:tcPr>
          <w:p>
            <w:pPr>
              <w:jc w:val="left"/>
            </w:pPr>
            <w:r>
              <w:rPr>
                <w:rFonts w:ascii="宋体" w:hAnsi="宋体" w:eastAsia="宋体"/>
                <w:b w:val="0"/>
                <w:sz w:val="16"/>
              </w:rPr>
              <w:t>0.373039</w:t>
            </w:r>
          </w:p>
        </w:tc>
        <w:tc>
          <w:tcPr>
            <w:tcW w:type="dxa" w:w="1134"/>
            <w:vAlign w:val="center"/>
            <w:tcMar>
              <w:top w:w="80" w:type="dxa"/>
              <w:start w:w="100" w:type="dxa"/>
              <w:bottom w:w="80" w:type="dxa"/>
              <w:end w:w="100" w:type="dxa"/>
            </w:tcMar>
          </w:tcPr>
          <w:p>
            <w:pPr>
              <w:jc w:val="left"/>
            </w:pPr>
            <w:r>
              <w:rPr>
                <w:rFonts w:ascii="宋体" w:hAnsi="宋体" w:eastAsia="宋体"/>
                <w:b w:val="0"/>
                <w:sz w:val="16"/>
              </w:rPr>
              <w:t>0.001081</w:t>
            </w:r>
          </w:p>
        </w:tc>
        <w:tc>
          <w:tcPr>
            <w:tcW w:type="dxa" w:w="1134"/>
            <w:vAlign w:val="center"/>
            <w:tcMar>
              <w:top w:w="80" w:type="dxa"/>
              <w:start w:w="100" w:type="dxa"/>
              <w:bottom w:w="80" w:type="dxa"/>
              <w:end w:w="100" w:type="dxa"/>
            </w:tcMar>
          </w:tcPr>
          <w:p>
            <w:pPr>
              <w:jc w:val="left"/>
            </w:pPr>
            <w:r>
              <w:rPr>
                <w:rFonts w:ascii="宋体" w:hAnsi="宋体" w:eastAsia="宋体"/>
                <w:b w:val="0"/>
                <w:sz w:val="16"/>
              </w:rPr>
              <w:t>0.004077</w:t>
            </w:r>
          </w:p>
        </w:tc>
        <w:tc>
          <w:tcPr>
            <w:tcW w:type="dxa" w:w="1134"/>
            <w:vAlign w:val="center"/>
            <w:tcMar>
              <w:top w:w="80" w:type="dxa"/>
              <w:start w:w="100" w:type="dxa"/>
              <w:bottom w:w="80" w:type="dxa"/>
              <w:end w:w="100" w:type="dxa"/>
            </w:tcMar>
          </w:tcPr>
          <w:p>
            <w:pPr>
              <w:jc w:val="left"/>
            </w:pPr>
            <w:r>
              <w:rPr>
                <w:rFonts w:ascii="宋体" w:hAnsi="宋体" w:eastAsia="宋体"/>
                <w:b w:val="0"/>
                <w:sz w:val="16"/>
              </w:rPr>
              <w:t>0.008846</w:t>
            </w:r>
          </w:p>
        </w:tc>
        <w:tc>
          <w:tcPr>
            <w:tcW w:type="dxa" w:w="1134"/>
            <w:vAlign w:val="center"/>
            <w:tcMar>
              <w:top w:w="80" w:type="dxa"/>
              <w:start w:w="100" w:type="dxa"/>
              <w:bottom w:w="80" w:type="dxa"/>
              <w:end w:w="100" w:type="dxa"/>
            </w:tcMar>
          </w:tcPr>
          <w:p>
            <w:pPr>
              <w:jc w:val="left"/>
            </w:pPr>
            <w:r>
              <w:rPr>
                <w:rFonts w:ascii="宋体" w:hAnsi="宋体" w:eastAsia="宋体"/>
                <w:b w:val="0"/>
                <w:sz w:val="16"/>
              </w:rPr>
              <w:t>training_metrics.json</w:t>
            </w:r>
          </w:p>
        </w:tc>
      </w:tr>
    </w:tbl>
    <w:p/>
    <w:p>
      <w:pPr>
        <w:spacing w:line="300" w:lineRule="auto" w:after="120"/>
        <w:ind w:firstLine="420"/>
        <w:jc w:val="both"/>
      </w:pPr>
      <w:r>
        <w:rPr>
          <w:rFonts w:ascii="宋体" w:hAnsi="宋体" w:eastAsia="宋体"/>
          <w:b w:val="0"/>
          <w:sz w:val="21"/>
        </w:rPr>
        <w:t>测试集误差分位数显示，回归模型中位数绝对误差约为 0.1081%，但高分位误差明显增大，反映出短周期极端波动样本仍较难预测。因此，predicted_max_return 可作为研究参考，不应被解释为确定收益。</w:t>
      </w:r>
    </w:p>
    <w:p>
      <w:pPr>
        <w:pStyle w:val="Heading2"/>
      </w:pPr>
      <w:r>
        <w:rPr>
          <w:rFonts w:ascii="黑体" w:hAnsi="黑体" w:eastAsia="黑体"/>
          <w:b/>
          <w:color w:val="1F4E79"/>
          <w:sz w:val="26"/>
        </w:rPr>
        <w:t>4.4 信号命中率分析</w:t>
      </w:r>
    </w:p>
    <w:p>
      <w:pPr>
        <w:spacing w:line="300" w:lineRule="auto" w:after="120"/>
        <w:ind w:firstLine="420"/>
        <w:jc w:val="both"/>
      </w:pPr>
      <w:r>
        <w:rPr>
          <w:rFonts w:ascii="宋体" w:hAnsi="宋体" w:eastAsia="宋体"/>
          <w:b w:val="0"/>
          <w:sz w:val="21"/>
        </w:rPr>
        <w:t>信号命中率衡量 BUY、WATCH 和 NO_BUY 是否符合结算规则。根据 src/live/settle_live_predictions.py，BUY 信号命中要求 actual_future_max_return_30m &gt;= 0.0025；WATCH 信号命中要求 actual_future_max_return_30m &gt;= 0.0015；NO_BUY 正确要求 actual_future_max_return_30m &lt; 0.002。该规则仍然评价的是未来30分钟最大上冲是否符合条件，不等同于交易盈利。</w:t>
      </w:r>
    </w:p>
    <w:p>
      <w:pPr>
        <w:spacing w:line="300" w:lineRule="auto" w:after="120"/>
        <w:ind w:firstLine="420"/>
        <w:jc w:val="both"/>
      </w:pPr>
      <w:r>
        <w:rPr>
          <w:rFonts w:ascii="宋体" w:hAnsi="宋体" w:eastAsia="宋体"/>
          <w:b w:val="0"/>
          <w:sz w:val="21"/>
        </w:rPr>
        <w:t>测试集 test_predictions.csv 中共有 31,521 条记录，其中 BUY 为 7,000 条，WATCH 为 4,504 条，NO_BUY 为 20,017 条。在 probability threshold 0.62 的测试集阈值指标中，signal_count 为 7,308，precision 为 0.581007，recall 为 0.378533，F1 为 0.458408。研究型回测报告中，实际采用双阈值信号规则后的 BUY 信号数为 7,000，precision_on_triggered_signals 为 0.584857。</w:t>
      </w:r>
    </w:p>
    <w:p>
      <w:pPr>
        <w:spacing w:line="300" w:lineRule="auto" w:after="120"/>
        <w:ind w:firstLine="0"/>
        <w:jc w:val="center"/>
      </w:pPr>
      <w:r>
        <w:rPr>
          <w:rFonts w:ascii="宋体" w:hAnsi="宋体" w:eastAsia="宋体"/>
          <w:b/>
          <w:sz w:val="21"/>
        </w:rPr>
        <w:t>表6 LightGBM 双模型测试集综合指标</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Mar>
              <w:top w:w="80" w:type="dxa"/>
              <w:start w:w="100" w:type="dxa"/>
              <w:bottom w:w="80" w:type="dxa"/>
              <w:end w:w="100" w:type="dxa"/>
            </w:tcMar>
            <w:shd w:fill="D9EAF7"/>
          </w:tcPr>
          <w:p>
            <w:pPr>
              <w:jc w:val="center"/>
            </w:pPr>
            <w:r>
              <w:rPr>
                <w:rFonts w:ascii="宋体" w:hAnsi="宋体" w:eastAsia="宋体"/>
                <w:b/>
                <w:sz w:val="18"/>
              </w:rPr>
              <w:t>指标类别</w:t>
            </w:r>
          </w:p>
        </w:tc>
        <w:tc>
          <w:tcPr>
            <w:tcW w:type="dxa" w:w="2268"/>
            <w:vAlign w:val="center"/>
            <w:tcMar>
              <w:top w:w="80" w:type="dxa"/>
              <w:start w:w="100" w:type="dxa"/>
              <w:bottom w:w="80" w:type="dxa"/>
              <w:end w:w="100" w:type="dxa"/>
            </w:tcMar>
            <w:shd w:fill="D9EAF7"/>
          </w:tcPr>
          <w:p>
            <w:pPr>
              <w:jc w:val="center"/>
            </w:pPr>
            <w:r>
              <w:rPr>
                <w:rFonts w:ascii="宋体" w:hAnsi="宋体" w:eastAsia="宋体"/>
                <w:b/>
                <w:sz w:val="18"/>
              </w:rPr>
              <w:t>指标</w:t>
            </w:r>
          </w:p>
        </w:tc>
        <w:tc>
          <w:tcPr>
            <w:tcW w:type="dxa" w:w="2268"/>
            <w:vAlign w:val="center"/>
            <w:tcMar>
              <w:top w:w="80" w:type="dxa"/>
              <w:start w:w="100" w:type="dxa"/>
              <w:bottom w:w="80" w:type="dxa"/>
              <w:end w:w="100" w:type="dxa"/>
            </w:tcMar>
            <w:shd w:fill="D9EAF7"/>
          </w:tcPr>
          <w:p>
            <w:pPr>
              <w:jc w:val="center"/>
            </w:pPr>
            <w:r>
              <w:rPr>
                <w:rFonts w:ascii="宋体" w:hAnsi="宋体" w:eastAsia="宋体"/>
                <w:b/>
                <w:sz w:val="18"/>
              </w:rPr>
              <w:t>数值</w:t>
            </w:r>
          </w:p>
        </w:tc>
        <w:tc>
          <w:tcPr>
            <w:tcW w:type="dxa" w:w="2268"/>
            <w:vAlign w:val="center"/>
            <w:tcMar>
              <w:top w:w="80" w:type="dxa"/>
              <w:start w:w="100" w:type="dxa"/>
              <w:bottom w:w="80" w:type="dxa"/>
              <w:end w:w="100" w:type="dxa"/>
            </w:tcMar>
            <w:shd w:fill="D9EAF7"/>
          </w:tcPr>
          <w:p>
            <w:pPr>
              <w:jc w:val="center"/>
            </w:pPr>
            <w:r>
              <w:rPr>
                <w:rFonts w:ascii="宋体" w:hAnsi="宋体" w:eastAsia="宋体"/>
                <w:b/>
                <w:sz w:val="18"/>
              </w:rPr>
              <w:t>含义</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分类</w:t>
            </w:r>
          </w:p>
        </w:tc>
        <w:tc>
          <w:tcPr>
            <w:tcW w:type="dxa" w:w="2268"/>
            <w:vAlign w:val="center"/>
            <w:tcMar>
              <w:top w:w="80" w:type="dxa"/>
              <w:start w:w="100" w:type="dxa"/>
              <w:bottom w:w="80" w:type="dxa"/>
              <w:end w:w="100" w:type="dxa"/>
            </w:tcMar>
          </w:tcPr>
          <w:p>
            <w:pPr>
              <w:jc w:val="left"/>
            </w:pPr>
            <w:r>
              <w:rPr>
                <w:rFonts w:ascii="宋体" w:hAnsi="宋体" w:eastAsia="宋体"/>
                <w:b w:val="0"/>
                <w:sz w:val="18"/>
              </w:rPr>
              <w:t>AUC</w:t>
            </w:r>
          </w:p>
        </w:tc>
        <w:tc>
          <w:tcPr>
            <w:tcW w:type="dxa" w:w="2268"/>
            <w:vAlign w:val="center"/>
            <w:tcMar>
              <w:top w:w="80" w:type="dxa"/>
              <w:start w:w="100" w:type="dxa"/>
              <w:bottom w:w="80" w:type="dxa"/>
              <w:end w:w="100" w:type="dxa"/>
            </w:tcMar>
          </w:tcPr>
          <w:p>
            <w:pPr>
              <w:jc w:val="left"/>
            </w:pPr>
            <w:r>
              <w:rPr>
                <w:rFonts w:ascii="宋体" w:hAnsi="宋体" w:eastAsia="宋体"/>
                <w:b w:val="0"/>
                <w:sz w:val="18"/>
              </w:rPr>
              <w:t>0.693835</w:t>
            </w:r>
          </w:p>
        </w:tc>
        <w:tc>
          <w:tcPr>
            <w:tcW w:type="dxa" w:w="2268"/>
            <w:vAlign w:val="center"/>
            <w:tcMar>
              <w:top w:w="80" w:type="dxa"/>
              <w:start w:w="100" w:type="dxa"/>
              <w:bottom w:w="80" w:type="dxa"/>
              <w:end w:w="100" w:type="dxa"/>
            </w:tcMar>
          </w:tcPr>
          <w:p>
            <w:pPr>
              <w:jc w:val="left"/>
            </w:pPr>
            <w:r>
              <w:rPr>
                <w:rFonts w:ascii="宋体" w:hAnsi="宋体" w:eastAsia="宋体"/>
                <w:b w:val="0"/>
                <w:sz w:val="18"/>
              </w:rPr>
              <w:t>测试集整体排序能力</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分类</w:t>
            </w:r>
          </w:p>
        </w:tc>
        <w:tc>
          <w:tcPr>
            <w:tcW w:type="dxa" w:w="2268"/>
            <w:vAlign w:val="center"/>
            <w:tcMar>
              <w:top w:w="80" w:type="dxa"/>
              <w:start w:w="100" w:type="dxa"/>
              <w:bottom w:w="80" w:type="dxa"/>
              <w:end w:w="100" w:type="dxa"/>
            </w:tcMar>
          </w:tcPr>
          <w:p>
            <w:pPr>
              <w:jc w:val="left"/>
            </w:pPr>
            <w:r>
              <w:rPr>
                <w:rFonts w:ascii="宋体" w:hAnsi="宋体" w:eastAsia="宋体"/>
                <w:b w:val="0"/>
                <w:sz w:val="18"/>
              </w:rPr>
              <w:t>Average Precision</w:t>
            </w:r>
          </w:p>
        </w:tc>
        <w:tc>
          <w:tcPr>
            <w:tcW w:type="dxa" w:w="2268"/>
            <w:vAlign w:val="center"/>
            <w:tcMar>
              <w:top w:w="80" w:type="dxa"/>
              <w:start w:w="100" w:type="dxa"/>
              <w:bottom w:w="80" w:type="dxa"/>
              <w:end w:w="100" w:type="dxa"/>
            </w:tcMar>
          </w:tcPr>
          <w:p>
            <w:pPr>
              <w:jc w:val="left"/>
            </w:pPr>
            <w:r>
              <w:rPr>
                <w:rFonts w:ascii="宋体" w:hAnsi="宋体" w:eastAsia="宋体"/>
                <w:b w:val="0"/>
                <w:sz w:val="18"/>
              </w:rPr>
              <w:t>0.554033</w:t>
            </w:r>
          </w:p>
        </w:tc>
        <w:tc>
          <w:tcPr>
            <w:tcW w:type="dxa" w:w="2268"/>
            <w:vAlign w:val="center"/>
            <w:tcMar>
              <w:top w:w="80" w:type="dxa"/>
              <w:start w:w="100" w:type="dxa"/>
              <w:bottom w:w="80" w:type="dxa"/>
              <w:end w:w="100" w:type="dxa"/>
            </w:tcMar>
          </w:tcPr>
          <w:p>
            <w:pPr>
              <w:jc w:val="left"/>
            </w:pPr>
            <w:r>
              <w:rPr>
                <w:rFonts w:ascii="宋体" w:hAnsi="宋体" w:eastAsia="宋体"/>
                <w:b w:val="0"/>
                <w:sz w:val="18"/>
              </w:rPr>
              <w:t>PR 曲线综合表现</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分类</w:t>
            </w:r>
          </w:p>
        </w:tc>
        <w:tc>
          <w:tcPr>
            <w:tcW w:type="dxa" w:w="2268"/>
            <w:vAlign w:val="center"/>
            <w:tcMar>
              <w:top w:w="80" w:type="dxa"/>
              <w:start w:w="100" w:type="dxa"/>
              <w:bottom w:w="80" w:type="dxa"/>
              <w:end w:w="100" w:type="dxa"/>
            </w:tcMar>
          </w:tcPr>
          <w:p>
            <w:pPr>
              <w:jc w:val="left"/>
            </w:pPr>
            <w:r>
              <w:rPr>
                <w:rFonts w:ascii="宋体" w:hAnsi="宋体" w:eastAsia="宋体"/>
                <w:b w:val="0"/>
                <w:sz w:val="18"/>
              </w:rPr>
              <w:t>Top 5% hit rate</w:t>
            </w:r>
          </w:p>
        </w:tc>
        <w:tc>
          <w:tcPr>
            <w:tcW w:type="dxa" w:w="2268"/>
            <w:vAlign w:val="center"/>
            <w:tcMar>
              <w:top w:w="80" w:type="dxa"/>
              <w:start w:w="100" w:type="dxa"/>
              <w:bottom w:w="80" w:type="dxa"/>
              <w:end w:w="100" w:type="dxa"/>
            </w:tcMar>
          </w:tcPr>
          <w:p>
            <w:pPr>
              <w:jc w:val="left"/>
            </w:pPr>
            <w:r>
              <w:rPr>
                <w:rFonts w:ascii="宋体" w:hAnsi="宋体" w:eastAsia="宋体"/>
                <w:b w:val="0"/>
                <w:sz w:val="18"/>
              </w:rPr>
              <w:t>0.719721</w:t>
            </w:r>
          </w:p>
        </w:tc>
        <w:tc>
          <w:tcPr>
            <w:tcW w:type="dxa" w:w="2268"/>
            <w:vAlign w:val="center"/>
            <w:tcMar>
              <w:top w:w="80" w:type="dxa"/>
              <w:start w:w="100" w:type="dxa"/>
              <w:bottom w:w="80" w:type="dxa"/>
              <w:end w:w="100" w:type="dxa"/>
            </w:tcMar>
          </w:tcPr>
          <w:p>
            <w:pPr>
              <w:jc w:val="left"/>
            </w:pPr>
            <w:r>
              <w:rPr>
                <w:rFonts w:ascii="宋体" w:hAnsi="宋体" w:eastAsia="宋体"/>
                <w:b w:val="0"/>
                <w:sz w:val="18"/>
              </w:rPr>
              <w:t>概率最高5%样本的正样本率</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分类</w:t>
            </w:r>
          </w:p>
        </w:tc>
        <w:tc>
          <w:tcPr>
            <w:tcW w:type="dxa" w:w="2268"/>
            <w:vAlign w:val="center"/>
            <w:tcMar>
              <w:top w:w="80" w:type="dxa"/>
              <w:start w:w="100" w:type="dxa"/>
              <w:bottom w:w="80" w:type="dxa"/>
              <w:end w:w="100" w:type="dxa"/>
            </w:tcMar>
          </w:tcPr>
          <w:p>
            <w:pPr>
              <w:jc w:val="left"/>
            </w:pPr>
            <w:r>
              <w:rPr>
                <w:rFonts w:ascii="宋体" w:hAnsi="宋体" w:eastAsia="宋体"/>
                <w:b w:val="0"/>
                <w:sz w:val="18"/>
              </w:rPr>
              <w:t>Top 10% hit rate</w:t>
            </w:r>
          </w:p>
        </w:tc>
        <w:tc>
          <w:tcPr>
            <w:tcW w:type="dxa" w:w="2268"/>
            <w:vAlign w:val="center"/>
            <w:tcMar>
              <w:top w:w="80" w:type="dxa"/>
              <w:start w:w="100" w:type="dxa"/>
              <w:bottom w:w="80" w:type="dxa"/>
              <w:end w:w="100" w:type="dxa"/>
            </w:tcMar>
          </w:tcPr>
          <w:p>
            <w:pPr>
              <w:jc w:val="left"/>
            </w:pPr>
            <w:r>
              <w:rPr>
                <w:rFonts w:ascii="宋体" w:hAnsi="宋体" w:eastAsia="宋体"/>
                <w:b w:val="0"/>
                <w:sz w:val="18"/>
              </w:rPr>
              <w:t>0.661275</w:t>
            </w:r>
          </w:p>
        </w:tc>
        <w:tc>
          <w:tcPr>
            <w:tcW w:type="dxa" w:w="2268"/>
            <w:vAlign w:val="center"/>
            <w:tcMar>
              <w:top w:w="80" w:type="dxa"/>
              <w:start w:w="100" w:type="dxa"/>
              <w:bottom w:w="80" w:type="dxa"/>
              <w:end w:w="100" w:type="dxa"/>
            </w:tcMar>
          </w:tcPr>
          <w:p>
            <w:pPr>
              <w:jc w:val="left"/>
            </w:pPr>
            <w:r>
              <w:rPr>
                <w:rFonts w:ascii="宋体" w:hAnsi="宋体" w:eastAsia="宋体"/>
                <w:b w:val="0"/>
                <w:sz w:val="18"/>
              </w:rPr>
              <w:t>概率最高10%样本的正样本率</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回归</w:t>
            </w:r>
          </w:p>
        </w:tc>
        <w:tc>
          <w:tcPr>
            <w:tcW w:type="dxa" w:w="2268"/>
            <w:vAlign w:val="center"/>
            <w:tcMar>
              <w:top w:w="80" w:type="dxa"/>
              <w:start w:w="100" w:type="dxa"/>
              <w:bottom w:w="80" w:type="dxa"/>
              <w:end w:w="100" w:type="dxa"/>
            </w:tcMar>
          </w:tcPr>
          <w:p>
            <w:pPr>
              <w:jc w:val="left"/>
            </w:pPr>
            <w:r>
              <w:rPr>
                <w:rFonts w:ascii="宋体" w:hAnsi="宋体" w:eastAsia="宋体"/>
                <w:b w:val="0"/>
                <w:sz w:val="18"/>
              </w:rPr>
              <w:t>MAE</w:t>
            </w:r>
          </w:p>
        </w:tc>
        <w:tc>
          <w:tcPr>
            <w:tcW w:type="dxa" w:w="2268"/>
            <w:vAlign w:val="center"/>
            <w:tcMar>
              <w:top w:w="80" w:type="dxa"/>
              <w:start w:w="100" w:type="dxa"/>
              <w:bottom w:w="80" w:type="dxa"/>
              <w:end w:w="100" w:type="dxa"/>
            </w:tcMar>
          </w:tcPr>
          <w:p>
            <w:pPr>
              <w:jc w:val="left"/>
            </w:pPr>
            <w:r>
              <w:rPr>
                <w:rFonts w:ascii="宋体" w:hAnsi="宋体" w:eastAsia="宋体"/>
                <w:b w:val="0"/>
                <w:sz w:val="18"/>
              </w:rPr>
              <w:t>0.001483</w:t>
            </w:r>
          </w:p>
        </w:tc>
        <w:tc>
          <w:tcPr>
            <w:tcW w:type="dxa" w:w="2268"/>
            <w:vAlign w:val="center"/>
            <w:tcMar>
              <w:top w:w="80" w:type="dxa"/>
              <w:start w:w="100" w:type="dxa"/>
              <w:bottom w:w="80" w:type="dxa"/>
              <w:end w:w="100" w:type="dxa"/>
            </w:tcMar>
          </w:tcPr>
          <w:p>
            <w:pPr>
              <w:jc w:val="left"/>
            </w:pPr>
            <w:r>
              <w:rPr>
                <w:rFonts w:ascii="宋体" w:hAnsi="宋体" w:eastAsia="宋体"/>
                <w:b w:val="0"/>
                <w:sz w:val="18"/>
              </w:rPr>
              <w:t>最大涨幅预测平均绝对误差</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回归</w:t>
            </w:r>
          </w:p>
        </w:tc>
        <w:tc>
          <w:tcPr>
            <w:tcW w:type="dxa" w:w="2268"/>
            <w:vAlign w:val="center"/>
            <w:tcMar>
              <w:top w:w="80" w:type="dxa"/>
              <w:start w:w="100" w:type="dxa"/>
              <w:bottom w:w="80" w:type="dxa"/>
              <w:end w:w="100" w:type="dxa"/>
            </w:tcMar>
          </w:tcPr>
          <w:p>
            <w:pPr>
              <w:jc w:val="left"/>
            </w:pPr>
            <w:r>
              <w:rPr>
                <w:rFonts w:ascii="宋体" w:hAnsi="宋体" w:eastAsia="宋体"/>
                <w:b w:val="0"/>
                <w:sz w:val="18"/>
              </w:rPr>
              <w:t>RMSE</w:t>
            </w:r>
          </w:p>
        </w:tc>
        <w:tc>
          <w:tcPr>
            <w:tcW w:type="dxa" w:w="2268"/>
            <w:vAlign w:val="center"/>
            <w:tcMar>
              <w:top w:w="80" w:type="dxa"/>
              <w:start w:w="100" w:type="dxa"/>
              <w:bottom w:w="80" w:type="dxa"/>
              <w:end w:w="100" w:type="dxa"/>
            </w:tcMar>
          </w:tcPr>
          <w:p>
            <w:pPr>
              <w:jc w:val="left"/>
            </w:pPr>
            <w:r>
              <w:rPr>
                <w:rFonts w:ascii="宋体" w:hAnsi="宋体" w:eastAsia="宋体"/>
                <w:b w:val="0"/>
                <w:sz w:val="18"/>
              </w:rPr>
              <w:t>0.002295</w:t>
            </w:r>
          </w:p>
        </w:tc>
        <w:tc>
          <w:tcPr>
            <w:tcW w:type="dxa" w:w="2268"/>
            <w:vAlign w:val="center"/>
            <w:tcMar>
              <w:top w:w="80" w:type="dxa"/>
              <w:start w:w="100" w:type="dxa"/>
              <w:bottom w:w="80" w:type="dxa"/>
              <w:end w:w="100" w:type="dxa"/>
            </w:tcMar>
          </w:tcPr>
          <w:p>
            <w:pPr>
              <w:jc w:val="left"/>
            </w:pPr>
            <w:r>
              <w:rPr>
                <w:rFonts w:ascii="宋体" w:hAnsi="宋体" w:eastAsia="宋体"/>
                <w:b w:val="0"/>
                <w:sz w:val="18"/>
              </w:rPr>
              <w:t>最大涨幅预测均方根误差</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回归</w:t>
            </w:r>
          </w:p>
        </w:tc>
        <w:tc>
          <w:tcPr>
            <w:tcW w:type="dxa" w:w="2268"/>
            <w:vAlign w:val="center"/>
            <w:tcMar>
              <w:top w:w="80" w:type="dxa"/>
              <w:start w:w="100" w:type="dxa"/>
              <w:bottom w:w="80" w:type="dxa"/>
              <w:end w:w="100" w:type="dxa"/>
            </w:tcMar>
          </w:tcPr>
          <w:p>
            <w:pPr>
              <w:jc w:val="left"/>
            </w:pPr>
            <w:r>
              <w:rPr>
                <w:rFonts w:ascii="宋体" w:hAnsi="宋体" w:eastAsia="宋体"/>
                <w:b w:val="0"/>
                <w:sz w:val="18"/>
              </w:rPr>
              <w:t>Pearson correlation</w:t>
            </w:r>
          </w:p>
        </w:tc>
        <w:tc>
          <w:tcPr>
            <w:tcW w:type="dxa" w:w="2268"/>
            <w:vAlign w:val="center"/>
            <w:tcMar>
              <w:top w:w="80" w:type="dxa"/>
              <w:start w:w="100" w:type="dxa"/>
              <w:bottom w:w="80" w:type="dxa"/>
              <w:end w:w="100" w:type="dxa"/>
            </w:tcMar>
          </w:tcPr>
          <w:p>
            <w:pPr>
              <w:jc w:val="left"/>
            </w:pPr>
            <w:r>
              <w:rPr>
                <w:rFonts w:ascii="宋体" w:hAnsi="宋体" w:eastAsia="宋体"/>
                <w:b w:val="0"/>
                <w:sz w:val="18"/>
              </w:rPr>
              <w:t>0.373039</w:t>
            </w:r>
          </w:p>
        </w:tc>
        <w:tc>
          <w:tcPr>
            <w:tcW w:type="dxa" w:w="2268"/>
            <w:vAlign w:val="center"/>
            <w:tcMar>
              <w:top w:w="80" w:type="dxa"/>
              <w:start w:w="100" w:type="dxa"/>
              <w:bottom w:w="80" w:type="dxa"/>
              <w:end w:w="100" w:type="dxa"/>
            </w:tcMar>
          </w:tcPr>
          <w:p>
            <w:pPr>
              <w:jc w:val="left"/>
            </w:pPr>
            <w:r>
              <w:rPr>
                <w:rFonts w:ascii="宋体" w:hAnsi="宋体" w:eastAsia="宋体"/>
                <w:b w:val="0"/>
                <w:sz w:val="18"/>
              </w:rPr>
              <w:t>预测值与真实最大涨幅相关性</w:t>
            </w:r>
          </w:p>
        </w:tc>
      </w:tr>
    </w:tbl>
    <w:p/>
    <w:p>
      <w:pPr>
        <w:pStyle w:val="Heading2"/>
      </w:pPr>
      <w:r>
        <w:rPr>
          <w:rFonts w:ascii="黑体" w:hAnsi="黑体" w:eastAsia="黑体"/>
          <w:b/>
          <w:color w:val="1F4E79"/>
          <w:sz w:val="26"/>
        </w:rPr>
        <w:t>4.5 研究型回测结果</w:t>
      </w:r>
    </w:p>
    <w:p>
      <w:pPr>
        <w:spacing w:line="300" w:lineRule="auto" w:after="120"/>
        <w:ind w:firstLine="420"/>
        <w:jc w:val="both"/>
      </w:pPr>
      <w:r>
        <w:rPr>
          <w:rFonts w:ascii="宋体" w:hAnsi="宋体" w:eastAsia="宋体"/>
          <w:b w:val="0"/>
          <w:sz w:val="21"/>
        </w:rPr>
        <w:t>研究型回测由 src/backtest/run_backtest.py 实现。回测只对 BUY 行进行评估，入场价格采用 next-open 研究收益字段，即 future_close_return_30m_from_next_open、future_max_return_30m_from_next_open 和 future_min_return_30m_from_next_open；退出价格假设为 t+6 的 close。手续费参数 fee_rate_per_side 为 0.001，滑点参数 slippage_rate_per_side 为 0.0002。</w:t>
      </w:r>
    </w:p>
    <w:p>
      <w:pPr>
        <w:spacing w:line="300" w:lineRule="auto" w:after="120"/>
        <w:ind w:firstLine="420"/>
        <w:jc w:val="both"/>
      </w:pPr>
      <w:r>
        <w:rPr>
          <w:rFonts w:ascii="宋体" w:hAnsi="宋体" w:eastAsia="宋体"/>
          <w:b w:val="0"/>
          <w:sz w:val="21"/>
        </w:rPr>
        <w:t>公式（6）round_trip_cost = 2 × (fee_rate_per_side + slippage_rate_per_side) = 2 × (0.001 + 0.0002) = 0.0024。</w:t>
      </w:r>
    </w:p>
    <w:p>
      <w:pPr>
        <w:spacing w:line="300" w:lineRule="auto" w:after="120"/>
        <w:ind w:firstLine="420"/>
        <w:jc w:val="both"/>
      </w:pPr>
      <w:r>
        <w:rPr>
          <w:rFonts w:ascii="宋体" w:hAnsi="宋体" w:eastAsia="宋体"/>
          <w:b w:val="0"/>
          <w:sz w:val="21"/>
        </w:rPr>
        <w:t>当前回测将重叠 BUY 信号按独立研究样本统计，用于评估信号在历史样本上的性质。这种设定并不等同于真实资金账户的逐笔交易撮合，也没有加入仓位管理、止损止盈和资金占用约束。</w:t>
      </w:r>
    </w:p>
    <w:p>
      <w:pPr>
        <w:spacing w:line="300" w:lineRule="auto" w:after="120"/>
        <w:ind w:firstLine="0"/>
        <w:jc w:val="center"/>
      </w:pPr>
      <w:r>
        <w:rPr>
          <w:rFonts w:ascii="宋体" w:hAnsi="宋体" w:eastAsia="宋体"/>
          <w:b/>
          <w:sz w:val="21"/>
        </w:rPr>
        <w:t>表7 研究型回测结果</w:t>
      </w:r>
    </w:p>
    <w:tbl>
      <w:tblPr>
        <w:tblStyle w:val="TableGrid"/>
        <w:tblW w:type="auto" w:w="0"/>
        <w:jc w:val="center"/>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vAlign w:val="center"/>
            <w:tcMar>
              <w:top w:w="80" w:type="dxa"/>
              <w:start w:w="100" w:type="dxa"/>
              <w:bottom w:w="80" w:type="dxa"/>
              <w:end w:w="100" w:type="dxa"/>
            </w:tcMar>
            <w:shd w:fill="D9EAF7"/>
          </w:tcPr>
          <w:p>
            <w:pPr>
              <w:jc w:val="center"/>
            </w:pPr>
            <w:r>
              <w:rPr>
                <w:rFonts w:ascii="宋体" w:hAnsi="宋体" w:eastAsia="宋体"/>
                <w:b/>
                <w:sz w:val="16"/>
              </w:rPr>
              <w:t>策略</w:t>
            </w:r>
          </w:p>
        </w:tc>
        <w:tc>
          <w:tcPr>
            <w:tcW w:type="dxa" w:w="825"/>
            <w:vAlign w:val="center"/>
            <w:tcMar>
              <w:top w:w="80" w:type="dxa"/>
              <w:start w:w="100" w:type="dxa"/>
              <w:bottom w:w="80" w:type="dxa"/>
              <w:end w:w="100" w:type="dxa"/>
            </w:tcMar>
            <w:shd w:fill="D9EAF7"/>
          </w:tcPr>
          <w:p>
            <w:pPr>
              <w:jc w:val="center"/>
            </w:pPr>
            <w:r>
              <w:rPr>
                <w:rFonts w:ascii="宋体" w:hAnsi="宋体" w:eastAsia="宋体"/>
                <w:b/>
                <w:sz w:val="16"/>
              </w:rPr>
              <w:t>BUY 信号数</w:t>
            </w:r>
          </w:p>
        </w:tc>
        <w:tc>
          <w:tcPr>
            <w:tcW w:type="dxa" w:w="825"/>
            <w:vAlign w:val="center"/>
            <w:tcMar>
              <w:top w:w="80" w:type="dxa"/>
              <w:start w:w="100" w:type="dxa"/>
              <w:bottom w:w="80" w:type="dxa"/>
              <w:end w:w="100" w:type="dxa"/>
            </w:tcMar>
            <w:shd w:fill="D9EAF7"/>
          </w:tcPr>
          <w:p>
            <w:pPr>
              <w:jc w:val="center"/>
            </w:pPr>
            <w:r>
              <w:rPr>
                <w:rFonts w:ascii="宋体" w:hAnsi="宋体" w:eastAsia="宋体"/>
                <w:b/>
                <w:sz w:val="16"/>
              </w:rPr>
              <w:t>average signals per day</w:t>
            </w:r>
          </w:p>
        </w:tc>
        <w:tc>
          <w:tcPr>
            <w:tcW w:type="dxa" w:w="825"/>
            <w:vAlign w:val="center"/>
            <w:tcMar>
              <w:top w:w="80" w:type="dxa"/>
              <w:start w:w="100" w:type="dxa"/>
              <w:bottom w:w="80" w:type="dxa"/>
              <w:end w:w="100" w:type="dxa"/>
            </w:tcMar>
            <w:shd w:fill="D9EAF7"/>
          </w:tcPr>
          <w:p>
            <w:pPr>
              <w:jc w:val="center"/>
            </w:pPr>
            <w:r>
              <w:rPr>
                <w:rFonts w:ascii="宋体" w:hAnsi="宋体" w:eastAsia="宋体"/>
                <w:b/>
                <w:sz w:val="16"/>
              </w:rPr>
              <w:t>precision_on_triggered_signals</w:t>
            </w:r>
          </w:p>
        </w:tc>
        <w:tc>
          <w:tcPr>
            <w:tcW w:type="dxa" w:w="825"/>
            <w:vAlign w:val="center"/>
            <w:tcMar>
              <w:top w:w="80" w:type="dxa"/>
              <w:start w:w="100" w:type="dxa"/>
              <w:bottom w:w="80" w:type="dxa"/>
              <w:end w:w="100" w:type="dxa"/>
            </w:tcMar>
            <w:shd w:fill="D9EAF7"/>
          </w:tcPr>
          <w:p>
            <w:pPr>
              <w:jc w:val="center"/>
            </w:pPr>
            <w:r>
              <w:rPr>
                <w:rFonts w:ascii="宋体" w:hAnsi="宋体" w:eastAsia="宋体"/>
                <w:b/>
                <w:sz w:val="16"/>
              </w:rPr>
              <w:t>average future max return</w:t>
            </w:r>
          </w:p>
        </w:tc>
        <w:tc>
          <w:tcPr>
            <w:tcW w:type="dxa" w:w="825"/>
            <w:vAlign w:val="center"/>
            <w:tcMar>
              <w:top w:w="80" w:type="dxa"/>
              <w:start w:w="100" w:type="dxa"/>
              <w:bottom w:w="80" w:type="dxa"/>
              <w:end w:w="100" w:type="dxa"/>
            </w:tcMar>
            <w:shd w:fill="D9EAF7"/>
          </w:tcPr>
          <w:p>
            <w:pPr>
              <w:jc w:val="center"/>
            </w:pPr>
            <w:r>
              <w:rPr>
                <w:rFonts w:ascii="宋体" w:hAnsi="宋体" w:eastAsia="宋体"/>
                <w:b/>
                <w:sz w:val="16"/>
              </w:rPr>
              <w:t>average future min return</w:t>
            </w:r>
          </w:p>
        </w:tc>
        <w:tc>
          <w:tcPr>
            <w:tcW w:type="dxa" w:w="825"/>
            <w:vAlign w:val="center"/>
            <w:tcMar>
              <w:top w:w="80" w:type="dxa"/>
              <w:start w:w="100" w:type="dxa"/>
              <w:bottom w:w="80" w:type="dxa"/>
              <w:end w:w="100" w:type="dxa"/>
            </w:tcMar>
            <w:shd w:fill="D9EAF7"/>
          </w:tcPr>
          <w:p>
            <w:pPr>
              <w:jc w:val="center"/>
            </w:pPr>
            <w:r>
              <w:rPr>
                <w:rFonts w:ascii="宋体" w:hAnsi="宋体" w:eastAsia="宋体"/>
                <w:b/>
                <w:sz w:val="16"/>
              </w:rPr>
              <w:t>average future close return</w:t>
            </w:r>
          </w:p>
        </w:tc>
        <w:tc>
          <w:tcPr>
            <w:tcW w:type="dxa" w:w="825"/>
            <w:vAlign w:val="center"/>
            <w:tcMar>
              <w:top w:w="80" w:type="dxa"/>
              <w:start w:w="100" w:type="dxa"/>
              <w:bottom w:w="80" w:type="dxa"/>
              <w:end w:w="100" w:type="dxa"/>
            </w:tcMar>
            <w:shd w:fill="D9EAF7"/>
          </w:tcPr>
          <w:p>
            <w:pPr>
              <w:jc w:val="center"/>
            </w:pPr>
            <w:r>
              <w:rPr>
                <w:rFonts w:ascii="宋体" w:hAnsi="宋体" w:eastAsia="宋体"/>
                <w:b/>
                <w:sz w:val="16"/>
              </w:rPr>
              <w:t>average return after costs</w:t>
            </w:r>
          </w:p>
        </w:tc>
        <w:tc>
          <w:tcPr>
            <w:tcW w:type="dxa" w:w="825"/>
            <w:vAlign w:val="center"/>
            <w:tcMar>
              <w:top w:w="80" w:type="dxa"/>
              <w:start w:w="100" w:type="dxa"/>
              <w:bottom w:w="80" w:type="dxa"/>
              <w:end w:w="100" w:type="dxa"/>
            </w:tcMar>
            <w:shd w:fill="D9EAF7"/>
          </w:tcPr>
          <w:p>
            <w:pPr>
              <w:jc w:val="center"/>
            </w:pPr>
            <w:r>
              <w:rPr>
                <w:rFonts w:ascii="宋体" w:hAnsi="宋体" w:eastAsia="宋体"/>
                <w:b/>
                <w:sz w:val="16"/>
              </w:rPr>
              <w:t>max drawdown</w:t>
            </w:r>
          </w:p>
        </w:tc>
        <w:tc>
          <w:tcPr>
            <w:tcW w:type="dxa" w:w="825"/>
            <w:vAlign w:val="center"/>
            <w:tcMar>
              <w:top w:w="80" w:type="dxa"/>
              <w:start w:w="100" w:type="dxa"/>
              <w:bottom w:w="80" w:type="dxa"/>
              <w:end w:w="100" w:type="dxa"/>
            </w:tcMar>
            <w:shd w:fill="D9EAF7"/>
          </w:tcPr>
          <w:p>
            <w:pPr>
              <w:jc w:val="center"/>
            </w:pPr>
            <w:r>
              <w:rPr>
                <w:rFonts w:ascii="宋体" w:hAnsi="宋体" w:eastAsia="宋体"/>
                <w:b/>
                <w:sz w:val="16"/>
              </w:rPr>
              <w:t>max consecutive losses</w:t>
            </w:r>
          </w:p>
        </w:tc>
        <w:tc>
          <w:tcPr>
            <w:tcW w:type="dxa" w:w="825"/>
            <w:vAlign w:val="center"/>
            <w:tcMar>
              <w:top w:w="80" w:type="dxa"/>
              <w:start w:w="100" w:type="dxa"/>
              <w:bottom w:w="80" w:type="dxa"/>
              <w:end w:w="100" w:type="dxa"/>
            </w:tcMar>
            <w:shd w:fill="D9EAF7"/>
          </w:tcPr>
          <w:p>
            <w:pPr>
              <w:jc w:val="center"/>
            </w:pPr>
            <w:r>
              <w:rPr>
                <w:rFonts w:ascii="宋体" w:hAnsi="宋体" w:eastAsia="宋体"/>
                <w:b/>
                <w:sz w:val="16"/>
              </w:rPr>
              <w:t>profit factor</w:t>
            </w:r>
          </w:p>
        </w:tc>
      </w:tr>
      <w:tr>
        <w:tc>
          <w:tcPr>
            <w:tcW w:type="dxa" w:w="825"/>
            <w:vAlign w:val="center"/>
            <w:tcMar>
              <w:top w:w="80" w:type="dxa"/>
              <w:start w:w="100" w:type="dxa"/>
              <w:bottom w:w="80" w:type="dxa"/>
              <w:end w:w="100" w:type="dxa"/>
            </w:tcMar>
          </w:tcPr>
          <w:p>
            <w:pPr>
              <w:jc w:val="left"/>
            </w:pPr>
            <w:r>
              <w:rPr>
                <w:rFonts w:ascii="宋体" w:hAnsi="宋体" w:eastAsia="宋体"/>
                <w:b w:val="0"/>
                <w:sz w:val="16"/>
              </w:rPr>
              <w:t>LightGBM 双模型信号</w:t>
            </w:r>
          </w:p>
        </w:tc>
        <w:tc>
          <w:tcPr>
            <w:tcW w:type="dxa" w:w="825"/>
            <w:vAlign w:val="center"/>
            <w:tcMar>
              <w:top w:w="80" w:type="dxa"/>
              <w:start w:w="100" w:type="dxa"/>
              <w:bottom w:w="80" w:type="dxa"/>
              <w:end w:w="100" w:type="dxa"/>
            </w:tcMar>
          </w:tcPr>
          <w:p>
            <w:pPr>
              <w:jc w:val="left"/>
            </w:pPr>
            <w:r>
              <w:rPr>
                <w:rFonts w:ascii="宋体" w:hAnsi="宋体" w:eastAsia="宋体"/>
                <w:b w:val="0"/>
                <w:sz w:val="16"/>
              </w:rPr>
              <w:t>7,000</w:t>
            </w:r>
          </w:p>
        </w:tc>
        <w:tc>
          <w:tcPr>
            <w:tcW w:type="dxa" w:w="825"/>
            <w:vAlign w:val="center"/>
            <w:tcMar>
              <w:top w:w="80" w:type="dxa"/>
              <w:start w:w="100" w:type="dxa"/>
              <w:bottom w:w="80" w:type="dxa"/>
              <w:end w:w="100" w:type="dxa"/>
            </w:tcMar>
          </w:tcPr>
          <w:p>
            <w:pPr>
              <w:jc w:val="left"/>
            </w:pPr>
            <w:r>
              <w:rPr>
                <w:rFonts w:ascii="宋体" w:hAnsi="宋体" w:eastAsia="宋体"/>
                <w:b w:val="0"/>
                <w:sz w:val="16"/>
              </w:rPr>
              <w:t>63.959391</w:t>
            </w:r>
          </w:p>
        </w:tc>
        <w:tc>
          <w:tcPr>
            <w:tcW w:type="dxa" w:w="825"/>
            <w:vAlign w:val="center"/>
            <w:tcMar>
              <w:top w:w="80" w:type="dxa"/>
              <w:start w:w="100" w:type="dxa"/>
              <w:bottom w:w="80" w:type="dxa"/>
              <w:end w:w="100" w:type="dxa"/>
            </w:tcMar>
          </w:tcPr>
          <w:p>
            <w:pPr>
              <w:jc w:val="left"/>
            </w:pPr>
            <w:r>
              <w:rPr>
                <w:rFonts w:ascii="宋体" w:hAnsi="宋体" w:eastAsia="宋体"/>
                <w:b w:val="0"/>
                <w:sz w:val="16"/>
              </w:rPr>
              <w:t>0.584857</w:t>
            </w:r>
          </w:p>
        </w:tc>
        <w:tc>
          <w:tcPr>
            <w:tcW w:type="dxa" w:w="825"/>
            <w:vAlign w:val="center"/>
            <w:tcMar>
              <w:top w:w="80" w:type="dxa"/>
              <w:start w:w="100" w:type="dxa"/>
              <w:bottom w:w="80" w:type="dxa"/>
              <w:end w:w="100" w:type="dxa"/>
            </w:tcMar>
          </w:tcPr>
          <w:p>
            <w:pPr>
              <w:jc w:val="left"/>
            </w:pPr>
            <w:r>
              <w:rPr>
                <w:rFonts w:ascii="宋体" w:hAnsi="宋体" w:eastAsia="宋体"/>
                <w:b w:val="0"/>
                <w:sz w:val="16"/>
              </w:rPr>
              <w:t>0.003406</w:t>
            </w:r>
          </w:p>
        </w:tc>
        <w:tc>
          <w:tcPr>
            <w:tcW w:type="dxa" w:w="825"/>
            <w:vAlign w:val="center"/>
            <w:tcMar>
              <w:top w:w="80" w:type="dxa"/>
              <w:start w:w="100" w:type="dxa"/>
              <w:bottom w:w="80" w:type="dxa"/>
              <w:end w:w="100" w:type="dxa"/>
            </w:tcMar>
          </w:tcPr>
          <w:p>
            <w:pPr>
              <w:jc w:val="left"/>
            </w:pPr>
            <w:r>
              <w:rPr>
                <w:rFonts w:ascii="宋体" w:hAnsi="宋体" w:eastAsia="宋体"/>
                <w:b w:val="0"/>
                <w:sz w:val="16"/>
              </w:rPr>
              <w:t>-0.003340</w:t>
            </w:r>
          </w:p>
        </w:tc>
        <w:tc>
          <w:tcPr>
            <w:tcW w:type="dxa" w:w="825"/>
            <w:vAlign w:val="center"/>
            <w:tcMar>
              <w:top w:w="80" w:type="dxa"/>
              <w:start w:w="100" w:type="dxa"/>
              <w:bottom w:w="80" w:type="dxa"/>
              <w:end w:w="100" w:type="dxa"/>
            </w:tcMar>
          </w:tcPr>
          <w:p>
            <w:pPr>
              <w:jc w:val="left"/>
            </w:pPr>
            <w:r>
              <w:rPr>
                <w:rFonts w:ascii="宋体" w:hAnsi="宋体" w:eastAsia="宋体"/>
                <w:b w:val="0"/>
                <w:sz w:val="16"/>
              </w:rPr>
              <w:t>0.000101</w:t>
            </w:r>
          </w:p>
        </w:tc>
        <w:tc>
          <w:tcPr>
            <w:tcW w:type="dxa" w:w="825"/>
            <w:vAlign w:val="center"/>
            <w:tcMar>
              <w:top w:w="80" w:type="dxa"/>
              <w:start w:w="100" w:type="dxa"/>
              <w:bottom w:w="80" w:type="dxa"/>
              <w:end w:w="100" w:type="dxa"/>
            </w:tcMar>
          </w:tcPr>
          <w:p>
            <w:pPr>
              <w:jc w:val="left"/>
            </w:pPr>
            <w:r>
              <w:rPr>
                <w:rFonts w:ascii="宋体" w:hAnsi="宋体" w:eastAsia="宋体"/>
                <w:b w:val="0"/>
                <w:sz w:val="16"/>
              </w:rPr>
              <w:t>-0.002299</w:t>
            </w:r>
          </w:p>
        </w:tc>
        <w:tc>
          <w:tcPr>
            <w:tcW w:type="dxa" w:w="825"/>
            <w:vAlign w:val="center"/>
            <w:tcMar>
              <w:top w:w="80" w:type="dxa"/>
              <w:start w:w="100" w:type="dxa"/>
              <w:bottom w:w="80" w:type="dxa"/>
              <w:end w:w="100" w:type="dxa"/>
            </w:tcMar>
          </w:tcPr>
          <w:p>
            <w:pPr>
              <w:jc w:val="left"/>
            </w:pPr>
            <w:r>
              <w:rPr>
                <w:rFonts w:ascii="宋体" w:hAnsi="宋体" w:eastAsia="宋体"/>
                <w:b w:val="0"/>
                <w:sz w:val="16"/>
              </w:rPr>
              <w:t>-1.000000</w:t>
            </w:r>
          </w:p>
        </w:tc>
        <w:tc>
          <w:tcPr>
            <w:tcW w:type="dxa" w:w="825"/>
            <w:vAlign w:val="center"/>
            <w:tcMar>
              <w:top w:w="80" w:type="dxa"/>
              <w:start w:w="100" w:type="dxa"/>
              <w:bottom w:w="80" w:type="dxa"/>
              <w:end w:w="100" w:type="dxa"/>
            </w:tcMar>
          </w:tcPr>
          <w:p>
            <w:pPr>
              <w:jc w:val="left"/>
            </w:pPr>
            <w:r>
              <w:rPr>
                <w:rFonts w:ascii="宋体" w:hAnsi="宋体" w:eastAsia="宋体"/>
                <w:b w:val="0"/>
                <w:sz w:val="16"/>
              </w:rPr>
              <w:t>72</w:t>
            </w:r>
          </w:p>
        </w:tc>
        <w:tc>
          <w:tcPr>
            <w:tcW w:type="dxa" w:w="825"/>
            <w:vAlign w:val="center"/>
            <w:tcMar>
              <w:top w:w="80" w:type="dxa"/>
              <w:start w:w="100" w:type="dxa"/>
              <w:bottom w:w="80" w:type="dxa"/>
              <w:end w:w="100" w:type="dxa"/>
            </w:tcMar>
          </w:tcPr>
          <w:p>
            <w:pPr>
              <w:jc w:val="left"/>
            </w:pPr>
            <w:r>
              <w:rPr>
                <w:rFonts w:ascii="宋体" w:hAnsi="宋体" w:eastAsia="宋体"/>
                <w:b w:val="0"/>
                <w:sz w:val="16"/>
              </w:rPr>
              <w:t>0.255469</w:t>
            </w:r>
          </w:p>
        </w:tc>
      </w:tr>
      <w:tr>
        <w:tc>
          <w:tcPr>
            <w:tcW w:type="dxa" w:w="825"/>
            <w:vAlign w:val="center"/>
            <w:tcMar>
              <w:top w:w="80" w:type="dxa"/>
              <w:start w:w="100" w:type="dxa"/>
              <w:bottom w:w="80" w:type="dxa"/>
              <w:end w:w="100" w:type="dxa"/>
            </w:tcMar>
          </w:tcPr>
          <w:p>
            <w:pPr>
              <w:jc w:val="left"/>
            </w:pPr>
            <w:r>
              <w:rPr>
                <w:rFonts w:ascii="宋体" w:hAnsi="宋体" w:eastAsia="宋体"/>
                <w:b w:val="0"/>
                <w:sz w:val="16"/>
              </w:rPr>
              <w:t>随机信号基线</w:t>
            </w:r>
          </w:p>
        </w:tc>
        <w:tc>
          <w:tcPr>
            <w:tcW w:type="dxa" w:w="825"/>
            <w:vAlign w:val="center"/>
            <w:tcMar>
              <w:top w:w="80" w:type="dxa"/>
              <w:start w:w="100" w:type="dxa"/>
              <w:bottom w:w="80" w:type="dxa"/>
              <w:end w:w="100" w:type="dxa"/>
            </w:tcMar>
          </w:tcPr>
          <w:p>
            <w:pPr>
              <w:jc w:val="left"/>
            </w:pPr>
            <w:r>
              <w:rPr>
                <w:rFonts w:ascii="宋体" w:hAnsi="宋体" w:eastAsia="宋体"/>
                <w:b w:val="0"/>
                <w:sz w:val="16"/>
              </w:rPr>
              <w:t>7,000</w:t>
            </w:r>
          </w:p>
        </w:tc>
        <w:tc>
          <w:tcPr>
            <w:tcW w:type="dxa" w:w="825"/>
            <w:vAlign w:val="center"/>
            <w:tcMar>
              <w:top w:w="80" w:type="dxa"/>
              <w:start w:w="100" w:type="dxa"/>
              <w:bottom w:w="80" w:type="dxa"/>
              <w:end w:w="100" w:type="dxa"/>
            </w:tcMar>
          </w:tcPr>
          <w:p>
            <w:pPr>
              <w:jc w:val="left"/>
            </w:pPr>
            <w:r>
              <w:rPr>
                <w:rFonts w:ascii="宋体" w:hAnsi="宋体" w:eastAsia="宋体"/>
                <w:b w:val="0"/>
                <w:sz w:val="16"/>
              </w:rPr>
              <w:t>63.959391</w:t>
            </w:r>
          </w:p>
        </w:tc>
        <w:tc>
          <w:tcPr>
            <w:tcW w:type="dxa" w:w="825"/>
            <w:vAlign w:val="center"/>
            <w:tcMar>
              <w:top w:w="80" w:type="dxa"/>
              <w:start w:w="100" w:type="dxa"/>
              <w:bottom w:w="80" w:type="dxa"/>
              <w:end w:w="100" w:type="dxa"/>
            </w:tcMar>
          </w:tcPr>
          <w:p>
            <w:pPr>
              <w:jc w:val="left"/>
            </w:pPr>
            <w:r>
              <w:rPr>
                <w:rFonts w:ascii="宋体" w:hAnsi="宋体" w:eastAsia="宋体"/>
                <w:b w:val="0"/>
                <w:sz w:val="16"/>
              </w:rPr>
              <w:t>0.357571</w:t>
            </w:r>
          </w:p>
        </w:tc>
        <w:tc>
          <w:tcPr>
            <w:tcW w:type="dxa" w:w="825"/>
            <w:vAlign w:val="center"/>
            <w:tcMar>
              <w:top w:w="80" w:type="dxa"/>
              <w:start w:w="100" w:type="dxa"/>
              <w:bottom w:w="80" w:type="dxa"/>
              <w:end w:w="100" w:type="dxa"/>
            </w:tcMar>
          </w:tcPr>
          <w:p>
            <w:pPr>
              <w:jc w:val="left"/>
            </w:pPr>
            <w:r>
              <w:rPr>
                <w:rFonts w:ascii="宋体" w:hAnsi="宋体" w:eastAsia="宋体"/>
                <w:b w:val="0"/>
                <w:sz w:val="16"/>
              </w:rPr>
              <w:t>0.002068</w:t>
            </w:r>
          </w:p>
        </w:tc>
        <w:tc>
          <w:tcPr>
            <w:tcW w:type="dxa" w:w="825"/>
            <w:vAlign w:val="center"/>
            <w:tcMar>
              <w:top w:w="80" w:type="dxa"/>
              <w:start w:w="100" w:type="dxa"/>
              <w:bottom w:w="80" w:type="dxa"/>
              <w:end w:w="100" w:type="dxa"/>
            </w:tcMar>
          </w:tcPr>
          <w:p>
            <w:pPr>
              <w:jc w:val="left"/>
            </w:pPr>
            <w:r>
              <w:rPr>
                <w:rFonts w:ascii="宋体" w:hAnsi="宋体" w:eastAsia="宋体"/>
                <w:b w:val="0"/>
                <w:sz w:val="16"/>
              </w:rPr>
              <w:t>-0.002080</w:t>
            </w:r>
          </w:p>
        </w:tc>
        <w:tc>
          <w:tcPr>
            <w:tcW w:type="dxa" w:w="825"/>
            <w:vAlign w:val="center"/>
            <w:tcMar>
              <w:top w:w="80" w:type="dxa"/>
              <w:start w:w="100" w:type="dxa"/>
              <w:bottom w:w="80" w:type="dxa"/>
              <w:end w:w="100" w:type="dxa"/>
            </w:tcMar>
          </w:tcPr>
          <w:p>
            <w:pPr>
              <w:jc w:val="left"/>
            </w:pPr>
            <w:r>
              <w:rPr>
                <w:rFonts w:ascii="宋体" w:hAnsi="宋体" w:eastAsia="宋体"/>
                <w:b w:val="0"/>
                <w:sz w:val="16"/>
              </w:rPr>
              <w:t>-0.000007</w:t>
            </w:r>
          </w:p>
        </w:tc>
        <w:tc>
          <w:tcPr>
            <w:tcW w:type="dxa" w:w="825"/>
            <w:vAlign w:val="center"/>
            <w:tcMar>
              <w:top w:w="80" w:type="dxa"/>
              <w:start w:w="100" w:type="dxa"/>
              <w:bottom w:w="80" w:type="dxa"/>
              <w:end w:w="100" w:type="dxa"/>
            </w:tcMar>
          </w:tcPr>
          <w:p>
            <w:pPr>
              <w:jc w:val="left"/>
            </w:pPr>
            <w:r>
              <w:rPr>
                <w:rFonts w:ascii="宋体" w:hAnsi="宋体" w:eastAsia="宋体"/>
                <w:b w:val="0"/>
                <w:sz w:val="16"/>
              </w:rPr>
              <w:t>-0.002407</w:t>
            </w:r>
          </w:p>
        </w:tc>
        <w:tc>
          <w:tcPr>
            <w:tcW w:type="dxa" w:w="825"/>
            <w:vAlign w:val="center"/>
            <w:tcMar>
              <w:top w:w="80" w:type="dxa"/>
              <w:start w:w="100" w:type="dxa"/>
              <w:bottom w:w="80" w:type="dxa"/>
              <w:end w:w="100" w:type="dxa"/>
            </w:tcMar>
          </w:tcPr>
          <w:p>
            <w:pPr>
              <w:jc w:val="left"/>
            </w:pPr>
            <w:r>
              <w:rPr>
                <w:rFonts w:ascii="宋体" w:hAnsi="宋体" w:eastAsia="宋体"/>
                <w:b w:val="0"/>
                <w:sz w:val="16"/>
              </w:rPr>
              <w:t>-1.000000</w:t>
            </w:r>
          </w:p>
        </w:tc>
        <w:tc>
          <w:tcPr>
            <w:tcW w:type="dxa" w:w="825"/>
            <w:vAlign w:val="center"/>
            <w:tcMar>
              <w:top w:w="80" w:type="dxa"/>
              <w:start w:w="100" w:type="dxa"/>
              <w:bottom w:w="80" w:type="dxa"/>
              <w:end w:w="100" w:type="dxa"/>
            </w:tcMar>
          </w:tcPr>
          <w:p>
            <w:pPr>
              <w:jc w:val="left"/>
            </w:pPr>
            <w:r>
              <w:rPr>
                <w:rFonts w:ascii="宋体" w:hAnsi="宋体" w:eastAsia="宋体"/>
                <w:b w:val="0"/>
                <w:sz w:val="16"/>
              </w:rPr>
              <w:t>134</w:t>
            </w:r>
          </w:p>
        </w:tc>
        <w:tc>
          <w:tcPr>
            <w:tcW w:type="dxa" w:w="825"/>
            <w:vAlign w:val="center"/>
            <w:tcMar>
              <w:top w:w="80" w:type="dxa"/>
              <w:start w:w="100" w:type="dxa"/>
              <w:bottom w:w="80" w:type="dxa"/>
              <w:end w:w="100" w:type="dxa"/>
            </w:tcMar>
          </w:tcPr>
          <w:p>
            <w:pPr>
              <w:jc w:val="left"/>
            </w:pPr>
            <w:r>
              <w:rPr>
                <w:rFonts w:ascii="宋体" w:hAnsi="宋体" w:eastAsia="宋体"/>
                <w:b w:val="0"/>
                <w:sz w:val="16"/>
              </w:rPr>
              <w:t>0.118551</w:t>
            </w:r>
          </w:p>
        </w:tc>
      </w:tr>
      <w:tr>
        <w:tc>
          <w:tcPr>
            <w:tcW w:type="dxa" w:w="825"/>
            <w:vAlign w:val="center"/>
            <w:tcMar>
              <w:top w:w="80" w:type="dxa"/>
              <w:start w:w="100" w:type="dxa"/>
              <w:bottom w:w="80" w:type="dxa"/>
              <w:end w:w="100" w:type="dxa"/>
            </w:tcMar>
          </w:tcPr>
          <w:p>
            <w:pPr>
              <w:jc w:val="left"/>
            </w:pPr>
            <w:r>
              <w:rPr>
                <w:rFonts w:ascii="宋体" w:hAnsi="宋体" w:eastAsia="宋体"/>
                <w:b w:val="0"/>
                <w:sz w:val="16"/>
              </w:rPr>
              <w:t>规则信号基线</w:t>
            </w:r>
          </w:p>
        </w:tc>
        <w:tc>
          <w:tcPr>
            <w:tcW w:type="dxa" w:w="825"/>
            <w:vAlign w:val="center"/>
            <w:tcMar>
              <w:top w:w="80" w:type="dxa"/>
              <w:start w:w="100" w:type="dxa"/>
              <w:bottom w:w="80" w:type="dxa"/>
              <w:end w:w="100" w:type="dxa"/>
            </w:tcMar>
          </w:tcPr>
          <w:p>
            <w:pPr>
              <w:jc w:val="left"/>
            </w:pPr>
            <w:r>
              <w:rPr>
                <w:rFonts w:ascii="宋体" w:hAnsi="宋体" w:eastAsia="宋体"/>
                <w:b w:val="0"/>
                <w:sz w:val="16"/>
              </w:rPr>
              <w:t>5,265</w:t>
            </w:r>
          </w:p>
        </w:tc>
        <w:tc>
          <w:tcPr>
            <w:tcW w:type="dxa" w:w="825"/>
            <w:vAlign w:val="center"/>
            <w:tcMar>
              <w:top w:w="80" w:type="dxa"/>
              <w:start w:w="100" w:type="dxa"/>
              <w:bottom w:w="80" w:type="dxa"/>
              <w:end w:w="100" w:type="dxa"/>
            </w:tcMar>
          </w:tcPr>
          <w:p>
            <w:pPr>
              <w:jc w:val="left"/>
            </w:pPr>
            <w:r>
              <w:rPr>
                <w:rFonts w:ascii="宋体" w:hAnsi="宋体" w:eastAsia="宋体"/>
                <w:b w:val="0"/>
                <w:sz w:val="16"/>
              </w:rPr>
              <w:t>48.106599</w:t>
            </w:r>
          </w:p>
        </w:tc>
        <w:tc>
          <w:tcPr>
            <w:tcW w:type="dxa" w:w="825"/>
            <w:vAlign w:val="center"/>
            <w:tcMar>
              <w:top w:w="80" w:type="dxa"/>
              <w:start w:w="100" w:type="dxa"/>
              <w:bottom w:w="80" w:type="dxa"/>
              <w:end w:w="100" w:type="dxa"/>
            </w:tcMar>
          </w:tcPr>
          <w:p>
            <w:pPr>
              <w:jc w:val="left"/>
            </w:pPr>
            <w:r>
              <w:rPr>
                <w:rFonts w:ascii="宋体" w:hAnsi="宋体" w:eastAsia="宋体"/>
                <w:b w:val="0"/>
                <w:sz w:val="16"/>
              </w:rPr>
              <w:t>0.359544</w:t>
            </w:r>
          </w:p>
        </w:tc>
        <w:tc>
          <w:tcPr>
            <w:tcW w:type="dxa" w:w="825"/>
            <w:vAlign w:val="center"/>
            <w:tcMar>
              <w:top w:w="80" w:type="dxa"/>
              <w:start w:w="100" w:type="dxa"/>
              <w:bottom w:w="80" w:type="dxa"/>
              <w:end w:w="100" w:type="dxa"/>
            </w:tcMar>
          </w:tcPr>
          <w:p>
            <w:pPr>
              <w:jc w:val="left"/>
            </w:pPr>
            <w:r>
              <w:rPr>
                <w:rFonts w:ascii="宋体" w:hAnsi="宋体" w:eastAsia="宋体"/>
                <w:b w:val="0"/>
                <w:sz w:val="16"/>
              </w:rPr>
              <w:t>0.002202</w:t>
            </w:r>
          </w:p>
        </w:tc>
        <w:tc>
          <w:tcPr>
            <w:tcW w:type="dxa" w:w="825"/>
            <w:vAlign w:val="center"/>
            <w:tcMar>
              <w:top w:w="80" w:type="dxa"/>
              <w:start w:w="100" w:type="dxa"/>
              <w:bottom w:w="80" w:type="dxa"/>
              <w:end w:w="100" w:type="dxa"/>
            </w:tcMar>
          </w:tcPr>
          <w:p>
            <w:pPr>
              <w:jc w:val="left"/>
            </w:pPr>
            <w:r>
              <w:rPr>
                <w:rFonts w:ascii="宋体" w:hAnsi="宋体" w:eastAsia="宋体"/>
                <w:b w:val="0"/>
                <w:sz w:val="16"/>
              </w:rPr>
              <w:t>-0.002139</w:t>
            </w:r>
          </w:p>
        </w:tc>
        <w:tc>
          <w:tcPr>
            <w:tcW w:type="dxa" w:w="825"/>
            <w:vAlign w:val="center"/>
            <w:tcMar>
              <w:top w:w="80" w:type="dxa"/>
              <w:start w:w="100" w:type="dxa"/>
              <w:bottom w:w="80" w:type="dxa"/>
              <w:end w:w="100" w:type="dxa"/>
            </w:tcMar>
          </w:tcPr>
          <w:p>
            <w:pPr>
              <w:jc w:val="left"/>
            </w:pPr>
            <w:r>
              <w:rPr>
                <w:rFonts w:ascii="宋体" w:hAnsi="宋体" w:eastAsia="宋体"/>
                <w:b w:val="0"/>
                <w:sz w:val="16"/>
              </w:rPr>
              <w:t>-0.000114</w:t>
            </w:r>
          </w:p>
        </w:tc>
        <w:tc>
          <w:tcPr>
            <w:tcW w:type="dxa" w:w="825"/>
            <w:vAlign w:val="center"/>
            <w:tcMar>
              <w:top w:w="80" w:type="dxa"/>
              <w:start w:w="100" w:type="dxa"/>
              <w:bottom w:w="80" w:type="dxa"/>
              <w:end w:w="100" w:type="dxa"/>
            </w:tcMar>
          </w:tcPr>
          <w:p>
            <w:pPr>
              <w:jc w:val="left"/>
            </w:pPr>
            <w:r>
              <w:rPr>
                <w:rFonts w:ascii="宋体" w:hAnsi="宋体" w:eastAsia="宋体"/>
                <w:b w:val="0"/>
                <w:sz w:val="16"/>
              </w:rPr>
              <w:t>-0.002514</w:t>
            </w:r>
          </w:p>
        </w:tc>
        <w:tc>
          <w:tcPr>
            <w:tcW w:type="dxa" w:w="825"/>
            <w:vAlign w:val="center"/>
            <w:tcMar>
              <w:top w:w="80" w:type="dxa"/>
              <w:start w:w="100" w:type="dxa"/>
              <w:bottom w:w="80" w:type="dxa"/>
              <w:end w:w="100" w:type="dxa"/>
            </w:tcMar>
          </w:tcPr>
          <w:p>
            <w:pPr>
              <w:jc w:val="left"/>
            </w:pPr>
            <w:r>
              <w:rPr>
                <w:rFonts w:ascii="宋体" w:hAnsi="宋体" w:eastAsia="宋体"/>
                <w:b w:val="0"/>
                <w:sz w:val="16"/>
              </w:rPr>
              <w:t>-0.999998</w:t>
            </w:r>
          </w:p>
        </w:tc>
        <w:tc>
          <w:tcPr>
            <w:tcW w:type="dxa" w:w="825"/>
            <w:vAlign w:val="center"/>
            <w:tcMar>
              <w:top w:w="80" w:type="dxa"/>
              <w:start w:w="100" w:type="dxa"/>
              <w:bottom w:w="80" w:type="dxa"/>
              <w:end w:w="100" w:type="dxa"/>
            </w:tcMar>
          </w:tcPr>
          <w:p>
            <w:pPr>
              <w:jc w:val="left"/>
            </w:pPr>
            <w:r>
              <w:rPr>
                <w:rFonts w:ascii="宋体" w:hAnsi="宋体" w:eastAsia="宋体"/>
                <w:b w:val="0"/>
                <w:sz w:val="16"/>
              </w:rPr>
              <w:t>137</w:t>
            </w:r>
          </w:p>
        </w:tc>
        <w:tc>
          <w:tcPr>
            <w:tcW w:type="dxa" w:w="825"/>
            <w:vAlign w:val="center"/>
            <w:tcMar>
              <w:top w:w="80" w:type="dxa"/>
              <w:start w:w="100" w:type="dxa"/>
              <w:bottom w:w="80" w:type="dxa"/>
              <w:end w:w="100" w:type="dxa"/>
            </w:tcMar>
          </w:tcPr>
          <w:p>
            <w:pPr>
              <w:jc w:val="left"/>
            </w:pPr>
            <w:r>
              <w:rPr>
                <w:rFonts w:ascii="宋体" w:hAnsi="宋体" w:eastAsia="宋体"/>
                <w:b w:val="0"/>
                <w:sz w:val="16"/>
              </w:rPr>
              <w:t>0.129626</w:t>
            </w:r>
          </w:p>
        </w:tc>
      </w:tr>
    </w:tbl>
    <w:p/>
    <w:p>
      <w:pPr>
        <w:spacing w:line="300" w:lineRule="auto" w:after="120"/>
        <w:ind w:firstLine="420"/>
        <w:jc w:val="both"/>
      </w:pPr>
      <w:r>
        <w:rPr>
          <w:rFonts w:ascii="宋体" w:hAnsi="宋体" w:eastAsia="宋体"/>
          <w:b w:val="0"/>
          <w:sz w:val="21"/>
        </w:rPr>
        <w:t>回测结果显示，LightGBM 双模型信号的 precision_on_triggered_signals 高于随机信号和规则信号基线，说明模型在识别未来上冲样本方面具有一定研究价值。但 average return after costs 为 -0.002299，profit factor 为 0.255469，说明在当前 next-open 入场、t+6 close 退出、手续费和滑点假设下，该信号不能直接作为真实交易策略。测试窗口内 buy_and_hold_reference 的收益为 -0.116515，仅作为区间行情参考。</w:t>
      </w:r>
    </w:p>
    <w:p>
      <w:pPr>
        <w:pStyle w:val="Heading2"/>
      </w:pPr>
      <w:r>
        <w:rPr>
          <w:rFonts w:ascii="黑体" w:hAnsi="黑体" w:eastAsia="黑体"/>
          <w:b/>
          <w:color w:val="1F4E79"/>
          <w:sz w:val="26"/>
        </w:rPr>
        <w:t>4.6 实时预测结算结果</w:t>
      </w:r>
    </w:p>
    <w:p>
      <w:pPr>
        <w:spacing w:line="300" w:lineRule="auto" w:after="120"/>
        <w:ind w:firstLine="420"/>
        <w:jc w:val="both"/>
      </w:pPr>
      <w:r>
        <w:rPr>
          <w:rFonts w:ascii="宋体" w:hAnsi="宋体" w:eastAsia="宋体"/>
          <w:b w:val="0"/>
          <w:sz w:val="21"/>
        </w:rPr>
        <w:t>实时预测记录存储在 runs/latest/outputs/live_predictions.csv，实时指标存储在 runs/latest/reports/live_metrics.json。实时准确率只基于 SETTLED 的 live prediction records 统计，PENDING 记录不能参与实时准确率计算。当前 live_predictions.csv 共 30 条记录，其中 SETTLED 为 29 条，PENDING 为 1 条；信号分布为 NO_BUY 21 条、BUY 8 条、WATCH 1 条。</w:t>
      </w:r>
    </w:p>
    <w:p>
      <w:pPr>
        <w:spacing w:line="300" w:lineRule="auto" w:after="120"/>
        <w:ind w:firstLine="420"/>
        <w:jc w:val="both"/>
      </w:pPr>
      <w:r>
        <w:rPr>
          <w:rFonts w:ascii="宋体" w:hAnsi="宋体" w:eastAsia="宋体"/>
          <w:b w:val="0"/>
          <w:sz w:val="21"/>
        </w:rPr>
        <w:t>当前 live_metrics.json 记录 settled_count 为 29，pending_count 为 1，classification_hit_rate 为 0.448276，signal_hit_rate 为 0.448276，buy_signal_hit_rate 为 0.142857，watch_signal_hit_rate 为 1.000000，no_buy_correct_rate 为 0.523810，mean_abs_return_error 为 0.001373。由于 SETTLED 样本量仍然较小，这些实时指标主要用于说明系统实时预测、延迟结算和指标统计链路可以运行，不能作为长期稳定性的结论。</w:t>
      </w:r>
    </w:p>
    <w:p>
      <w:pPr>
        <w:pStyle w:val="Heading2"/>
      </w:pPr>
      <w:r>
        <w:rPr>
          <w:rFonts w:ascii="黑体" w:hAnsi="黑体" w:eastAsia="黑体"/>
          <w:b/>
          <w:color w:val="1F4E79"/>
          <w:sz w:val="26"/>
        </w:rPr>
        <w:t>4.7 实验结论与不足</w:t>
      </w:r>
    </w:p>
    <w:p>
      <w:pPr>
        <w:spacing w:line="300" w:lineRule="auto" w:after="120"/>
        <w:ind w:firstLine="420"/>
        <w:jc w:val="both"/>
      </w:pPr>
      <w:r>
        <w:rPr>
          <w:rFonts w:ascii="宋体" w:hAnsi="宋体" w:eastAsia="宋体"/>
          <w:b w:val="0"/>
          <w:sz w:val="21"/>
        </w:rPr>
        <w:t>综合测试集和实时记录结果，本项目已完成从历史K线数据处理、标签构造、特征工程、LightGBM 双模型训练、测试集评估、研究型回测、实时预测记录、PENDING/SETTLED 延迟结算到 Dashboard 展示的数据闭环。测试集分类指标说明模型具有一定排序能力，回归指标说明模型能够给出一定相关性的最大涨幅估计，回测指标说明模型信号相较随机和规则基线具有更高的上冲命中率。</w:t>
      </w:r>
    </w:p>
    <w:p>
      <w:pPr>
        <w:spacing w:line="300" w:lineRule="auto" w:after="120"/>
        <w:ind w:firstLine="420"/>
        <w:jc w:val="both"/>
      </w:pPr>
      <w:r>
        <w:rPr>
          <w:rFonts w:ascii="宋体" w:hAnsi="宋体" w:eastAsia="宋体"/>
          <w:b w:val="0"/>
          <w:sz w:val="21"/>
        </w:rPr>
        <w:t>同时，当前实验仍存在限制。第一，本报告没有新增 Logistic Regression、Decision Tree、Random Forest、XGBoost 等模型训练实验，因此多模型对比只能报告已完成的 LightGBM 双模型和回测基线结果，模型效果对比图不应在缺少真实实验数据时绘制。第二，尚未形成不同训练集规模下模型效果变化的独立实验，因此训练集规模图应作为后续改进内容。第三，尚未形成完整运行时间基准实验，本文仅记录了 training_metrics.json 中的运行环境版本，运行时间图也应在补充真实耗时数据后再绘制。第四，实时 SETTLED 样本量只有 29 条，不足以说明长期稳定效果。第五，Dashboard 当前行情、最新信号、最近30条实时预测、实时准确率卡片、回测页面、GitHub 仓库页面和 Vercel 部署成功页面需在系统运行及在线部署后由作者手动加入报告。第六，当前 live_predictions 采用 CSV 文件存储，适合课程展示和小规模验证；若进行生产化部署，应升级为 Supabase/PostgreSQL 等数据库，并加入更完整的权限、监控和容错机制。</w:t>
      </w:r>
    </w:p>
    <w:p>
      <w:pPr>
        <w:pStyle w:val="Heading1"/>
      </w:pPr>
      <w:r>
        <w:rPr>
          <w:rFonts w:ascii="黑体" w:hAnsi="黑体" w:eastAsia="黑体"/>
          <w:b/>
          <w:color w:val="1F4E79"/>
          <w:sz w:val="30"/>
        </w:rPr>
        <w:t>5 系统设计与实现</w:t>
      </w:r>
    </w:p>
    <w:p>
      <w:pPr>
        <w:pStyle w:val="Heading2"/>
      </w:pPr>
      <w:r>
        <w:rPr>
          <w:rFonts w:ascii="黑体" w:hAnsi="黑体" w:eastAsia="黑体"/>
          <w:b/>
          <w:color w:val="1F4E79"/>
          <w:sz w:val="26"/>
        </w:rPr>
        <w:t>5.1 开发环境</w:t>
      </w:r>
    </w:p>
    <w:p>
      <w:pPr>
        <w:spacing w:line="300" w:lineRule="auto" w:after="120"/>
        <w:ind w:firstLine="0"/>
        <w:jc w:val="center"/>
      </w:pPr>
      <w:r>
        <w:rPr>
          <w:rFonts w:ascii="宋体" w:hAnsi="宋体" w:eastAsia="宋体"/>
          <w:b/>
          <w:sz w:val="21"/>
        </w:rPr>
        <w:t>表10 系统开发环境</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Mar>
              <w:top w:w="80" w:type="dxa"/>
              <w:start w:w="100" w:type="dxa"/>
              <w:bottom w:w="80" w:type="dxa"/>
              <w:end w:w="100" w:type="dxa"/>
            </w:tcMar>
            <w:shd w:fill="D9EAF7"/>
          </w:tcPr>
          <w:p>
            <w:pPr>
              <w:jc w:val="center"/>
            </w:pPr>
            <w:r>
              <w:rPr>
                <w:rFonts w:ascii="宋体" w:hAnsi="宋体" w:eastAsia="宋体"/>
                <w:b/>
                <w:sz w:val="18"/>
              </w:rPr>
              <w:t>类别</w:t>
            </w:r>
          </w:p>
        </w:tc>
        <w:tc>
          <w:tcPr>
            <w:tcW w:type="dxa" w:w="2268"/>
            <w:vAlign w:val="center"/>
            <w:tcMar>
              <w:top w:w="80" w:type="dxa"/>
              <w:start w:w="100" w:type="dxa"/>
              <w:bottom w:w="80" w:type="dxa"/>
              <w:end w:w="100" w:type="dxa"/>
            </w:tcMar>
            <w:shd w:fill="D9EAF7"/>
          </w:tcPr>
          <w:p>
            <w:pPr>
              <w:jc w:val="center"/>
            </w:pPr>
            <w:r>
              <w:rPr>
                <w:rFonts w:ascii="宋体" w:hAnsi="宋体" w:eastAsia="宋体"/>
                <w:b/>
                <w:sz w:val="18"/>
              </w:rPr>
              <w:t>工具或库</w:t>
            </w:r>
          </w:p>
        </w:tc>
        <w:tc>
          <w:tcPr>
            <w:tcW w:type="dxa" w:w="2268"/>
            <w:vAlign w:val="center"/>
            <w:tcMar>
              <w:top w:w="80" w:type="dxa"/>
              <w:start w:w="100" w:type="dxa"/>
              <w:bottom w:w="80" w:type="dxa"/>
              <w:end w:w="100" w:type="dxa"/>
            </w:tcMar>
            <w:shd w:fill="D9EAF7"/>
          </w:tcPr>
          <w:p>
            <w:pPr>
              <w:jc w:val="center"/>
            </w:pPr>
            <w:r>
              <w:rPr>
                <w:rFonts w:ascii="宋体" w:hAnsi="宋体" w:eastAsia="宋体"/>
                <w:b/>
                <w:sz w:val="18"/>
              </w:rPr>
              <w:t>版本或说明</w:t>
            </w:r>
          </w:p>
        </w:tc>
        <w:tc>
          <w:tcPr>
            <w:tcW w:type="dxa" w:w="2268"/>
            <w:vAlign w:val="center"/>
            <w:tcMar>
              <w:top w:w="80" w:type="dxa"/>
              <w:start w:w="100" w:type="dxa"/>
              <w:bottom w:w="80" w:type="dxa"/>
              <w:end w:w="100" w:type="dxa"/>
            </w:tcMar>
            <w:shd w:fill="D9EAF7"/>
          </w:tcPr>
          <w:p>
            <w:pPr>
              <w:jc w:val="center"/>
            </w:pPr>
            <w:r>
              <w:rPr>
                <w:rFonts w:ascii="宋体" w:hAnsi="宋体" w:eastAsia="宋体"/>
                <w:b/>
                <w:sz w:val="18"/>
              </w:rPr>
              <w:t>来源</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后端语言</w:t>
            </w:r>
          </w:p>
        </w:tc>
        <w:tc>
          <w:tcPr>
            <w:tcW w:type="dxa" w:w="2268"/>
            <w:vAlign w:val="center"/>
            <w:tcMar>
              <w:top w:w="80" w:type="dxa"/>
              <w:start w:w="100" w:type="dxa"/>
              <w:bottom w:w="80" w:type="dxa"/>
              <w:end w:w="100" w:type="dxa"/>
            </w:tcMar>
          </w:tcPr>
          <w:p>
            <w:pPr>
              <w:jc w:val="left"/>
            </w:pPr>
            <w:r>
              <w:rPr>
                <w:rFonts w:ascii="宋体" w:hAnsi="宋体" w:eastAsia="宋体"/>
                <w:b w:val="0"/>
                <w:sz w:val="18"/>
              </w:rPr>
              <w:t>Python</w:t>
            </w:r>
          </w:p>
        </w:tc>
        <w:tc>
          <w:tcPr>
            <w:tcW w:type="dxa" w:w="2268"/>
            <w:vAlign w:val="center"/>
            <w:tcMar>
              <w:top w:w="80" w:type="dxa"/>
              <w:start w:w="100" w:type="dxa"/>
              <w:bottom w:w="80" w:type="dxa"/>
              <w:end w:w="100" w:type="dxa"/>
            </w:tcMar>
          </w:tcPr>
          <w:p>
            <w:pPr>
              <w:jc w:val="left"/>
            </w:pPr>
            <w:r>
              <w:rPr>
                <w:rFonts w:ascii="宋体" w:hAnsi="宋体" w:eastAsia="宋体"/>
                <w:b w:val="0"/>
                <w:sz w:val="18"/>
              </w:rPr>
              <w:t>3.11.15</w:t>
            </w:r>
          </w:p>
        </w:tc>
        <w:tc>
          <w:tcPr>
            <w:tcW w:type="dxa" w:w="2268"/>
            <w:vAlign w:val="center"/>
            <w:tcMar>
              <w:top w:w="80" w:type="dxa"/>
              <w:start w:w="100" w:type="dxa"/>
              <w:bottom w:w="80" w:type="dxa"/>
              <w:end w:w="100" w:type="dxa"/>
            </w:tcMar>
          </w:tcPr>
          <w:p>
            <w:pPr>
              <w:jc w:val="left"/>
            </w:pPr>
            <w:r>
              <w:rPr>
                <w:rFonts w:ascii="宋体" w:hAnsi="宋体" w:eastAsia="宋体"/>
                <w:b w:val="0"/>
                <w:sz w:val="18"/>
              </w:rPr>
              <w:t>training_metrics.json</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数据处理</w:t>
            </w:r>
          </w:p>
        </w:tc>
        <w:tc>
          <w:tcPr>
            <w:tcW w:type="dxa" w:w="2268"/>
            <w:vAlign w:val="center"/>
            <w:tcMar>
              <w:top w:w="80" w:type="dxa"/>
              <w:start w:w="100" w:type="dxa"/>
              <w:bottom w:w="80" w:type="dxa"/>
              <w:end w:w="100" w:type="dxa"/>
            </w:tcMar>
          </w:tcPr>
          <w:p>
            <w:pPr>
              <w:jc w:val="left"/>
            </w:pPr>
            <w:r>
              <w:rPr>
                <w:rFonts w:ascii="宋体" w:hAnsi="宋体" w:eastAsia="宋体"/>
                <w:b w:val="0"/>
                <w:sz w:val="18"/>
              </w:rPr>
              <w:t>pandas</w:t>
            </w:r>
          </w:p>
        </w:tc>
        <w:tc>
          <w:tcPr>
            <w:tcW w:type="dxa" w:w="2268"/>
            <w:vAlign w:val="center"/>
            <w:tcMar>
              <w:top w:w="80" w:type="dxa"/>
              <w:start w:w="100" w:type="dxa"/>
              <w:bottom w:w="80" w:type="dxa"/>
              <w:end w:w="100" w:type="dxa"/>
            </w:tcMar>
          </w:tcPr>
          <w:p>
            <w:pPr>
              <w:jc w:val="left"/>
            </w:pPr>
            <w:r>
              <w:rPr>
                <w:rFonts w:ascii="宋体" w:hAnsi="宋体" w:eastAsia="宋体"/>
                <w:b w:val="0"/>
                <w:sz w:val="18"/>
              </w:rPr>
              <w:t>3.0.3</w:t>
            </w:r>
          </w:p>
        </w:tc>
        <w:tc>
          <w:tcPr>
            <w:tcW w:type="dxa" w:w="2268"/>
            <w:vAlign w:val="center"/>
            <w:tcMar>
              <w:top w:w="80" w:type="dxa"/>
              <w:start w:w="100" w:type="dxa"/>
              <w:bottom w:w="80" w:type="dxa"/>
              <w:end w:w="100" w:type="dxa"/>
            </w:tcMar>
          </w:tcPr>
          <w:p>
            <w:pPr>
              <w:jc w:val="left"/>
            </w:pPr>
            <w:r>
              <w:rPr>
                <w:rFonts w:ascii="宋体" w:hAnsi="宋体" w:eastAsia="宋体"/>
                <w:b w:val="0"/>
                <w:sz w:val="18"/>
              </w:rPr>
              <w:t>training_metrics.json</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数值计算</w:t>
            </w:r>
          </w:p>
        </w:tc>
        <w:tc>
          <w:tcPr>
            <w:tcW w:type="dxa" w:w="2268"/>
            <w:vAlign w:val="center"/>
            <w:tcMar>
              <w:top w:w="80" w:type="dxa"/>
              <w:start w:w="100" w:type="dxa"/>
              <w:bottom w:w="80" w:type="dxa"/>
              <w:end w:w="100" w:type="dxa"/>
            </w:tcMar>
          </w:tcPr>
          <w:p>
            <w:pPr>
              <w:jc w:val="left"/>
            </w:pPr>
            <w:r>
              <w:rPr>
                <w:rFonts w:ascii="宋体" w:hAnsi="宋体" w:eastAsia="宋体"/>
                <w:b w:val="0"/>
                <w:sz w:val="18"/>
              </w:rPr>
              <w:t>numpy</w:t>
            </w:r>
          </w:p>
        </w:tc>
        <w:tc>
          <w:tcPr>
            <w:tcW w:type="dxa" w:w="2268"/>
            <w:vAlign w:val="center"/>
            <w:tcMar>
              <w:top w:w="80" w:type="dxa"/>
              <w:start w:w="100" w:type="dxa"/>
              <w:bottom w:w="80" w:type="dxa"/>
              <w:end w:w="100" w:type="dxa"/>
            </w:tcMar>
          </w:tcPr>
          <w:p>
            <w:pPr>
              <w:jc w:val="left"/>
            </w:pPr>
            <w:r>
              <w:rPr>
                <w:rFonts w:ascii="宋体" w:hAnsi="宋体" w:eastAsia="宋体"/>
                <w:b w:val="0"/>
                <w:sz w:val="18"/>
              </w:rPr>
              <w:t>2.4.6</w:t>
            </w:r>
          </w:p>
        </w:tc>
        <w:tc>
          <w:tcPr>
            <w:tcW w:type="dxa" w:w="2268"/>
            <w:vAlign w:val="center"/>
            <w:tcMar>
              <w:top w:w="80" w:type="dxa"/>
              <w:start w:w="100" w:type="dxa"/>
              <w:bottom w:w="80" w:type="dxa"/>
              <w:end w:w="100" w:type="dxa"/>
            </w:tcMar>
          </w:tcPr>
          <w:p>
            <w:pPr>
              <w:jc w:val="left"/>
            </w:pPr>
            <w:r>
              <w:rPr>
                <w:rFonts w:ascii="宋体" w:hAnsi="宋体" w:eastAsia="宋体"/>
                <w:b w:val="0"/>
                <w:sz w:val="18"/>
              </w:rPr>
              <w:t>training_metrics.json</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机器学习</w:t>
            </w:r>
          </w:p>
        </w:tc>
        <w:tc>
          <w:tcPr>
            <w:tcW w:type="dxa" w:w="2268"/>
            <w:vAlign w:val="center"/>
            <w:tcMar>
              <w:top w:w="80" w:type="dxa"/>
              <w:start w:w="100" w:type="dxa"/>
              <w:bottom w:w="80" w:type="dxa"/>
              <w:end w:w="100" w:type="dxa"/>
            </w:tcMar>
          </w:tcPr>
          <w:p>
            <w:pPr>
              <w:jc w:val="left"/>
            </w:pPr>
            <w:r>
              <w:rPr>
                <w:rFonts w:ascii="宋体" w:hAnsi="宋体" w:eastAsia="宋体"/>
                <w:b w:val="0"/>
                <w:sz w:val="18"/>
              </w:rPr>
              <w:t>LightGBM</w:t>
            </w:r>
          </w:p>
        </w:tc>
        <w:tc>
          <w:tcPr>
            <w:tcW w:type="dxa" w:w="2268"/>
            <w:vAlign w:val="center"/>
            <w:tcMar>
              <w:top w:w="80" w:type="dxa"/>
              <w:start w:w="100" w:type="dxa"/>
              <w:bottom w:w="80" w:type="dxa"/>
              <w:end w:w="100" w:type="dxa"/>
            </w:tcMar>
          </w:tcPr>
          <w:p>
            <w:pPr>
              <w:jc w:val="left"/>
            </w:pPr>
            <w:r>
              <w:rPr>
                <w:rFonts w:ascii="宋体" w:hAnsi="宋体" w:eastAsia="宋体"/>
                <w:b w:val="0"/>
                <w:sz w:val="18"/>
              </w:rPr>
              <w:t>4.6.0</w:t>
            </w:r>
          </w:p>
        </w:tc>
        <w:tc>
          <w:tcPr>
            <w:tcW w:type="dxa" w:w="2268"/>
            <w:vAlign w:val="center"/>
            <w:tcMar>
              <w:top w:w="80" w:type="dxa"/>
              <w:start w:w="100" w:type="dxa"/>
              <w:bottom w:w="80" w:type="dxa"/>
              <w:end w:w="100" w:type="dxa"/>
            </w:tcMar>
          </w:tcPr>
          <w:p>
            <w:pPr>
              <w:jc w:val="left"/>
            </w:pPr>
            <w:r>
              <w:rPr>
                <w:rFonts w:ascii="宋体" w:hAnsi="宋体" w:eastAsia="宋体"/>
                <w:b w:val="0"/>
                <w:sz w:val="18"/>
              </w:rPr>
              <w:t>training_metrics.json</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机器学习评估</w:t>
            </w:r>
          </w:p>
        </w:tc>
        <w:tc>
          <w:tcPr>
            <w:tcW w:type="dxa" w:w="2268"/>
            <w:vAlign w:val="center"/>
            <w:tcMar>
              <w:top w:w="80" w:type="dxa"/>
              <w:start w:w="100" w:type="dxa"/>
              <w:bottom w:w="80" w:type="dxa"/>
              <w:end w:w="100" w:type="dxa"/>
            </w:tcMar>
          </w:tcPr>
          <w:p>
            <w:pPr>
              <w:jc w:val="left"/>
            </w:pPr>
            <w:r>
              <w:rPr>
                <w:rFonts w:ascii="宋体" w:hAnsi="宋体" w:eastAsia="宋体"/>
                <w:b w:val="0"/>
                <w:sz w:val="18"/>
              </w:rPr>
              <w:t>scikit-learn</w:t>
            </w:r>
          </w:p>
        </w:tc>
        <w:tc>
          <w:tcPr>
            <w:tcW w:type="dxa" w:w="2268"/>
            <w:vAlign w:val="center"/>
            <w:tcMar>
              <w:top w:w="80" w:type="dxa"/>
              <w:start w:w="100" w:type="dxa"/>
              <w:bottom w:w="80" w:type="dxa"/>
              <w:end w:w="100" w:type="dxa"/>
            </w:tcMar>
          </w:tcPr>
          <w:p>
            <w:pPr>
              <w:jc w:val="left"/>
            </w:pPr>
            <w:r>
              <w:rPr>
                <w:rFonts w:ascii="宋体" w:hAnsi="宋体" w:eastAsia="宋体"/>
                <w:b w:val="0"/>
                <w:sz w:val="18"/>
              </w:rPr>
              <w:t>1.9.0</w:t>
            </w:r>
          </w:p>
        </w:tc>
        <w:tc>
          <w:tcPr>
            <w:tcW w:type="dxa" w:w="2268"/>
            <w:vAlign w:val="center"/>
            <w:tcMar>
              <w:top w:w="80" w:type="dxa"/>
              <w:start w:w="100" w:type="dxa"/>
              <w:bottom w:w="80" w:type="dxa"/>
              <w:end w:w="100" w:type="dxa"/>
            </w:tcMar>
          </w:tcPr>
          <w:p>
            <w:pPr>
              <w:jc w:val="left"/>
            </w:pPr>
            <w:r>
              <w:rPr>
                <w:rFonts w:ascii="宋体" w:hAnsi="宋体" w:eastAsia="宋体"/>
                <w:b w:val="0"/>
                <w:sz w:val="18"/>
              </w:rPr>
              <w:t>training_metrics.json</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后端框架</w:t>
            </w:r>
          </w:p>
        </w:tc>
        <w:tc>
          <w:tcPr>
            <w:tcW w:type="dxa" w:w="2268"/>
            <w:vAlign w:val="center"/>
            <w:tcMar>
              <w:top w:w="80" w:type="dxa"/>
              <w:start w:w="100" w:type="dxa"/>
              <w:bottom w:w="80" w:type="dxa"/>
              <w:end w:w="100" w:type="dxa"/>
            </w:tcMar>
          </w:tcPr>
          <w:p>
            <w:pPr>
              <w:jc w:val="left"/>
            </w:pPr>
            <w:r>
              <w:rPr>
                <w:rFonts w:ascii="宋体" w:hAnsi="宋体" w:eastAsia="宋体"/>
                <w:b w:val="0"/>
                <w:sz w:val="18"/>
              </w:rPr>
              <w:t>FastAPI</w:t>
            </w:r>
          </w:p>
        </w:tc>
        <w:tc>
          <w:tcPr>
            <w:tcW w:type="dxa" w:w="2268"/>
            <w:vAlign w:val="center"/>
            <w:tcMar>
              <w:top w:w="80" w:type="dxa"/>
              <w:start w:w="100" w:type="dxa"/>
              <w:bottom w:w="80" w:type="dxa"/>
              <w:end w:w="100" w:type="dxa"/>
            </w:tcMar>
          </w:tcPr>
          <w:p>
            <w:pPr>
              <w:jc w:val="left"/>
            </w:pPr>
            <w:r>
              <w:rPr>
                <w:rFonts w:ascii="宋体" w:hAnsi="宋体" w:eastAsia="宋体"/>
                <w:b w:val="0"/>
                <w:sz w:val="18"/>
              </w:rPr>
              <w:t>项目 requirements.txt</w:t>
            </w:r>
          </w:p>
        </w:tc>
        <w:tc>
          <w:tcPr>
            <w:tcW w:type="dxa" w:w="2268"/>
            <w:vAlign w:val="center"/>
            <w:tcMar>
              <w:top w:w="80" w:type="dxa"/>
              <w:start w:w="100" w:type="dxa"/>
              <w:bottom w:w="80" w:type="dxa"/>
              <w:end w:w="100" w:type="dxa"/>
            </w:tcMar>
          </w:tcPr>
          <w:p>
            <w:pPr>
              <w:jc w:val="left"/>
            </w:pPr>
            <w:r>
              <w:rPr>
                <w:rFonts w:ascii="宋体" w:hAnsi="宋体" w:eastAsia="宋体"/>
                <w:b w:val="0"/>
                <w:sz w:val="18"/>
              </w:rPr>
              <w:t>requirements.txt</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前端框架</w:t>
            </w:r>
          </w:p>
        </w:tc>
        <w:tc>
          <w:tcPr>
            <w:tcW w:type="dxa" w:w="2268"/>
            <w:vAlign w:val="center"/>
            <w:tcMar>
              <w:top w:w="80" w:type="dxa"/>
              <w:start w:w="100" w:type="dxa"/>
              <w:bottom w:w="80" w:type="dxa"/>
              <w:end w:w="100" w:type="dxa"/>
            </w:tcMar>
          </w:tcPr>
          <w:p>
            <w:pPr>
              <w:jc w:val="left"/>
            </w:pPr>
            <w:r>
              <w:rPr>
                <w:rFonts w:ascii="宋体" w:hAnsi="宋体" w:eastAsia="宋体"/>
                <w:b w:val="0"/>
                <w:sz w:val="18"/>
              </w:rPr>
              <w:t>React</w:t>
            </w:r>
          </w:p>
        </w:tc>
        <w:tc>
          <w:tcPr>
            <w:tcW w:type="dxa" w:w="2268"/>
            <w:vAlign w:val="center"/>
            <w:tcMar>
              <w:top w:w="80" w:type="dxa"/>
              <w:start w:w="100" w:type="dxa"/>
              <w:bottom w:w="80" w:type="dxa"/>
              <w:end w:w="100" w:type="dxa"/>
            </w:tcMar>
          </w:tcPr>
          <w:p>
            <w:pPr>
              <w:jc w:val="left"/>
            </w:pPr>
            <w:r>
              <w:rPr>
                <w:rFonts w:ascii="宋体" w:hAnsi="宋体" w:eastAsia="宋体"/>
                <w:b w:val="0"/>
                <w:sz w:val="18"/>
              </w:rPr>
              <w:t>^19.1.0</w:t>
            </w:r>
          </w:p>
        </w:tc>
        <w:tc>
          <w:tcPr>
            <w:tcW w:type="dxa" w:w="2268"/>
            <w:vAlign w:val="center"/>
            <w:tcMar>
              <w:top w:w="80" w:type="dxa"/>
              <w:start w:w="100" w:type="dxa"/>
              <w:bottom w:w="80" w:type="dxa"/>
              <w:end w:w="100" w:type="dxa"/>
            </w:tcMar>
          </w:tcPr>
          <w:p>
            <w:pPr>
              <w:jc w:val="left"/>
            </w:pPr>
            <w:r>
              <w:rPr>
                <w:rFonts w:ascii="宋体" w:hAnsi="宋体" w:eastAsia="宋体"/>
                <w:b w:val="0"/>
                <w:sz w:val="18"/>
              </w:rPr>
              <w:t>frontend/package.json</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构建工具</w:t>
            </w:r>
          </w:p>
        </w:tc>
        <w:tc>
          <w:tcPr>
            <w:tcW w:type="dxa" w:w="2268"/>
            <w:vAlign w:val="center"/>
            <w:tcMar>
              <w:top w:w="80" w:type="dxa"/>
              <w:start w:w="100" w:type="dxa"/>
              <w:bottom w:w="80" w:type="dxa"/>
              <w:end w:w="100" w:type="dxa"/>
            </w:tcMar>
          </w:tcPr>
          <w:p>
            <w:pPr>
              <w:jc w:val="left"/>
            </w:pPr>
            <w:r>
              <w:rPr>
                <w:rFonts w:ascii="宋体" w:hAnsi="宋体" w:eastAsia="宋体"/>
                <w:b w:val="0"/>
                <w:sz w:val="18"/>
              </w:rPr>
              <w:t>Vite</w:t>
            </w:r>
          </w:p>
        </w:tc>
        <w:tc>
          <w:tcPr>
            <w:tcW w:type="dxa" w:w="2268"/>
            <w:vAlign w:val="center"/>
            <w:tcMar>
              <w:top w:w="80" w:type="dxa"/>
              <w:start w:w="100" w:type="dxa"/>
              <w:bottom w:w="80" w:type="dxa"/>
              <w:end w:w="100" w:type="dxa"/>
            </w:tcMar>
          </w:tcPr>
          <w:p>
            <w:pPr>
              <w:jc w:val="left"/>
            </w:pPr>
            <w:r>
              <w:rPr>
                <w:rFonts w:ascii="宋体" w:hAnsi="宋体" w:eastAsia="宋体"/>
                <w:b w:val="0"/>
                <w:sz w:val="18"/>
              </w:rPr>
              <w:t>^7.0.2</w:t>
            </w:r>
          </w:p>
        </w:tc>
        <w:tc>
          <w:tcPr>
            <w:tcW w:type="dxa" w:w="2268"/>
            <w:vAlign w:val="center"/>
            <w:tcMar>
              <w:top w:w="80" w:type="dxa"/>
              <w:start w:w="100" w:type="dxa"/>
              <w:bottom w:w="80" w:type="dxa"/>
              <w:end w:w="100" w:type="dxa"/>
            </w:tcMar>
          </w:tcPr>
          <w:p>
            <w:pPr>
              <w:jc w:val="left"/>
            </w:pPr>
            <w:r>
              <w:rPr>
                <w:rFonts w:ascii="宋体" w:hAnsi="宋体" w:eastAsia="宋体"/>
                <w:b w:val="0"/>
                <w:sz w:val="18"/>
              </w:rPr>
              <w:t>frontend/package.json</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前端语言</w:t>
            </w:r>
          </w:p>
        </w:tc>
        <w:tc>
          <w:tcPr>
            <w:tcW w:type="dxa" w:w="2268"/>
            <w:vAlign w:val="center"/>
            <w:tcMar>
              <w:top w:w="80" w:type="dxa"/>
              <w:start w:w="100" w:type="dxa"/>
              <w:bottom w:w="80" w:type="dxa"/>
              <w:end w:w="100" w:type="dxa"/>
            </w:tcMar>
          </w:tcPr>
          <w:p>
            <w:pPr>
              <w:jc w:val="left"/>
            </w:pPr>
            <w:r>
              <w:rPr>
                <w:rFonts w:ascii="宋体" w:hAnsi="宋体" w:eastAsia="宋体"/>
                <w:b w:val="0"/>
                <w:sz w:val="18"/>
              </w:rPr>
              <w:t>TypeScript</w:t>
            </w:r>
          </w:p>
        </w:tc>
        <w:tc>
          <w:tcPr>
            <w:tcW w:type="dxa" w:w="2268"/>
            <w:vAlign w:val="center"/>
            <w:tcMar>
              <w:top w:w="80" w:type="dxa"/>
              <w:start w:w="100" w:type="dxa"/>
              <w:bottom w:w="80" w:type="dxa"/>
              <w:end w:w="100" w:type="dxa"/>
            </w:tcMar>
          </w:tcPr>
          <w:p>
            <w:pPr>
              <w:jc w:val="left"/>
            </w:pPr>
            <w:r>
              <w:rPr>
                <w:rFonts w:ascii="宋体" w:hAnsi="宋体" w:eastAsia="宋体"/>
                <w:b w:val="0"/>
                <w:sz w:val="18"/>
              </w:rPr>
              <w:t>^5.8.3</w:t>
            </w:r>
          </w:p>
        </w:tc>
        <w:tc>
          <w:tcPr>
            <w:tcW w:type="dxa" w:w="2268"/>
            <w:vAlign w:val="center"/>
            <w:tcMar>
              <w:top w:w="80" w:type="dxa"/>
              <w:start w:w="100" w:type="dxa"/>
              <w:bottom w:w="80" w:type="dxa"/>
              <w:end w:w="100" w:type="dxa"/>
            </w:tcMar>
          </w:tcPr>
          <w:p>
            <w:pPr>
              <w:jc w:val="left"/>
            </w:pPr>
            <w:r>
              <w:rPr>
                <w:rFonts w:ascii="宋体" w:hAnsi="宋体" w:eastAsia="宋体"/>
                <w:b w:val="0"/>
                <w:sz w:val="18"/>
              </w:rPr>
              <w:t>frontend/package.json</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图表库</w:t>
            </w:r>
          </w:p>
        </w:tc>
        <w:tc>
          <w:tcPr>
            <w:tcW w:type="dxa" w:w="2268"/>
            <w:vAlign w:val="center"/>
            <w:tcMar>
              <w:top w:w="80" w:type="dxa"/>
              <w:start w:w="100" w:type="dxa"/>
              <w:bottom w:w="80" w:type="dxa"/>
              <w:end w:w="100" w:type="dxa"/>
            </w:tcMar>
          </w:tcPr>
          <w:p>
            <w:pPr>
              <w:jc w:val="left"/>
            </w:pPr>
            <w:r>
              <w:rPr>
                <w:rFonts w:ascii="宋体" w:hAnsi="宋体" w:eastAsia="宋体"/>
                <w:b w:val="0"/>
                <w:sz w:val="18"/>
              </w:rPr>
              <w:t>ECharts</w:t>
            </w:r>
          </w:p>
        </w:tc>
        <w:tc>
          <w:tcPr>
            <w:tcW w:type="dxa" w:w="2268"/>
            <w:vAlign w:val="center"/>
            <w:tcMar>
              <w:top w:w="80" w:type="dxa"/>
              <w:start w:w="100" w:type="dxa"/>
              <w:bottom w:w="80" w:type="dxa"/>
              <w:end w:w="100" w:type="dxa"/>
            </w:tcMar>
          </w:tcPr>
          <w:p>
            <w:pPr>
              <w:jc w:val="left"/>
            </w:pPr>
            <w:r>
              <w:rPr>
                <w:rFonts w:ascii="宋体" w:hAnsi="宋体" w:eastAsia="宋体"/>
                <w:b w:val="0"/>
                <w:sz w:val="18"/>
              </w:rPr>
              <w:t>^5.6.0</w:t>
            </w:r>
          </w:p>
        </w:tc>
        <w:tc>
          <w:tcPr>
            <w:tcW w:type="dxa" w:w="2268"/>
            <w:vAlign w:val="center"/>
            <w:tcMar>
              <w:top w:w="80" w:type="dxa"/>
              <w:start w:w="100" w:type="dxa"/>
              <w:bottom w:w="80" w:type="dxa"/>
              <w:end w:w="100" w:type="dxa"/>
            </w:tcMar>
          </w:tcPr>
          <w:p>
            <w:pPr>
              <w:jc w:val="left"/>
            </w:pPr>
            <w:r>
              <w:rPr>
                <w:rFonts w:ascii="宋体" w:hAnsi="宋体" w:eastAsia="宋体"/>
                <w:b w:val="0"/>
                <w:sz w:val="18"/>
              </w:rPr>
              <w:t>frontend/package.json</w:t>
            </w:r>
          </w:p>
        </w:tc>
      </w:tr>
    </w:tbl>
    <w:p/>
    <w:p>
      <w:pPr>
        <w:pStyle w:val="Heading2"/>
      </w:pPr>
      <w:r>
        <w:rPr>
          <w:rFonts w:ascii="黑体" w:hAnsi="黑体" w:eastAsia="黑体"/>
          <w:b/>
          <w:color w:val="1F4E79"/>
          <w:sz w:val="26"/>
        </w:rPr>
        <w:t>5.2 系统需求分析</w:t>
      </w:r>
    </w:p>
    <w:p>
      <w:pPr>
        <w:spacing w:line="300" w:lineRule="auto" w:after="120"/>
        <w:ind w:firstLine="420"/>
        <w:jc w:val="both"/>
      </w:pPr>
      <w:r>
        <w:rPr>
          <w:rFonts w:ascii="宋体" w:hAnsi="宋体" w:eastAsia="宋体"/>
          <w:b w:val="0"/>
          <w:sz w:val="21"/>
        </w:rPr>
        <w:t>系统功能需求包括历史数据处理、标签构造、特征工程、模型训练、模型推理、信号生成、研究型回测、实时预测记录、延迟结算、实时指标统计、后端 API 和前端 Dashboard 展示。非功能需求包括时间序列切分不打乱、特征不使用未来信息、模型指标可复现、预测记录可追踪、实时准确率只统计 SETTLED 记录，以及部署方案中明确前后端职责边界。</w:t>
      </w:r>
    </w:p>
    <w:p>
      <w:pPr>
        <w:pStyle w:val="Heading2"/>
      </w:pPr>
      <w:r>
        <w:rPr>
          <w:rFonts w:ascii="黑体" w:hAnsi="黑体" w:eastAsia="黑体"/>
          <w:b/>
          <w:color w:val="1F4E79"/>
          <w:sz w:val="26"/>
        </w:rPr>
        <w:t>5.3 系统总体架构</w:t>
      </w:r>
    </w:p>
    <w:p>
      <w:pPr>
        <w:spacing w:line="300" w:lineRule="auto" w:after="120"/>
        <w:ind w:firstLine="420"/>
        <w:jc w:val="both"/>
      </w:pPr>
      <w:r>
        <w:rPr>
          <w:rFonts w:ascii="宋体" w:hAnsi="宋体" w:eastAsia="宋体"/>
          <w:b w:val="0"/>
          <w:sz w:val="21"/>
        </w:rPr>
        <w:t>系统由数据层、模型层、服务层和展示层组成。数据层包括历史K线 CSV、测试集预测输出、实时预测记录和训练报告；模型层包括 LightGBM 分类器、LightGBM 回归器和 feature_columns.json；服务层包括 FastAPI 后端、Binance K线获取、实时推理和结算；展示层包括 React Dashboard。</w:t>
      </w:r>
    </w:p>
    <w:p>
      <w:pPr>
        <w:jc w:val="center"/>
      </w:pPr>
      <w:r>
        <w:drawing>
          <wp:inline xmlns:a="http://schemas.openxmlformats.org/drawingml/2006/main" xmlns:pic="http://schemas.openxmlformats.org/drawingml/2006/picture">
            <wp:extent cx="5394960" cy="2676061"/>
            <wp:docPr id="11" name="Picture 11"/>
            <wp:cNvGraphicFramePr>
              <a:graphicFrameLocks noChangeAspect="1"/>
            </wp:cNvGraphicFramePr>
            <a:graphic>
              <a:graphicData uri="http://schemas.openxmlformats.org/drawingml/2006/picture">
                <pic:pic>
                  <pic:nvPicPr>
                    <pic:cNvPr id="0" name="system_architecture.png"/>
                    <pic:cNvPicPr/>
                  </pic:nvPicPr>
                  <pic:blipFill>
                    <a:blip r:embed="rId21"/>
                    <a:stretch>
                      <a:fillRect/>
                    </a:stretch>
                  </pic:blipFill>
                  <pic:spPr>
                    <a:xfrm>
                      <a:off x="0" y="0"/>
                      <a:ext cx="5394960" cy="2676061"/>
                    </a:xfrm>
                    <a:prstGeom prst="rect"/>
                  </pic:spPr>
                </pic:pic>
              </a:graphicData>
            </a:graphic>
          </wp:inline>
        </w:drawing>
      </w:r>
    </w:p>
    <w:p>
      <w:pPr>
        <w:spacing w:line="300" w:lineRule="auto" w:after="120"/>
        <w:ind w:firstLine="0"/>
        <w:jc w:val="center"/>
      </w:pPr>
      <w:r>
        <w:rPr>
          <w:rFonts w:ascii="宋体" w:hAnsi="宋体" w:eastAsia="宋体"/>
          <w:b/>
          <w:sz w:val="21"/>
        </w:rPr>
        <w:t>图11 系统总体架构图</w:t>
      </w:r>
    </w:p>
    <w:p>
      <w:pPr>
        <w:pStyle w:val="Heading2"/>
      </w:pPr>
      <w:r>
        <w:rPr>
          <w:rFonts w:ascii="黑体" w:hAnsi="黑体" w:eastAsia="黑体"/>
          <w:b/>
          <w:color w:val="1F4E79"/>
          <w:sz w:val="26"/>
        </w:rPr>
        <w:t>5.4 数据存储设计</w:t>
      </w:r>
    </w:p>
    <w:p>
      <w:pPr>
        <w:spacing w:line="300" w:lineRule="auto" w:after="120"/>
        <w:ind w:firstLine="420"/>
        <w:jc w:val="both"/>
      </w:pPr>
      <w:r>
        <w:rPr>
          <w:rFonts w:ascii="宋体" w:hAnsi="宋体" w:eastAsia="宋体"/>
          <w:b w:val="0"/>
          <w:sz w:val="21"/>
        </w:rPr>
        <w:t>项目当前采用文件型存储。原始K线数据位于 数据集/BTCUSDT_5m_2y.csv，模型文件位于 runs/latest/models，训练报告和指标位于 runs/latest/reports，测试集预测和实时预测记录位于 runs/latest/outputs。该设计便于课程展示和复现实验，但在高并发、多用户和长期运行场景下需要升级为数据库存储。</w:t>
      </w:r>
    </w:p>
    <w:p>
      <w:pPr>
        <w:jc w:val="center"/>
      </w:pPr>
      <w:r>
        <w:drawing>
          <wp:inline xmlns:a="http://schemas.openxmlformats.org/drawingml/2006/main" xmlns:pic="http://schemas.openxmlformats.org/drawingml/2006/picture">
            <wp:extent cx="5394960" cy="2676061"/>
            <wp:docPr id="12" name="Picture 12"/>
            <wp:cNvGraphicFramePr>
              <a:graphicFrameLocks noChangeAspect="1"/>
            </wp:cNvGraphicFramePr>
            <a:graphic>
              <a:graphicData uri="http://schemas.openxmlformats.org/drawingml/2006/picture">
                <pic:pic>
                  <pic:nvPicPr>
                    <pic:cNvPr id="0" name="data_storage_structure.png"/>
                    <pic:cNvPicPr/>
                  </pic:nvPicPr>
                  <pic:blipFill>
                    <a:blip r:embed="rId22"/>
                    <a:stretch>
                      <a:fillRect/>
                    </a:stretch>
                  </pic:blipFill>
                  <pic:spPr>
                    <a:xfrm>
                      <a:off x="0" y="0"/>
                      <a:ext cx="5394960" cy="2676061"/>
                    </a:xfrm>
                    <a:prstGeom prst="rect"/>
                  </pic:spPr>
                </pic:pic>
              </a:graphicData>
            </a:graphic>
          </wp:inline>
        </w:drawing>
      </w:r>
    </w:p>
    <w:p>
      <w:pPr>
        <w:spacing w:line="300" w:lineRule="auto" w:after="120"/>
        <w:ind w:firstLine="0"/>
        <w:jc w:val="center"/>
      </w:pPr>
      <w:r>
        <w:rPr>
          <w:rFonts w:ascii="宋体" w:hAnsi="宋体" w:eastAsia="宋体"/>
          <w:b/>
          <w:sz w:val="21"/>
        </w:rPr>
        <w:t>图12 数据存储结构图</w:t>
      </w:r>
    </w:p>
    <w:p>
      <w:pPr>
        <w:spacing w:line="300" w:lineRule="auto" w:after="120"/>
        <w:ind w:firstLine="0"/>
        <w:jc w:val="center"/>
      </w:pPr>
      <w:r>
        <w:rPr>
          <w:rFonts w:ascii="宋体" w:hAnsi="宋体" w:eastAsia="宋体"/>
          <w:b/>
          <w:sz w:val="21"/>
        </w:rPr>
        <w:t>表8 实时预测记录字段说明</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vAlign w:val="center"/>
            <w:tcMar>
              <w:top w:w="80" w:type="dxa"/>
              <w:start w:w="100" w:type="dxa"/>
              <w:bottom w:w="80" w:type="dxa"/>
              <w:end w:w="100" w:type="dxa"/>
            </w:tcMar>
            <w:shd w:fill="D9EAF7"/>
          </w:tcPr>
          <w:p>
            <w:pPr>
              <w:jc w:val="center"/>
            </w:pPr>
            <w:r>
              <w:rPr>
                <w:rFonts w:ascii="宋体" w:hAnsi="宋体" w:eastAsia="宋体"/>
                <w:b/>
                <w:sz w:val="18"/>
              </w:rPr>
              <w:t>字段</w:t>
            </w:r>
          </w:p>
        </w:tc>
        <w:tc>
          <w:tcPr>
            <w:tcW w:type="dxa" w:w="4535"/>
            <w:vAlign w:val="center"/>
            <w:tcMar>
              <w:top w:w="80" w:type="dxa"/>
              <w:start w:w="100" w:type="dxa"/>
              <w:bottom w:w="80" w:type="dxa"/>
              <w:end w:w="100" w:type="dxa"/>
            </w:tcMar>
            <w:shd w:fill="D9EAF7"/>
          </w:tcPr>
          <w:p>
            <w:pPr>
              <w:jc w:val="center"/>
            </w:pPr>
            <w:r>
              <w:rPr>
                <w:rFonts w:ascii="宋体" w:hAnsi="宋体" w:eastAsia="宋体"/>
                <w:b/>
                <w:sz w:val="18"/>
              </w:rPr>
              <w:t>含义</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symbol</w:t>
            </w:r>
          </w:p>
        </w:tc>
        <w:tc>
          <w:tcPr>
            <w:tcW w:type="dxa" w:w="4535"/>
            <w:vAlign w:val="center"/>
            <w:tcMar>
              <w:top w:w="80" w:type="dxa"/>
              <w:start w:w="100" w:type="dxa"/>
              <w:bottom w:w="80" w:type="dxa"/>
              <w:end w:w="100" w:type="dxa"/>
            </w:tcMar>
          </w:tcPr>
          <w:p>
            <w:pPr>
              <w:jc w:val="left"/>
            </w:pPr>
            <w:r>
              <w:rPr>
                <w:rFonts w:ascii="宋体" w:hAnsi="宋体" w:eastAsia="宋体"/>
                <w:b w:val="0"/>
                <w:sz w:val="18"/>
              </w:rPr>
              <w:t>交易对，当前为 BTCUSDT</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interval</w:t>
            </w:r>
          </w:p>
        </w:tc>
        <w:tc>
          <w:tcPr>
            <w:tcW w:type="dxa" w:w="4535"/>
            <w:vAlign w:val="center"/>
            <w:tcMar>
              <w:top w:w="80" w:type="dxa"/>
              <w:start w:w="100" w:type="dxa"/>
              <w:bottom w:w="80" w:type="dxa"/>
              <w:end w:w="100" w:type="dxa"/>
            </w:tcMar>
          </w:tcPr>
          <w:p>
            <w:pPr>
              <w:jc w:val="left"/>
            </w:pPr>
            <w:r>
              <w:rPr>
                <w:rFonts w:ascii="宋体" w:hAnsi="宋体" w:eastAsia="宋体"/>
                <w:b w:val="0"/>
                <w:sz w:val="18"/>
              </w:rPr>
              <w:t>K线周期，当前为 5m</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open_time</w:t>
            </w:r>
          </w:p>
        </w:tc>
        <w:tc>
          <w:tcPr>
            <w:tcW w:type="dxa" w:w="4535"/>
            <w:vAlign w:val="center"/>
            <w:tcMar>
              <w:top w:w="80" w:type="dxa"/>
              <w:start w:w="100" w:type="dxa"/>
              <w:bottom w:w="80" w:type="dxa"/>
              <w:end w:w="100" w:type="dxa"/>
            </w:tcMar>
          </w:tcPr>
          <w:p>
            <w:pPr>
              <w:jc w:val="left"/>
            </w:pPr>
            <w:r>
              <w:rPr>
                <w:rFonts w:ascii="宋体" w:hAnsi="宋体" w:eastAsia="宋体"/>
                <w:b w:val="0"/>
                <w:sz w:val="18"/>
              </w:rPr>
              <w:t>被预测K线的开盘时间</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close / current_price</w:t>
            </w:r>
          </w:p>
        </w:tc>
        <w:tc>
          <w:tcPr>
            <w:tcW w:type="dxa" w:w="4535"/>
            <w:vAlign w:val="center"/>
            <w:tcMar>
              <w:top w:w="80" w:type="dxa"/>
              <w:start w:w="100" w:type="dxa"/>
              <w:bottom w:w="80" w:type="dxa"/>
              <w:end w:w="100" w:type="dxa"/>
            </w:tcMar>
          </w:tcPr>
          <w:p>
            <w:pPr>
              <w:jc w:val="left"/>
            </w:pPr>
            <w:r>
              <w:rPr>
                <w:rFonts w:ascii="宋体" w:hAnsi="宋体" w:eastAsia="宋体"/>
                <w:b w:val="0"/>
                <w:sz w:val="18"/>
              </w:rPr>
              <w:t>当前K线收盘价或当前展示价格</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buy_probability</w:t>
            </w:r>
          </w:p>
        </w:tc>
        <w:tc>
          <w:tcPr>
            <w:tcW w:type="dxa" w:w="4535"/>
            <w:vAlign w:val="center"/>
            <w:tcMar>
              <w:top w:w="80" w:type="dxa"/>
              <w:start w:w="100" w:type="dxa"/>
              <w:bottom w:w="80" w:type="dxa"/>
              <w:end w:w="100" w:type="dxa"/>
            </w:tcMar>
          </w:tcPr>
          <w:p>
            <w:pPr>
              <w:jc w:val="left"/>
            </w:pPr>
            <w:r>
              <w:rPr>
                <w:rFonts w:ascii="宋体" w:hAnsi="宋体" w:eastAsia="宋体"/>
                <w:b w:val="0"/>
                <w:sz w:val="18"/>
              </w:rPr>
              <w:t>分类模型输出的买入概率</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predicted_max_return</w:t>
            </w:r>
          </w:p>
        </w:tc>
        <w:tc>
          <w:tcPr>
            <w:tcW w:type="dxa" w:w="4535"/>
            <w:vAlign w:val="center"/>
            <w:tcMar>
              <w:top w:w="80" w:type="dxa"/>
              <w:start w:w="100" w:type="dxa"/>
              <w:bottom w:w="80" w:type="dxa"/>
              <w:end w:w="100" w:type="dxa"/>
            </w:tcMar>
          </w:tcPr>
          <w:p>
            <w:pPr>
              <w:jc w:val="left"/>
            </w:pPr>
            <w:r>
              <w:rPr>
                <w:rFonts w:ascii="宋体" w:hAnsi="宋体" w:eastAsia="宋体"/>
                <w:b w:val="0"/>
                <w:sz w:val="18"/>
              </w:rPr>
              <w:t>回归模型输出的未来最大涨幅预测</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pred_high_price</w:t>
            </w:r>
          </w:p>
        </w:tc>
        <w:tc>
          <w:tcPr>
            <w:tcW w:type="dxa" w:w="4535"/>
            <w:vAlign w:val="center"/>
            <w:tcMar>
              <w:top w:w="80" w:type="dxa"/>
              <w:start w:w="100" w:type="dxa"/>
              <w:bottom w:w="80" w:type="dxa"/>
              <w:end w:w="100" w:type="dxa"/>
            </w:tcMar>
          </w:tcPr>
          <w:p>
            <w:pPr>
              <w:jc w:val="left"/>
            </w:pPr>
            <w:r>
              <w:rPr>
                <w:rFonts w:ascii="宋体" w:hAnsi="宋体" w:eastAsia="宋体"/>
                <w:b w:val="0"/>
                <w:sz w:val="18"/>
              </w:rPr>
              <w:t>根据当前价格和预测涨幅换算的预测高点</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signal</w:t>
            </w:r>
          </w:p>
        </w:tc>
        <w:tc>
          <w:tcPr>
            <w:tcW w:type="dxa" w:w="4535"/>
            <w:vAlign w:val="center"/>
            <w:tcMar>
              <w:top w:w="80" w:type="dxa"/>
              <w:start w:w="100" w:type="dxa"/>
              <w:bottom w:w="80" w:type="dxa"/>
              <w:end w:w="100" w:type="dxa"/>
            </w:tcMar>
          </w:tcPr>
          <w:p>
            <w:pPr>
              <w:jc w:val="left"/>
            </w:pPr>
            <w:r>
              <w:rPr>
                <w:rFonts w:ascii="宋体" w:hAnsi="宋体" w:eastAsia="宋体"/>
                <w:b w:val="0"/>
                <w:sz w:val="18"/>
              </w:rPr>
              <w:t>BUY、WATCH 或 NO_BUY</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reason</w:t>
            </w:r>
          </w:p>
        </w:tc>
        <w:tc>
          <w:tcPr>
            <w:tcW w:type="dxa" w:w="4535"/>
            <w:vAlign w:val="center"/>
            <w:tcMar>
              <w:top w:w="80" w:type="dxa"/>
              <w:start w:w="100" w:type="dxa"/>
              <w:bottom w:w="80" w:type="dxa"/>
              <w:end w:w="100" w:type="dxa"/>
            </w:tcMar>
          </w:tcPr>
          <w:p>
            <w:pPr>
              <w:jc w:val="left"/>
            </w:pPr>
            <w:r>
              <w:rPr>
                <w:rFonts w:ascii="宋体" w:hAnsi="宋体" w:eastAsia="宋体"/>
                <w:b w:val="0"/>
                <w:sz w:val="18"/>
              </w:rPr>
              <w:t>信号生成原因</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settlement_status</w:t>
            </w:r>
          </w:p>
        </w:tc>
        <w:tc>
          <w:tcPr>
            <w:tcW w:type="dxa" w:w="4535"/>
            <w:vAlign w:val="center"/>
            <w:tcMar>
              <w:top w:w="80" w:type="dxa"/>
              <w:start w:w="100" w:type="dxa"/>
              <w:bottom w:w="80" w:type="dxa"/>
              <w:end w:w="100" w:type="dxa"/>
            </w:tcMar>
          </w:tcPr>
          <w:p>
            <w:pPr>
              <w:jc w:val="left"/>
            </w:pPr>
            <w:r>
              <w:rPr>
                <w:rFonts w:ascii="宋体" w:hAnsi="宋体" w:eastAsia="宋体"/>
                <w:b w:val="0"/>
                <w:sz w:val="18"/>
              </w:rPr>
              <w:t>PENDING 或 SETTLED</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settled_at</w:t>
            </w:r>
          </w:p>
        </w:tc>
        <w:tc>
          <w:tcPr>
            <w:tcW w:type="dxa" w:w="4535"/>
            <w:vAlign w:val="center"/>
            <w:tcMar>
              <w:top w:w="80" w:type="dxa"/>
              <w:start w:w="100" w:type="dxa"/>
              <w:bottom w:w="80" w:type="dxa"/>
              <w:end w:w="100" w:type="dxa"/>
            </w:tcMar>
          </w:tcPr>
          <w:p>
            <w:pPr>
              <w:jc w:val="left"/>
            </w:pPr>
            <w:r>
              <w:rPr>
                <w:rFonts w:ascii="宋体" w:hAnsi="宋体" w:eastAsia="宋体"/>
                <w:b w:val="0"/>
                <w:sz w:val="18"/>
              </w:rPr>
              <w:t>结算时间</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actual_future_max_return_30m</w:t>
            </w:r>
          </w:p>
        </w:tc>
        <w:tc>
          <w:tcPr>
            <w:tcW w:type="dxa" w:w="4535"/>
            <w:vAlign w:val="center"/>
            <w:tcMar>
              <w:top w:w="80" w:type="dxa"/>
              <w:start w:w="100" w:type="dxa"/>
              <w:bottom w:w="80" w:type="dxa"/>
              <w:end w:w="100" w:type="dxa"/>
            </w:tcMar>
          </w:tcPr>
          <w:p>
            <w:pPr>
              <w:jc w:val="left"/>
            </w:pPr>
            <w:r>
              <w:rPr>
                <w:rFonts w:ascii="宋体" w:hAnsi="宋体" w:eastAsia="宋体"/>
                <w:b w:val="0"/>
                <w:sz w:val="18"/>
              </w:rPr>
              <w:t>实际未来30分钟最大涨幅</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actual_y_buy</w:t>
            </w:r>
          </w:p>
        </w:tc>
        <w:tc>
          <w:tcPr>
            <w:tcW w:type="dxa" w:w="4535"/>
            <w:vAlign w:val="center"/>
            <w:tcMar>
              <w:top w:w="80" w:type="dxa"/>
              <w:start w:w="100" w:type="dxa"/>
              <w:bottom w:w="80" w:type="dxa"/>
              <w:end w:w="100" w:type="dxa"/>
            </w:tcMar>
          </w:tcPr>
          <w:p>
            <w:pPr>
              <w:jc w:val="left"/>
            </w:pPr>
            <w:r>
              <w:rPr>
                <w:rFonts w:ascii="宋体" w:hAnsi="宋体" w:eastAsia="宋体"/>
                <w:b w:val="0"/>
                <w:sz w:val="18"/>
              </w:rPr>
              <w:t>实际是否满足 y_buy</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predicted_y_buy</w:t>
            </w:r>
          </w:p>
        </w:tc>
        <w:tc>
          <w:tcPr>
            <w:tcW w:type="dxa" w:w="4535"/>
            <w:vAlign w:val="center"/>
            <w:tcMar>
              <w:top w:w="80" w:type="dxa"/>
              <w:start w:w="100" w:type="dxa"/>
              <w:bottom w:w="80" w:type="dxa"/>
              <w:end w:w="100" w:type="dxa"/>
            </w:tcMar>
          </w:tcPr>
          <w:p>
            <w:pPr>
              <w:jc w:val="left"/>
            </w:pPr>
            <w:r>
              <w:rPr>
                <w:rFonts w:ascii="宋体" w:hAnsi="宋体" w:eastAsia="宋体"/>
                <w:b w:val="0"/>
                <w:sz w:val="18"/>
              </w:rPr>
              <w:t>概率阈值下的预测分类结果</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classification_hit</w:t>
            </w:r>
          </w:p>
        </w:tc>
        <w:tc>
          <w:tcPr>
            <w:tcW w:type="dxa" w:w="4535"/>
            <w:vAlign w:val="center"/>
            <w:tcMar>
              <w:top w:w="80" w:type="dxa"/>
              <w:start w:w="100" w:type="dxa"/>
              <w:bottom w:w="80" w:type="dxa"/>
              <w:end w:w="100" w:type="dxa"/>
            </w:tcMar>
          </w:tcPr>
          <w:p>
            <w:pPr>
              <w:jc w:val="left"/>
            </w:pPr>
            <w:r>
              <w:rPr>
                <w:rFonts w:ascii="宋体" w:hAnsi="宋体" w:eastAsia="宋体"/>
                <w:b w:val="0"/>
                <w:sz w:val="18"/>
              </w:rPr>
              <w:t>分类是否命中</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signal_hit</w:t>
            </w:r>
          </w:p>
        </w:tc>
        <w:tc>
          <w:tcPr>
            <w:tcW w:type="dxa" w:w="4535"/>
            <w:vAlign w:val="center"/>
            <w:tcMar>
              <w:top w:w="80" w:type="dxa"/>
              <w:start w:w="100" w:type="dxa"/>
              <w:bottom w:w="80" w:type="dxa"/>
              <w:end w:w="100" w:type="dxa"/>
            </w:tcMar>
          </w:tcPr>
          <w:p>
            <w:pPr>
              <w:jc w:val="left"/>
            </w:pPr>
            <w:r>
              <w:rPr>
                <w:rFonts w:ascii="宋体" w:hAnsi="宋体" w:eastAsia="宋体"/>
                <w:b w:val="0"/>
                <w:sz w:val="18"/>
              </w:rPr>
              <w:t>信号是否符合结算规则</w:t>
            </w:r>
          </w:p>
        </w:tc>
      </w:tr>
      <w:tr>
        <w:tc>
          <w:tcPr>
            <w:tcW w:type="dxa" w:w="4535"/>
            <w:vAlign w:val="center"/>
            <w:tcMar>
              <w:top w:w="80" w:type="dxa"/>
              <w:start w:w="100" w:type="dxa"/>
              <w:bottom w:w="80" w:type="dxa"/>
              <w:end w:w="100" w:type="dxa"/>
            </w:tcMar>
          </w:tcPr>
          <w:p>
            <w:pPr>
              <w:jc w:val="left"/>
            </w:pPr>
            <w:r>
              <w:rPr>
                <w:rFonts w:ascii="宋体" w:hAnsi="宋体" w:eastAsia="宋体"/>
                <w:b w:val="0"/>
                <w:sz w:val="18"/>
              </w:rPr>
              <w:t>return_error / return_abs_error</w:t>
            </w:r>
          </w:p>
        </w:tc>
        <w:tc>
          <w:tcPr>
            <w:tcW w:type="dxa" w:w="4535"/>
            <w:vAlign w:val="center"/>
            <w:tcMar>
              <w:top w:w="80" w:type="dxa"/>
              <w:start w:w="100" w:type="dxa"/>
              <w:bottom w:w="80" w:type="dxa"/>
              <w:end w:w="100" w:type="dxa"/>
            </w:tcMar>
          </w:tcPr>
          <w:p>
            <w:pPr>
              <w:jc w:val="left"/>
            </w:pPr>
            <w:r>
              <w:rPr>
                <w:rFonts w:ascii="宋体" w:hAnsi="宋体" w:eastAsia="宋体"/>
                <w:b w:val="0"/>
                <w:sz w:val="18"/>
              </w:rPr>
              <w:t>回归预测误差及绝对误差</w:t>
            </w:r>
          </w:p>
        </w:tc>
      </w:tr>
    </w:tbl>
    <w:p/>
    <w:p>
      <w:pPr>
        <w:pStyle w:val="Heading2"/>
      </w:pPr>
      <w:r>
        <w:rPr>
          <w:rFonts w:ascii="黑体" w:hAnsi="黑体" w:eastAsia="黑体"/>
          <w:b/>
          <w:color w:val="1F4E79"/>
          <w:sz w:val="26"/>
        </w:rPr>
        <w:t>5.5 标签构造模块</w:t>
      </w:r>
    </w:p>
    <w:p>
      <w:pPr>
        <w:spacing w:line="300" w:lineRule="auto" w:after="120"/>
        <w:ind w:firstLine="420"/>
        <w:jc w:val="both"/>
      </w:pPr>
      <w:r>
        <w:rPr>
          <w:rFonts w:ascii="宋体" w:hAnsi="宋体" w:eastAsia="宋体"/>
          <w:b w:val="0"/>
          <w:sz w:val="21"/>
        </w:rPr>
        <w:t>标签构造模块位于 src/labels/build_labels.py。add_future_labels 函数根据 horizon=6 构造 future_max_return_30m、future_min_return_30m、future_close_return_30m，以及基于 next-open 的回测字段。该模块会丢弃最后6行缺少完整未来窗口的样本，并根据 upside_threshold=0.002 构造 y_buy。</w:t>
      </w:r>
    </w:p>
    <w:p>
      <w:pPr>
        <w:pStyle w:val="Heading2"/>
      </w:pPr>
      <w:r>
        <w:rPr>
          <w:rFonts w:ascii="黑体" w:hAnsi="黑体" w:eastAsia="黑体"/>
          <w:b/>
          <w:color w:val="1F4E79"/>
          <w:sz w:val="26"/>
        </w:rPr>
        <w:t>5.6 特征工程模块</w:t>
      </w:r>
    </w:p>
    <w:p>
      <w:pPr>
        <w:spacing w:line="300" w:lineRule="auto" w:after="120"/>
        <w:ind w:firstLine="420"/>
        <w:jc w:val="both"/>
      </w:pPr>
      <w:r>
        <w:rPr>
          <w:rFonts w:ascii="宋体" w:hAnsi="宋体" w:eastAsia="宋体"/>
          <w:b w:val="0"/>
          <w:sz w:val="21"/>
        </w:rPr>
        <w:t>特征工程模块位于 src/features/build_features.py。该模块生成收益率、均线、滚动波动、K线振幅、成交量 z-score、成交笔数变化和K线形态特征。模块中维护了 FORBIDDEN_FEATURE_COLUMNS，用于防止目标字段、未来收益字段和预测输出字段进入模型输入。</w:t>
      </w:r>
    </w:p>
    <w:p>
      <w:pPr>
        <w:pStyle w:val="Heading2"/>
      </w:pPr>
      <w:r>
        <w:rPr>
          <w:rFonts w:ascii="黑体" w:hAnsi="黑体" w:eastAsia="黑体"/>
          <w:b/>
          <w:color w:val="1F4E79"/>
          <w:sz w:val="26"/>
        </w:rPr>
        <w:t>5.7 模型训练模块</w:t>
      </w:r>
    </w:p>
    <w:p>
      <w:pPr>
        <w:spacing w:line="300" w:lineRule="auto" w:after="120"/>
        <w:ind w:firstLine="420"/>
        <w:jc w:val="both"/>
      </w:pPr>
      <w:r>
        <w:rPr>
          <w:rFonts w:ascii="宋体" w:hAnsi="宋体" w:eastAsia="宋体"/>
          <w:b w:val="0"/>
          <w:sz w:val="21"/>
        </w:rPr>
        <w:t>模型训练相关文件包括 src/models/train_classifier.py、src/models/train_regressor.py 和 src/models/predict.py。训练产物包括 runs/latest/models/buy_classifier.txt、runs/latest/models/return_regressor.txt、runs/latest/models/feature_columns.json 和 runs/latest/models/model_metadata.json。当前任务未修改训练主逻辑，只基于现有产物生成报告材料。</w:t>
      </w:r>
    </w:p>
    <w:p>
      <w:pPr>
        <w:pStyle w:val="Heading2"/>
      </w:pPr>
      <w:r>
        <w:rPr>
          <w:rFonts w:ascii="黑体" w:hAnsi="黑体" w:eastAsia="黑体"/>
          <w:b/>
          <w:color w:val="1F4E79"/>
          <w:sz w:val="26"/>
        </w:rPr>
        <w:t>5.8 实时预测模块</w:t>
      </w:r>
    </w:p>
    <w:p>
      <w:pPr>
        <w:spacing w:line="300" w:lineRule="auto" w:after="120"/>
        <w:ind w:firstLine="420"/>
        <w:jc w:val="both"/>
      </w:pPr>
      <w:r>
        <w:rPr>
          <w:rFonts w:ascii="宋体" w:hAnsi="宋体" w:eastAsia="宋体"/>
          <w:b w:val="0"/>
          <w:sz w:val="21"/>
        </w:rPr>
        <w:t>实时预测入口位于 src/api/realtime_signal.py。该模块负责获取最新 BTCUSDT 5分钟K线，转换为模型特征输入，加载模型和特征列，调用预测函数，并生成最新信号。实时预测流程如图13所示。</w:t>
      </w:r>
    </w:p>
    <w:p>
      <w:pPr>
        <w:jc w:val="center"/>
      </w:pPr>
      <w:r>
        <w:drawing>
          <wp:inline xmlns:a="http://schemas.openxmlformats.org/drawingml/2006/main" xmlns:pic="http://schemas.openxmlformats.org/drawingml/2006/picture">
            <wp:extent cx="5394960" cy="2671021"/>
            <wp:docPr id="13" name="Picture 13"/>
            <wp:cNvGraphicFramePr>
              <a:graphicFrameLocks noChangeAspect="1"/>
            </wp:cNvGraphicFramePr>
            <a:graphic>
              <a:graphicData uri="http://schemas.openxmlformats.org/drawingml/2006/picture">
                <pic:pic>
                  <pic:nvPicPr>
                    <pic:cNvPr id="0" name="realtime_prediction_flow.png"/>
                    <pic:cNvPicPr/>
                  </pic:nvPicPr>
                  <pic:blipFill>
                    <a:blip r:embed="rId23"/>
                    <a:stretch>
                      <a:fillRect/>
                    </a:stretch>
                  </pic:blipFill>
                  <pic:spPr>
                    <a:xfrm>
                      <a:off x="0" y="0"/>
                      <a:ext cx="5394960" cy="2671021"/>
                    </a:xfrm>
                    <a:prstGeom prst="rect"/>
                  </pic:spPr>
                </pic:pic>
              </a:graphicData>
            </a:graphic>
          </wp:inline>
        </w:drawing>
      </w:r>
    </w:p>
    <w:p>
      <w:pPr>
        <w:spacing w:line="300" w:lineRule="auto" w:after="120"/>
        <w:ind w:firstLine="0"/>
        <w:jc w:val="center"/>
      </w:pPr>
      <w:r>
        <w:rPr>
          <w:rFonts w:ascii="宋体" w:hAnsi="宋体" w:eastAsia="宋体"/>
          <w:b/>
          <w:sz w:val="21"/>
        </w:rPr>
        <w:t>图13 实时预测流程图</w:t>
      </w:r>
    </w:p>
    <w:p>
      <w:pPr>
        <w:spacing w:line="300" w:lineRule="auto" w:after="120"/>
        <w:ind w:firstLine="0"/>
        <w:jc w:val="center"/>
      </w:pPr>
      <w:r>
        <w:rPr>
          <w:rFonts w:ascii="宋体" w:hAnsi="宋体" w:eastAsia="宋体"/>
          <w:b/>
          <w:sz w:val="21"/>
        </w:rPr>
        <w:t>图14 Dashboard 当前行情模块截图（需作者运行系统后手动补充）</w:t>
      </w:r>
    </w:p>
    <w:p>
      <w:pPr>
        <w:spacing w:line="300" w:lineRule="auto" w:after="120"/>
        <w:ind w:firstLine="0"/>
        <w:jc w:val="center"/>
      </w:pPr>
      <w:r>
        <w:rPr>
          <w:rFonts w:ascii="宋体" w:hAnsi="宋体" w:eastAsia="宋体"/>
          <w:b/>
          <w:sz w:val="21"/>
        </w:rPr>
        <w:t>图15 Dashboard 最新信号模块截图（需作者运行系统后手动补充）</w:t>
      </w:r>
    </w:p>
    <w:p>
      <w:pPr>
        <w:spacing w:line="300" w:lineRule="auto" w:after="120"/>
        <w:ind w:firstLine="0"/>
        <w:jc w:val="center"/>
      </w:pPr>
      <w:r>
        <w:rPr>
          <w:rFonts w:ascii="宋体" w:hAnsi="宋体" w:eastAsia="宋体"/>
          <w:b/>
          <w:sz w:val="21"/>
        </w:rPr>
        <w:t>图16 Dashboard 最近30条预测记录截图（需作者运行系统后手动补充）</w:t>
      </w:r>
    </w:p>
    <w:p>
      <w:pPr>
        <w:spacing w:line="300" w:lineRule="auto" w:after="120"/>
        <w:ind w:firstLine="0"/>
        <w:jc w:val="center"/>
      </w:pPr>
      <w:r>
        <w:rPr>
          <w:rFonts w:ascii="宋体" w:hAnsi="宋体" w:eastAsia="宋体"/>
          <w:b/>
          <w:sz w:val="21"/>
        </w:rPr>
        <w:t>图17 Dashboard 实时准确率截图（需作者运行系统后手动补充）</w:t>
      </w:r>
    </w:p>
    <w:p>
      <w:pPr>
        <w:pStyle w:val="Heading2"/>
      </w:pPr>
      <w:r>
        <w:rPr>
          <w:rFonts w:ascii="黑体" w:hAnsi="黑体" w:eastAsia="黑体"/>
          <w:b/>
          <w:color w:val="1F4E79"/>
          <w:sz w:val="26"/>
        </w:rPr>
        <w:t>5.9 预测结算模块</w:t>
      </w:r>
    </w:p>
    <w:p>
      <w:pPr>
        <w:spacing w:line="300" w:lineRule="auto" w:after="120"/>
        <w:ind w:firstLine="420"/>
        <w:jc w:val="both"/>
      </w:pPr>
      <w:r>
        <w:rPr>
          <w:rFonts w:ascii="宋体" w:hAnsi="宋体" w:eastAsia="宋体"/>
          <w:b w:val="0"/>
          <w:sz w:val="21"/>
        </w:rPr>
        <w:t>预测结算模块位于 src/live/settle_live_predictions.py。实时预测刚生成时写入 live_predictions.csv，并标记为 PENDING。系统在未来6根5分钟K线完整后计算 actual_future_max_return_30m，更新 actual_y_buy、classification_hit、signal_hit、return_error 等字段，并将记录改为 SETTLED。实时准确率只从 SETTLED 记录计算，PENDING 记录不参与指标统计。</w:t>
      </w:r>
    </w:p>
    <w:p>
      <w:pPr>
        <w:jc w:val="center"/>
      </w:pPr>
      <w:r>
        <w:drawing>
          <wp:inline xmlns:a="http://schemas.openxmlformats.org/drawingml/2006/main" xmlns:pic="http://schemas.openxmlformats.org/drawingml/2006/picture">
            <wp:extent cx="5394960" cy="2676061"/>
            <wp:docPr id="14" name="Picture 14"/>
            <wp:cNvGraphicFramePr>
              <a:graphicFrameLocks noChangeAspect="1"/>
            </wp:cNvGraphicFramePr>
            <a:graphic>
              <a:graphicData uri="http://schemas.openxmlformats.org/drawingml/2006/picture">
                <pic:pic>
                  <pic:nvPicPr>
                    <pic:cNvPr id="0" name="delayed_settlement_flow.png"/>
                    <pic:cNvPicPr/>
                  </pic:nvPicPr>
                  <pic:blipFill>
                    <a:blip r:embed="rId24"/>
                    <a:stretch>
                      <a:fillRect/>
                    </a:stretch>
                  </pic:blipFill>
                  <pic:spPr>
                    <a:xfrm>
                      <a:off x="0" y="0"/>
                      <a:ext cx="5394960" cy="2676061"/>
                    </a:xfrm>
                    <a:prstGeom prst="rect"/>
                  </pic:spPr>
                </pic:pic>
              </a:graphicData>
            </a:graphic>
          </wp:inline>
        </w:drawing>
      </w:r>
    </w:p>
    <w:p>
      <w:pPr>
        <w:spacing w:line="300" w:lineRule="auto" w:after="120"/>
        <w:ind w:firstLine="0"/>
        <w:jc w:val="center"/>
      </w:pPr>
      <w:r>
        <w:rPr>
          <w:rFonts w:ascii="宋体" w:hAnsi="宋体" w:eastAsia="宋体"/>
          <w:b/>
          <w:sz w:val="21"/>
        </w:rPr>
        <w:t>图18 PENDING/SETTLED 延迟结算机制图</w:t>
      </w:r>
    </w:p>
    <w:p>
      <w:pPr>
        <w:pStyle w:val="Heading2"/>
      </w:pPr>
      <w:r>
        <w:rPr>
          <w:rFonts w:ascii="黑体" w:hAnsi="黑体" w:eastAsia="黑体"/>
          <w:b/>
          <w:color w:val="1F4E79"/>
          <w:sz w:val="26"/>
        </w:rPr>
        <w:t>5.10 后端 API 模块</w:t>
      </w:r>
    </w:p>
    <w:p>
      <w:pPr>
        <w:spacing w:line="300" w:lineRule="auto" w:after="120"/>
        <w:ind w:firstLine="420"/>
        <w:jc w:val="both"/>
      </w:pPr>
      <w:r>
        <w:rPr>
          <w:rFonts w:ascii="宋体" w:hAnsi="宋体" w:eastAsia="宋体"/>
          <w:b w:val="0"/>
          <w:sz w:val="21"/>
        </w:rPr>
        <w:t>后端 API 位于 src/api/app.py，采用 FastAPI 实现。API 主要为前端提供行情、最新信号、历史信号、实时指标、实时预测记录和回测结果。</w:t>
      </w:r>
    </w:p>
    <w:p>
      <w:pPr>
        <w:spacing w:line="300" w:lineRule="auto" w:after="120"/>
        <w:ind w:firstLine="0"/>
        <w:jc w:val="center"/>
      </w:pPr>
      <w:r>
        <w:rPr>
          <w:rFonts w:ascii="宋体" w:hAnsi="宋体" w:eastAsia="宋体"/>
          <w:b/>
          <w:sz w:val="21"/>
        </w:rPr>
        <w:t>表9 后端 API 接口说明</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start w:w="100" w:type="dxa"/>
              <w:bottom w:w="80" w:type="dxa"/>
              <w:end w:w="100" w:type="dxa"/>
            </w:tcMar>
            <w:shd w:fill="D9EAF7"/>
          </w:tcPr>
          <w:p>
            <w:pPr>
              <w:jc w:val="center"/>
            </w:pPr>
            <w:r>
              <w:rPr>
                <w:rFonts w:ascii="宋体" w:hAnsi="宋体" w:eastAsia="宋体"/>
                <w:b/>
                <w:sz w:val="18"/>
              </w:rPr>
              <w:t>接口</w:t>
            </w:r>
          </w:p>
        </w:tc>
        <w:tc>
          <w:tcPr>
            <w:tcW w:type="dxa" w:w="3024"/>
            <w:vAlign w:val="center"/>
            <w:tcMar>
              <w:top w:w="80" w:type="dxa"/>
              <w:start w:w="100" w:type="dxa"/>
              <w:bottom w:w="80" w:type="dxa"/>
              <w:end w:w="100" w:type="dxa"/>
            </w:tcMar>
            <w:shd w:fill="D9EAF7"/>
          </w:tcPr>
          <w:p>
            <w:pPr>
              <w:jc w:val="center"/>
            </w:pPr>
            <w:r>
              <w:rPr>
                <w:rFonts w:ascii="宋体" w:hAnsi="宋体" w:eastAsia="宋体"/>
                <w:b/>
                <w:sz w:val="18"/>
              </w:rPr>
              <w:t>方法</w:t>
            </w:r>
          </w:p>
        </w:tc>
        <w:tc>
          <w:tcPr>
            <w:tcW w:type="dxa" w:w="3024"/>
            <w:vAlign w:val="center"/>
            <w:tcMar>
              <w:top w:w="80" w:type="dxa"/>
              <w:start w:w="100" w:type="dxa"/>
              <w:bottom w:w="80" w:type="dxa"/>
              <w:end w:w="100" w:type="dxa"/>
            </w:tcMar>
            <w:shd w:fill="D9EAF7"/>
          </w:tcPr>
          <w:p>
            <w:pPr>
              <w:jc w:val="center"/>
            </w:pPr>
            <w:r>
              <w:rPr>
                <w:rFonts w:ascii="宋体" w:hAnsi="宋体" w:eastAsia="宋体"/>
                <w:b/>
                <w:sz w:val="18"/>
              </w:rPr>
              <w:t>功能说明</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/api/health</w:t>
            </w:r>
          </w:p>
        </w:tc>
        <w:tc>
          <w:tcPr>
            <w:tcW w:type="dxa" w:w="3024"/>
            <w:vAlign w:val="center"/>
            <w:tcMar>
              <w:top w:w="80" w:type="dxa"/>
              <w:start w:w="100" w:type="dxa"/>
              <w:bottom w:w="80" w:type="dxa"/>
              <w:end w:w="100" w:type="dxa"/>
            </w:tcMar>
          </w:tcPr>
          <w:p>
            <w:pPr>
              <w:jc w:val="left"/>
            </w:pPr>
            <w:r>
              <w:rPr>
                <w:rFonts w:ascii="宋体" w:hAnsi="宋体" w:eastAsia="宋体"/>
                <w:b w:val="0"/>
                <w:sz w:val="18"/>
              </w:rPr>
              <w:t>GET</w:t>
            </w:r>
          </w:p>
        </w:tc>
        <w:tc>
          <w:tcPr>
            <w:tcW w:type="dxa" w:w="3024"/>
            <w:vAlign w:val="center"/>
            <w:tcMar>
              <w:top w:w="80" w:type="dxa"/>
              <w:start w:w="100" w:type="dxa"/>
              <w:bottom w:w="80" w:type="dxa"/>
              <w:end w:w="100" w:type="dxa"/>
            </w:tcMar>
          </w:tcPr>
          <w:p>
            <w:pPr>
              <w:jc w:val="left"/>
            </w:pPr>
            <w:r>
              <w:rPr>
                <w:rFonts w:ascii="宋体" w:hAnsi="宋体" w:eastAsia="宋体"/>
                <w:b w:val="0"/>
                <w:sz w:val="18"/>
              </w:rPr>
              <w:t>健康检查</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/api/klines</w:t>
            </w:r>
          </w:p>
        </w:tc>
        <w:tc>
          <w:tcPr>
            <w:tcW w:type="dxa" w:w="3024"/>
            <w:vAlign w:val="center"/>
            <w:tcMar>
              <w:top w:w="80" w:type="dxa"/>
              <w:start w:w="100" w:type="dxa"/>
              <w:bottom w:w="80" w:type="dxa"/>
              <w:end w:w="100" w:type="dxa"/>
            </w:tcMar>
          </w:tcPr>
          <w:p>
            <w:pPr>
              <w:jc w:val="left"/>
            </w:pPr>
            <w:r>
              <w:rPr>
                <w:rFonts w:ascii="宋体" w:hAnsi="宋体" w:eastAsia="宋体"/>
                <w:b w:val="0"/>
                <w:sz w:val="18"/>
              </w:rPr>
              <w:t>GET</w:t>
            </w:r>
          </w:p>
        </w:tc>
        <w:tc>
          <w:tcPr>
            <w:tcW w:type="dxa" w:w="3024"/>
            <w:vAlign w:val="center"/>
            <w:tcMar>
              <w:top w:w="80" w:type="dxa"/>
              <w:start w:w="100" w:type="dxa"/>
              <w:bottom w:w="80" w:type="dxa"/>
              <w:end w:w="100" w:type="dxa"/>
            </w:tcMar>
          </w:tcPr>
          <w:p>
            <w:pPr>
              <w:jc w:val="left"/>
            </w:pPr>
            <w:r>
              <w:rPr>
                <w:rFonts w:ascii="宋体" w:hAnsi="宋体" w:eastAsia="宋体"/>
                <w:b w:val="0"/>
                <w:sz w:val="18"/>
              </w:rPr>
              <w:t>获取 Binance K线并转换为前端可用结构</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/api/latest-signal</w:t>
            </w:r>
          </w:p>
        </w:tc>
        <w:tc>
          <w:tcPr>
            <w:tcW w:type="dxa" w:w="3024"/>
            <w:vAlign w:val="center"/>
            <w:tcMar>
              <w:top w:w="80" w:type="dxa"/>
              <w:start w:w="100" w:type="dxa"/>
              <w:bottom w:w="80" w:type="dxa"/>
              <w:end w:w="100" w:type="dxa"/>
            </w:tcMar>
          </w:tcPr>
          <w:p>
            <w:pPr>
              <w:jc w:val="left"/>
            </w:pPr>
            <w:r>
              <w:rPr>
                <w:rFonts w:ascii="宋体" w:hAnsi="宋体" w:eastAsia="宋体"/>
                <w:b w:val="0"/>
                <w:sz w:val="18"/>
              </w:rPr>
              <w:t>GET</w:t>
            </w:r>
          </w:p>
        </w:tc>
        <w:tc>
          <w:tcPr>
            <w:tcW w:type="dxa" w:w="3024"/>
            <w:vAlign w:val="center"/>
            <w:tcMar>
              <w:top w:w="80" w:type="dxa"/>
              <w:start w:w="100" w:type="dxa"/>
              <w:bottom w:w="80" w:type="dxa"/>
              <w:end w:w="100" w:type="dxa"/>
            </w:tcMar>
          </w:tcPr>
          <w:p>
            <w:pPr>
              <w:jc w:val="left"/>
            </w:pPr>
            <w:r>
              <w:rPr>
                <w:rFonts w:ascii="宋体" w:hAnsi="宋体" w:eastAsia="宋体"/>
                <w:b w:val="0"/>
                <w:sz w:val="18"/>
              </w:rPr>
              <w:t>构造最新模型预测信号</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/api/signals</w:t>
            </w:r>
          </w:p>
        </w:tc>
        <w:tc>
          <w:tcPr>
            <w:tcW w:type="dxa" w:w="3024"/>
            <w:vAlign w:val="center"/>
            <w:tcMar>
              <w:top w:w="80" w:type="dxa"/>
              <w:start w:w="100" w:type="dxa"/>
              <w:bottom w:w="80" w:type="dxa"/>
              <w:end w:w="100" w:type="dxa"/>
            </w:tcMar>
          </w:tcPr>
          <w:p>
            <w:pPr>
              <w:jc w:val="left"/>
            </w:pPr>
            <w:r>
              <w:rPr>
                <w:rFonts w:ascii="宋体" w:hAnsi="宋体" w:eastAsia="宋体"/>
                <w:b w:val="0"/>
                <w:sz w:val="18"/>
              </w:rPr>
              <w:t>GET</w:t>
            </w:r>
          </w:p>
        </w:tc>
        <w:tc>
          <w:tcPr>
            <w:tcW w:type="dxa" w:w="3024"/>
            <w:vAlign w:val="center"/>
            <w:tcMar>
              <w:top w:w="80" w:type="dxa"/>
              <w:start w:w="100" w:type="dxa"/>
              <w:bottom w:w="80" w:type="dxa"/>
              <w:end w:w="100" w:type="dxa"/>
            </w:tcMar>
          </w:tcPr>
          <w:p>
            <w:pPr>
              <w:jc w:val="left"/>
            </w:pPr>
            <w:r>
              <w:rPr>
                <w:rFonts w:ascii="宋体" w:hAnsi="宋体" w:eastAsia="宋体"/>
                <w:b w:val="0"/>
                <w:sz w:val="18"/>
              </w:rPr>
              <w:t>读取历史信号记录</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/api/live/metrics</w:t>
            </w:r>
          </w:p>
        </w:tc>
        <w:tc>
          <w:tcPr>
            <w:tcW w:type="dxa" w:w="3024"/>
            <w:vAlign w:val="center"/>
            <w:tcMar>
              <w:top w:w="80" w:type="dxa"/>
              <w:start w:w="100" w:type="dxa"/>
              <w:bottom w:w="80" w:type="dxa"/>
              <w:end w:w="100" w:type="dxa"/>
            </w:tcMar>
          </w:tcPr>
          <w:p>
            <w:pPr>
              <w:jc w:val="left"/>
            </w:pPr>
            <w:r>
              <w:rPr>
                <w:rFonts w:ascii="宋体" w:hAnsi="宋体" w:eastAsia="宋体"/>
                <w:b w:val="0"/>
                <w:sz w:val="18"/>
              </w:rPr>
              <w:t>GET</w:t>
            </w:r>
          </w:p>
        </w:tc>
        <w:tc>
          <w:tcPr>
            <w:tcW w:type="dxa" w:w="3024"/>
            <w:vAlign w:val="center"/>
            <w:tcMar>
              <w:top w:w="80" w:type="dxa"/>
              <w:start w:w="100" w:type="dxa"/>
              <w:bottom w:w="80" w:type="dxa"/>
              <w:end w:w="100" w:type="dxa"/>
            </w:tcMar>
          </w:tcPr>
          <w:p>
            <w:pPr>
              <w:jc w:val="left"/>
            </w:pPr>
            <w:r>
              <w:rPr>
                <w:rFonts w:ascii="宋体" w:hAnsi="宋体" w:eastAsia="宋体"/>
                <w:b w:val="0"/>
                <w:sz w:val="18"/>
              </w:rPr>
              <w:t>读取并结算实时指标</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/api/live/predictions</w:t>
            </w:r>
          </w:p>
        </w:tc>
        <w:tc>
          <w:tcPr>
            <w:tcW w:type="dxa" w:w="3024"/>
            <w:vAlign w:val="center"/>
            <w:tcMar>
              <w:top w:w="80" w:type="dxa"/>
              <w:start w:w="100" w:type="dxa"/>
              <w:bottom w:w="80" w:type="dxa"/>
              <w:end w:w="100" w:type="dxa"/>
            </w:tcMar>
          </w:tcPr>
          <w:p>
            <w:pPr>
              <w:jc w:val="left"/>
            </w:pPr>
            <w:r>
              <w:rPr>
                <w:rFonts w:ascii="宋体" w:hAnsi="宋体" w:eastAsia="宋体"/>
                <w:b w:val="0"/>
                <w:sz w:val="18"/>
              </w:rPr>
              <w:t>GET</w:t>
            </w:r>
          </w:p>
        </w:tc>
        <w:tc>
          <w:tcPr>
            <w:tcW w:type="dxa" w:w="3024"/>
            <w:vAlign w:val="center"/>
            <w:tcMar>
              <w:top w:w="80" w:type="dxa"/>
              <w:start w:w="100" w:type="dxa"/>
              <w:bottom w:w="80" w:type="dxa"/>
              <w:end w:w="100" w:type="dxa"/>
            </w:tcMar>
          </w:tcPr>
          <w:p>
            <w:pPr>
              <w:jc w:val="left"/>
            </w:pPr>
            <w:r>
              <w:rPr>
                <w:rFonts w:ascii="宋体" w:hAnsi="宋体" w:eastAsia="宋体"/>
                <w:b w:val="0"/>
                <w:sz w:val="18"/>
              </w:rPr>
              <w:t>获取最近实时预测记录</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/api/backtest/summary</w:t>
            </w:r>
          </w:p>
        </w:tc>
        <w:tc>
          <w:tcPr>
            <w:tcW w:type="dxa" w:w="3024"/>
            <w:vAlign w:val="center"/>
            <w:tcMar>
              <w:top w:w="80" w:type="dxa"/>
              <w:start w:w="100" w:type="dxa"/>
              <w:bottom w:w="80" w:type="dxa"/>
              <w:end w:w="100" w:type="dxa"/>
            </w:tcMar>
          </w:tcPr>
          <w:p>
            <w:pPr>
              <w:jc w:val="left"/>
            </w:pPr>
            <w:r>
              <w:rPr>
                <w:rFonts w:ascii="宋体" w:hAnsi="宋体" w:eastAsia="宋体"/>
                <w:b w:val="0"/>
                <w:sz w:val="18"/>
              </w:rPr>
              <w:t>GET</w:t>
            </w:r>
          </w:p>
        </w:tc>
        <w:tc>
          <w:tcPr>
            <w:tcW w:type="dxa" w:w="3024"/>
            <w:vAlign w:val="center"/>
            <w:tcMar>
              <w:top w:w="80" w:type="dxa"/>
              <w:start w:w="100" w:type="dxa"/>
              <w:bottom w:w="80" w:type="dxa"/>
              <w:end w:w="100" w:type="dxa"/>
            </w:tcMar>
          </w:tcPr>
          <w:p>
            <w:pPr>
              <w:jc w:val="left"/>
            </w:pPr>
            <w:r>
              <w:rPr>
                <w:rFonts w:ascii="宋体" w:hAnsi="宋体" w:eastAsia="宋体"/>
                <w:b w:val="0"/>
                <w:sz w:val="18"/>
              </w:rPr>
              <w:t>获取回测摘要</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/api/backtest/equity-curve</w:t>
            </w:r>
          </w:p>
        </w:tc>
        <w:tc>
          <w:tcPr>
            <w:tcW w:type="dxa" w:w="3024"/>
            <w:vAlign w:val="center"/>
            <w:tcMar>
              <w:top w:w="80" w:type="dxa"/>
              <w:start w:w="100" w:type="dxa"/>
              <w:bottom w:w="80" w:type="dxa"/>
              <w:end w:w="100" w:type="dxa"/>
            </w:tcMar>
          </w:tcPr>
          <w:p>
            <w:pPr>
              <w:jc w:val="left"/>
            </w:pPr>
            <w:r>
              <w:rPr>
                <w:rFonts w:ascii="宋体" w:hAnsi="宋体" w:eastAsia="宋体"/>
                <w:b w:val="0"/>
                <w:sz w:val="18"/>
              </w:rPr>
              <w:t>GET</w:t>
            </w:r>
          </w:p>
        </w:tc>
        <w:tc>
          <w:tcPr>
            <w:tcW w:type="dxa" w:w="3024"/>
            <w:vAlign w:val="center"/>
            <w:tcMar>
              <w:top w:w="80" w:type="dxa"/>
              <w:start w:w="100" w:type="dxa"/>
              <w:bottom w:w="80" w:type="dxa"/>
              <w:end w:w="100" w:type="dxa"/>
            </w:tcMar>
          </w:tcPr>
          <w:p>
            <w:pPr>
              <w:jc w:val="left"/>
            </w:pPr>
            <w:r>
              <w:rPr>
                <w:rFonts w:ascii="宋体" w:hAnsi="宋体" w:eastAsia="宋体"/>
                <w:b w:val="0"/>
                <w:sz w:val="18"/>
              </w:rPr>
              <w:t>获取回测权益曲线</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/api/backtest/signal-distribution</w:t>
            </w:r>
          </w:p>
        </w:tc>
        <w:tc>
          <w:tcPr>
            <w:tcW w:type="dxa" w:w="3024"/>
            <w:vAlign w:val="center"/>
            <w:tcMar>
              <w:top w:w="80" w:type="dxa"/>
              <w:start w:w="100" w:type="dxa"/>
              <w:bottom w:w="80" w:type="dxa"/>
              <w:end w:w="100" w:type="dxa"/>
            </w:tcMar>
          </w:tcPr>
          <w:p>
            <w:pPr>
              <w:jc w:val="left"/>
            </w:pPr>
            <w:r>
              <w:rPr>
                <w:rFonts w:ascii="宋体" w:hAnsi="宋体" w:eastAsia="宋体"/>
                <w:b w:val="0"/>
                <w:sz w:val="18"/>
              </w:rPr>
              <w:t>GET</w:t>
            </w:r>
          </w:p>
        </w:tc>
        <w:tc>
          <w:tcPr>
            <w:tcW w:type="dxa" w:w="3024"/>
            <w:vAlign w:val="center"/>
            <w:tcMar>
              <w:top w:w="80" w:type="dxa"/>
              <w:start w:w="100" w:type="dxa"/>
              <w:bottom w:w="80" w:type="dxa"/>
              <w:end w:w="100" w:type="dxa"/>
            </w:tcMar>
          </w:tcPr>
          <w:p>
            <w:pPr>
              <w:jc w:val="left"/>
            </w:pPr>
            <w:r>
              <w:rPr>
                <w:rFonts w:ascii="宋体" w:hAnsi="宋体" w:eastAsia="宋体"/>
                <w:b w:val="0"/>
                <w:sz w:val="18"/>
              </w:rPr>
              <w:t>获取回测信号分布</w:t>
            </w:r>
          </w:p>
        </w:tc>
      </w:tr>
      <w:tr>
        <w:tc>
          <w:tcPr>
            <w:tcW w:type="dxa" w:w="3024"/>
            <w:vAlign w:val="center"/>
            <w:tcMar>
              <w:top w:w="80" w:type="dxa"/>
              <w:start w:w="100" w:type="dxa"/>
              <w:bottom w:w="80" w:type="dxa"/>
              <w:end w:w="100" w:type="dxa"/>
            </w:tcMar>
          </w:tcPr>
          <w:p>
            <w:pPr>
              <w:jc w:val="left"/>
            </w:pPr>
            <w:r>
              <w:rPr>
                <w:rFonts w:ascii="宋体" w:hAnsi="宋体" w:eastAsia="宋体"/>
                <w:b w:val="0"/>
                <w:sz w:val="18"/>
              </w:rPr>
              <w:t>/api/backtest/precision-threshold</w:t>
            </w:r>
          </w:p>
        </w:tc>
        <w:tc>
          <w:tcPr>
            <w:tcW w:type="dxa" w:w="3024"/>
            <w:vAlign w:val="center"/>
            <w:tcMar>
              <w:top w:w="80" w:type="dxa"/>
              <w:start w:w="100" w:type="dxa"/>
              <w:bottom w:w="80" w:type="dxa"/>
              <w:end w:w="100" w:type="dxa"/>
            </w:tcMar>
          </w:tcPr>
          <w:p>
            <w:pPr>
              <w:jc w:val="left"/>
            </w:pPr>
            <w:r>
              <w:rPr>
                <w:rFonts w:ascii="宋体" w:hAnsi="宋体" w:eastAsia="宋体"/>
                <w:b w:val="0"/>
                <w:sz w:val="18"/>
              </w:rPr>
              <w:t>GET</w:t>
            </w:r>
          </w:p>
        </w:tc>
        <w:tc>
          <w:tcPr>
            <w:tcW w:type="dxa" w:w="3024"/>
            <w:vAlign w:val="center"/>
            <w:tcMar>
              <w:top w:w="80" w:type="dxa"/>
              <w:start w:w="100" w:type="dxa"/>
              <w:bottom w:w="80" w:type="dxa"/>
              <w:end w:w="100" w:type="dxa"/>
            </w:tcMar>
          </w:tcPr>
          <w:p>
            <w:pPr>
              <w:jc w:val="left"/>
            </w:pPr>
            <w:r>
              <w:rPr>
                <w:rFonts w:ascii="宋体" w:hAnsi="宋体" w:eastAsia="宋体"/>
                <w:b w:val="0"/>
                <w:sz w:val="18"/>
              </w:rPr>
              <w:t>获取阈值精度分析</w:t>
            </w:r>
          </w:p>
        </w:tc>
      </w:tr>
    </w:tbl>
    <w:p/>
    <w:p>
      <w:pPr>
        <w:pStyle w:val="Heading2"/>
      </w:pPr>
      <w:r>
        <w:rPr>
          <w:rFonts w:ascii="黑体" w:hAnsi="黑体" w:eastAsia="黑体"/>
          <w:b/>
          <w:color w:val="1F4E79"/>
          <w:sz w:val="26"/>
        </w:rPr>
        <w:t>5.11 前端 Dashboard 模块</w:t>
      </w:r>
    </w:p>
    <w:p>
      <w:pPr>
        <w:spacing w:line="300" w:lineRule="auto" w:after="120"/>
        <w:ind w:firstLine="420"/>
        <w:jc w:val="both"/>
      </w:pPr>
      <w:r>
        <w:rPr>
          <w:rFonts w:ascii="宋体" w:hAnsi="宋体" w:eastAsia="宋体"/>
          <w:b w:val="0"/>
          <w:sz w:val="21"/>
        </w:rPr>
        <w:t>前端位于 frontend 目录，主要页面包括 frontend/src/pages/DashboardPage.tsx、SignalsPage.tsx、ChartPage.tsx 和 BacktestPage.tsx。前端通过 frontend/src/services/api.ts 调用后端接口，展示当前行情、最新信号、实时预测记录、实时准确率、历史信号和回测结果。Dashboard 只展示研究信号和模型评估结果，不接入真实交易下单。</w:t>
      </w:r>
    </w:p>
    <w:p>
      <w:pPr>
        <w:spacing w:line="300" w:lineRule="auto" w:after="120"/>
        <w:ind w:firstLine="0"/>
        <w:jc w:val="center"/>
      </w:pPr>
      <w:r>
        <w:rPr>
          <w:rFonts w:ascii="宋体" w:hAnsi="宋体" w:eastAsia="宋体"/>
          <w:b/>
          <w:sz w:val="21"/>
        </w:rPr>
        <w:t>图19 回测页面截图（需作者运行系统后手动补充）</w:t>
      </w:r>
    </w:p>
    <w:p>
      <w:pPr>
        <w:pStyle w:val="Heading2"/>
      </w:pPr>
      <w:r>
        <w:rPr>
          <w:rFonts w:ascii="黑体" w:hAnsi="黑体" w:eastAsia="黑体"/>
          <w:b/>
          <w:color w:val="1F4E79"/>
          <w:sz w:val="26"/>
        </w:rPr>
        <w:t>5.12 系统测试</w:t>
      </w:r>
    </w:p>
    <w:p>
      <w:pPr>
        <w:spacing w:line="300" w:lineRule="auto" w:after="120"/>
        <w:ind w:firstLine="420"/>
        <w:jc w:val="both"/>
      </w:pPr>
      <w:r>
        <w:rPr>
          <w:rFonts w:ascii="宋体" w:hAnsi="宋体" w:eastAsia="宋体"/>
          <w:b w:val="0"/>
          <w:sz w:val="21"/>
        </w:rPr>
        <w:t>项目测试文件位于 tests 目录，覆盖默认配置、Binance K线连接器、实时 API、实时结算、训练流水线、预测契约和基础流水线单元测试。代表性文件包括 tests/test_default_config.py、tests/test_live_api.py、tests/test_live_settlement.py、tests/test_pipeline_units.py、tests/test_predict_contract.py 和 tests/test_training_pipeline.py。测试模块用于保证核心函数输入输出、实时结算规则和模型预测契约符合预期。</w:t>
      </w:r>
    </w:p>
    <w:p>
      <w:pPr>
        <w:pStyle w:val="Heading1"/>
      </w:pPr>
      <w:r>
        <w:rPr>
          <w:rFonts w:ascii="黑体" w:hAnsi="黑体" w:eastAsia="黑体"/>
          <w:b/>
          <w:color w:val="1F4E79"/>
          <w:sz w:val="30"/>
        </w:rPr>
        <w:t>6 系统部署方案设计</w:t>
      </w:r>
    </w:p>
    <w:p>
      <w:pPr>
        <w:pStyle w:val="Heading2"/>
      </w:pPr>
      <w:r>
        <w:rPr>
          <w:rFonts w:ascii="黑体" w:hAnsi="黑体" w:eastAsia="黑体"/>
          <w:b/>
          <w:color w:val="1F4E79"/>
          <w:sz w:val="26"/>
        </w:rPr>
        <w:t>6.1 本地部署方案</w:t>
      </w:r>
    </w:p>
    <w:p>
      <w:pPr>
        <w:spacing w:line="300" w:lineRule="auto" w:after="120"/>
        <w:ind w:firstLine="420"/>
        <w:jc w:val="both"/>
      </w:pPr>
      <w:r>
        <w:rPr>
          <w:rFonts w:ascii="宋体" w:hAnsi="宋体" w:eastAsia="宋体"/>
          <w:b w:val="0"/>
          <w:sz w:val="21"/>
        </w:rPr>
        <w:t>本地部署适合课程开发和展示。基本流程为：创建 Python 虚拟环境并安装 requirements.txt 中依赖；确认 config/training.yaml 中数据路径和产物路径正确；使用已有模型文件或按课程要求运行训练流程；启动 FastAPI 后端服务；进入 frontend 目录安装前端依赖并启动开发服务；浏览器访问前端页面，通过 VITE_API_BASE_URL 指向本地后端 API。</w:t>
      </w:r>
    </w:p>
    <w:p>
      <w:pPr>
        <w:spacing w:line="300" w:lineRule="auto" w:after="120"/>
        <w:ind w:firstLine="420"/>
        <w:jc w:val="both"/>
      </w:pPr>
      <w:r>
        <w:rPr>
          <w:rFonts w:ascii="宋体" w:hAnsi="宋体" w:eastAsia="宋体"/>
          <w:b w:val="0"/>
          <w:sz w:val="21"/>
        </w:rPr>
        <w:t>本地部署的优点是调试方便，能够直接读取 runs/latest 下的模型、报告和实时预测记录。其不足是访问范围受本机环境限制，不适合作为长期在线系统。</w:t>
      </w:r>
    </w:p>
    <w:p>
      <w:pPr>
        <w:pStyle w:val="Heading2"/>
      </w:pPr>
      <w:r>
        <w:rPr>
          <w:rFonts w:ascii="黑体" w:hAnsi="黑体" w:eastAsia="黑体"/>
          <w:b/>
          <w:color w:val="1F4E79"/>
          <w:sz w:val="26"/>
        </w:rPr>
        <w:t>6.2 Docker 部署方案</w:t>
      </w:r>
    </w:p>
    <w:p>
      <w:pPr>
        <w:spacing w:line="300" w:lineRule="auto" w:after="120"/>
        <w:ind w:firstLine="420"/>
        <w:jc w:val="both"/>
      </w:pPr>
      <w:r>
        <w:rPr>
          <w:rFonts w:ascii="宋体" w:hAnsi="宋体" w:eastAsia="宋体"/>
          <w:b w:val="0"/>
          <w:sz w:val="21"/>
        </w:rPr>
        <w:t>Docker 部署可将前端和后端分别容器化。后端容器负责模型加载、Binance K线获取、实时预测、PENDING/SETTLED 结算和 API 输出；前端容器负责构建和托管 Dashboard 静态页面。模型文件和实时预测 CSV 应通过数据卷挂载，避免容器重建导致产物丢失。后续如接入数据库，可将 live_predictions 和 live_metrics 从 CSV 文件迁移至 PostgreSQL 或 Supabase。</w:t>
      </w:r>
    </w:p>
    <w:p>
      <w:pPr>
        <w:spacing w:line="300" w:lineRule="auto" w:after="120"/>
        <w:ind w:firstLine="420"/>
        <w:jc w:val="both"/>
      </w:pPr>
      <w:r>
        <w:rPr>
          <w:rFonts w:ascii="宋体" w:hAnsi="宋体" w:eastAsia="宋体"/>
          <w:b w:val="0"/>
          <w:sz w:val="21"/>
        </w:rPr>
        <w:t>Docker 部署方案需要重点处理模型文件路径、数据卷权限、后端长期运行、定时结算任务和跨域配置。对于课程展示，Docker 可作为本地可复现部署方式；对于生产化系统，需要进一步加入日志、监控、重启策略和数据库备份。</w:t>
      </w:r>
    </w:p>
    <w:p>
      <w:pPr>
        <w:pStyle w:val="Heading2"/>
      </w:pPr>
      <w:r>
        <w:rPr>
          <w:rFonts w:ascii="黑体" w:hAnsi="黑体" w:eastAsia="黑体"/>
          <w:b/>
          <w:color w:val="1F4E79"/>
          <w:sz w:val="26"/>
        </w:rPr>
        <w:t>6.3 GitHub + Vercel 前端部署方案</w:t>
      </w:r>
    </w:p>
    <w:p>
      <w:pPr>
        <w:spacing w:line="300" w:lineRule="auto" w:after="120"/>
        <w:ind w:firstLine="420"/>
        <w:jc w:val="both"/>
      </w:pPr>
      <w:r>
        <w:rPr>
          <w:rFonts w:ascii="宋体" w:hAnsi="宋体" w:eastAsia="宋体"/>
          <w:b w:val="0"/>
          <w:sz w:val="21"/>
        </w:rPr>
        <w:t>本项目课程展示阶段可采用 GitHub + Vercel 的方式部署前端 Dashboard。首先，将项目源码上传至 GitHub 仓库，由 GitHub 作为代码托管和版本管理平台。随后，在 Vercel 平台导入 GitHub 仓库，并将前端 Dashboard 作为独立 Web 应用部署。</w:t>
      </w:r>
    </w:p>
    <w:p>
      <w:pPr>
        <w:spacing w:line="300" w:lineRule="auto" w:after="120"/>
        <w:ind w:firstLine="420"/>
        <w:jc w:val="both"/>
      </w:pPr>
      <w:r>
        <w:rPr>
          <w:rFonts w:ascii="宋体" w:hAnsi="宋体" w:eastAsia="宋体"/>
          <w:b w:val="0"/>
          <w:sz w:val="21"/>
        </w:rPr>
        <w:t>由于本项目前端位于 frontend 目录，并采用 Vite 构建，Vercel 配置建议如下：Root Directory 设置为 frontend，Install Command 设置为 npm install，Build Command 设置为 npm run build，Output Directory 设置为 dist。前端通过环境变量 VITE_API_BASE_URL 调用后端 API，用于获取当前行情、最新信号、最近30条实时预测记录、实时准确率和回测结果。Vercel 与 GitHub 集成后，每次 GitHub push 可以自动触发构建与部署，从而提高课程展示阶段的迭代效率。</w:t>
      </w:r>
    </w:p>
    <w:p>
      <w:pPr>
        <w:spacing w:line="300" w:lineRule="auto" w:after="120"/>
        <w:ind w:firstLine="420"/>
        <w:jc w:val="both"/>
      </w:pPr>
      <w:r>
        <w:rPr>
          <w:rFonts w:ascii="宋体" w:hAnsi="宋体" w:eastAsia="宋体"/>
          <w:b w:val="0"/>
          <w:sz w:val="21"/>
        </w:rPr>
        <w:t>需要明确的是，Vercel 主要负责前端静态页面托管和访问，不是完整模型训练平台。LightGBM 模型训练不在 Vercel 上进行；实时预测后端、Binance K线获取、PENDING/SETTLED 结算和 live_predictions 持久化也不应夸大为全部部署在 Vercel 前端环境中。课程展示阶段可以采用“前端部署在 Vercel，后端运行在本地或独立云服务器，数据存储使用 CSV 文件”的方案。</w:t>
      </w:r>
    </w:p>
    <w:p>
      <w:pPr>
        <w:spacing w:line="300" w:lineRule="auto" w:after="120"/>
        <w:ind w:firstLine="420"/>
        <w:jc w:val="both"/>
      </w:pPr>
      <w:r>
        <w:rPr>
          <w:rFonts w:ascii="宋体" w:hAnsi="宋体" w:eastAsia="宋体"/>
          <w:b w:val="0"/>
          <w:sz w:val="21"/>
        </w:rPr>
        <w:t>本项目课程展示阶段可采用 Vercel 部署前端 Dashboard，后端模型推理服务在本地或独立云服务器运行；若需完整生产化上线，应将实时预测记录从 CSV 文件升级为 Supabase/PostgreSQL 等持久化数据库，并将模型推理服务部署在支持长期运行的后端环境中。</w:t>
      </w:r>
    </w:p>
    <w:p>
      <w:pPr>
        <w:jc w:val="center"/>
      </w:pPr>
      <w:r>
        <w:drawing>
          <wp:inline xmlns:a="http://schemas.openxmlformats.org/drawingml/2006/main" xmlns:pic="http://schemas.openxmlformats.org/drawingml/2006/picture">
            <wp:extent cx="5394960" cy="2676061"/>
            <wp:docPr id="15" name="Picture 15"/>
            <wp:cNvGraphicFramePr>
              <a:graphicFrameLocks noChangeAspect="1"/>
            </wp:cNvGraphicFramePr>
            <a:graphic>
              <a:graphicData uri="http://schemas.openxmlformats.org/drawingml/2006/picture">
                <pic:pic>
                  <pic:nvPicPr>
                    <pic:cNvPr id="0" name="github_vercel_deployment_architecture.png"/>
                    <pic:cNvPicPr/>
                  </pic:nvPicPr>
                  <pic:blipFill>
                    <a:blip r:embed="rId25"/>
                    <a:stretch>
                      <a:fillRect/>
                    </a:stretch>
                  </pic:blipFill>
                  <pic:spPr>
                    <a:xfrm>
                      <a:off x="0" y="0"/>
                      <a:ext cx="5394960" cy="2676061"/>
                    </a:xfrm>
                    <a:prstGeom prst="rect"/>
                  </pic:spPr>
                </pic:pic>
              </a:graphicData>
            </a:graphic>
          </wp:inline>
        </w:drawing>
      </w:r>
    </w:p>
    <w:p>
      <w:pPr>
        <w:spacing w:line="300" w:lineRule="auto" w:after="120"/>
        <w:ind w:firstLine="0"/>
        <w:jc w:val="center"/>
      </w:pPr>
      <w:r>
        <w:rPr>
          <w:rFonts w:ascii="宋体" w:hAnsi="宋体" w:eastAsia="宋体"/>
          <w:b/>
          <w:sz w:val="21"/>
        </w:rPr>
        <w:t>图20 GitHub + Vercel 部署架构图</w:t>
      </w:r>
    </w:p>
    <w:p>
      <w:pPr>
        <w:spacing w:line="300" w:lineRule="auto" w:after="120"/>
        <w:ind w:firstLine="0"/>
        <w:jc w:val="center"/>
      </w:pPr>
      <w:r>
        <w:rPr>
          <w:rFonts w:ascii="宋体" w:hAnsi="宋体" w:eastAsia="宋体"/>
          <w:b/>
          <w:sz w:val="21"/>
        </w:rPr>
        <w:t>图21 GitHub 仓库页面截图（需作者运行系统后手动补充）</w:t>
      </w:r>
    </w:p>
    <w:p>
      <w:pPr>
        <w:spacing w:line="300" w:lineRule="auto" w:after="120"/>
        <w:ind w:firstLine="0"/>
        <w:jc w:val="center"/>
      </w:pPr>
      <w:r>
        <w:rPr>
          <w:rFonts w:ascii="宋体" w:hAnsi="宋体" w:eastAsia="宋体"/>
          <w:b/>
          <w:sz w:val="21"/>
        </w:rPr>
        <w:t>图22 Vercel 部署成功页面截图（需作者运行系统后手动补充）</w:t>
      </w:r>
    </w:p>
    <w:p>
      <w:pPr>
        <w:pStyle w:val="Heading2"/>
      </w:pPr>
      <w:r>
        <w:rPr>
          <w:rFonts w:ascii="黑体" w:hAnsi="黑体" w:eastAsia="黑体"/>
          <w:b/>
          <w:color w:val="1F4E79"/>
          <w:sz w:val="26"/>
        </w:rPr>
        <w:t>6.4 生产化部署改进方向</w:t>
      </w:r>
    </w:p>
    <w:p>
      <w:pPr>
        <w:spacing w:line="300" w:lineRule="auto" w:after="120"/>
        <w:ind w:firstLine="420"/>
        <w:jc w:val="both"/>
      </w:pPr>
      <w:r>
        <w:rPr>
          <w:rFonts w:ascii="宋体" w:hAnsi="宋体" w:eastAsia="宋体"/>
          <w:b w:val="0"/>
          <w:sz w:val="21"/>
        </w:rPr>
        <w:t>若后续从课程展示升级为生产化研究平台，应将后端部署至 Render、Railway、Fly.io 或云服务器等支持长期运行的环境，并将 CSV 存储升级为 Supabase/PostgreSQL。实时预测和结算任务应使用定时任务或队列系统管理，同时增加日志监控、异常告警、接口鉴权、请求限流、模型版本管理和数据备份机制。前端仍可继续使用 Vercel 托管，但前端只负责展示与交互，不负责模型训练、实时推理和持久化存储。</w:t>
      </w:r>
    </w:p>
    <w:p>
      <w:pPr>
        <w:pStyle w:val="Heading1"/>
      </w:pPr>
      <w:r>
        <w:rPr>
          <w:rFonts w:ascii="黑体" w:hAnsi="黑体" w:eastAsia="黑体"/>
          <w:b/>
          <w:color w:val="1F4E79"/>
          <w:sz w:val="30"/>
        </w:rPr>
        <w:t>7 总结</w:t>
      </w:r>
    </w:p>
    <w:p>
      <w:pPr>
        <w:spacing w:line="300" w:lineRule="auto" w:after="120"/>
        <w:ind w:firstLine="420"/>
        <w:jc w:val="both"/>
      </w:pPr>
      <w:r>
        <w:rPr>
          <w:rFonts w:ascii="宋体" w:hAnsi="宋体" w:eastAsia="宋体"/>
          <w:b w:val="0"/>
          <w:sz w:val="21"/>
        </w:rPr>
        <w:t>本文基于 BTCUSDT 5分钟K线数据完成了短期最高涨幅预测与实时信号看板系统设计。项目目的在于构建研究型预测系统，分析未来30分钟内是否存在最大上冲机会，并通过 Dashboard 展示模型结果，而不是接入真实交易。</w:t>
      </w:r>
    </w:p>
    <w:p>
      <w:pPr>
        <w:spacing w:line="300" w:lineRule="auto" w:after="120"/>
        <w:ind w:firstLine="420"/>
        <w:jc w:val="both"/>
      </w:pPr>
      <w:r>
        <w:rPr>
          <w:rFonts w:ascii="宋体" w:hAnsi="宋体" w:eastAsia="宋体"/>
          <w:b w:val="0"/>
          <w:sz w:val="21"/>
        </w:rPr>
        <w:t>在数据层面，项目完成了 210,241 条原始K线记录的数据审计和 210,235 条标签样本构造。在模型层面，项目采用 LightGBMClassifier 与 LightGBMRegressor 的双模型结构，分别输出 buy_probability 和 predicted_max_return。在实验层面，测试集 AUC 为 0.693835，Average Precision 为 0.554033，回归 MAE 为 0.001483，RMSE 为 0.002295。研究型回测显示，BUY 信号的上冲命中能力高于基线，但扣费后收益为负，因此当前模型不能直接用于真实交易。在系统层面，项目实现了实时预测记录、PENDING/SETTLED 延迟结算、live_metrics 实时指标和前端展示。</w:t>
      </w:r>
    </w:p>
    <w:p>
      <w:pPr>
        <w:spacing w:line="300" w:lineRule="auto" w:after="120"/>
        <w:ind w:firstLine="420"/>
        <w:jc w:val="both"/>
      </w:pPr>
      <w:r>
        <w:rPr>
          <w:rFonts w:ascii="宋体" w:hAnsi="宋体" w:eastAsia="宋体"/>
          <w:b w:val="0"/>
          <w:sz w:val="21"/>
        </w:rPr>
        <w:t>总体来看，本项目完成了大数据技术实践所需的数据处理、机器学习建模、结果评估、系统实现和部署方案设计闭环。后续工作应重点补充多模型对比、训练集规模实验、运行时间基准、更多实时 SETTLED 样本和生产化数据库部署。</w:t>
      </w:r>
    </w:p>
    <w:p>
      <w:pPr>
        <w:pStyle w:val="Heading1"/>
      </w:pPr>
      <w:r>
        <w:rPr>
          <w:rFonts w:ascii="黑体" w:hAnsi="黑体" w:eastAsia="黑体"/>
          <w:b/>
          <w:color w:val="1F4E79"/>
          <w:sz w:val="30"/>
        </w:rPr>
        <w:t>8 心得体会</w:t>
      </w:r>
    </w:p>
    <w:p>
      <w:pPr>
        <w:spacing w:line="300" w:lineRule="auto" w:after="120"/>
        <w:ind w:firstLine="420"/>
        <w:jc w:val="both"/>
      </w:pPr>
      <w:r>
        <w:rPr>
          <w:rFonts w:ascii="宋体" w:hAnsi="宋体" w:eastAsia="宋体"/>
          <w:b w:val="0"/>
          <w:sz w:val="21"/>
        </w:rPr>
        <w:t>通过本项目实践，我对时间序列机器学习任务中的数据泄漏风险、标签设计、时间顺序切分和模型评估有了更直观的理解。短周期K线数据看似样本量较大，但噪声强、分布变化快，模型指标必须谨慎解释。特别是未来30分钟最大上冲预测与真实交易盈利之间存在明显差异，不能将分类命中率简单等同于交易胜率。</w:t>
      </w:r>
    </w:p>
    <w:p>
      <w:pPr>
        <w:spacing w:line="300" w:lineRule="auto" w:after="120"/>
        <w:ind w:firstLine="420"/>
        <w:jc w:val="both"/>
      </w:pPr>
      <w:r>
        <w:rPr>
          <w:rFonts w:ascii="宋体" w:hAnsi="宋体" w:eastAsia="宋体"/>
          <w:b w:val="0"/>
          <w:sz w:val="21"/>
        </w:rPr>
        <w:t>在系统实现方面，本项目使我认识到课程项目不仅需要训练模型，还需要形成可复现的数据产物、清晰的 API 契约、可追踪的实时预测记录和可解释的前端展示。PENDING/SETTLED 延迟结算机制能够把预测和未来真实结果对应起来，是连接离线评估与实时展示的重要环节。部署方案设计也说明，前端上线与完整后端生产化是两个不同问题，必须明确 Vercel、后端服务和持久化存储各自的职责。</w:t>
      </w:r>
    </w:p>
    <w:p>
      <w:pPr>
        <w:pStyle w:val="Heading1"/>
      </w:pPr>
      <w:r>
        <w:rPr>
          <w:rFonts w:ascii="黑体" w:hAnsi="黑体" w:eastAsia="黑体"/>
          <w:b/>
          <w:color w:val="1F4E79"/>
          <w:sz w:val="30"/>
        </w:rPr>
        <w:t>9 小组分工</w:t>
      </w:r>
    </w:p>
    <w:p>
      <w:pPr>
        <w:spacing w:line="300" w:lineRule="auto" w:after="120"/>
        <w:ind w:firstLine="0"/>
        <w:jc w:val="center"/>
      </w:pPr>
      <w:r>
        <w:rPr>
          <w:rFonts w:ascii="宋体" w:hAnsi="宋体" w:eastAsia="宋体"/>
          <w:b/>
          <w:sz w:val="21"/>
        </w:rPr>
        <w:t>表11 小组分工与贡献值</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Mar>
              <w:top w:w="80" w:type="dxa"/>
              <w:start w:w="100" w:type="dxa"/>
              <w:bottom w:w="80" w:type="dxa"/>
              <w:end w:w="100" w:type="dxa"/>
            </w:tcMar>
            <w:shd w:fill="D9EAF7"/>
          </w:tcPr>
          <w:p>
            <w:pPr>
              <w:jc w:val="center"/>
            </w:pPr>
            <w:r>
              <w:rPr>
                <w:rFonts w:ascii="宋体" w:hAnsi="宋体" w:eastAsia="宋体"/>
                <w:b/>
                <w:sz w:val="18"/>
              </w:rPr>
              <w:t>姓名</w:t>
            </w:r>
          </w:p>
        </w:tc>
        <w:tc>
          <w:tcPr>
            <w:tcW w:type="dxa" w:w="2268"/>
            <w:vAlign w:val="center"/>
            <w:tcMar>
              <w:top w:w="80" w:type="dxa"/>
              <w:start w:w="100" w:type="dxa"/>
              <w:bottom w:w="80" w:type="dxa"/>
              <w:end w:w="100" w:type="dxa"/>
            </w:tcMar>
            <w:shd w:fill="D9EAF7"/>
          </w:tcPr>
          <w:p>
            <w:pPr>
              <w:jc w:val="center"/>
            </w:pPr>
            <w:r>
              <w:rPr>
                <w:rFonts w:ascii="宋体" w:hAnsi="宋体" w:eastAsia="宋体"/>
                <w:b/>
                <w:sz w:val="18"/>
              </w:rPr>
              <w:t>学号</w:t>
            </w:r>
          </w:p>
        </w:tc>
        <w:tc>
          <w:tcPr>
            <w:tcW w:type="dxa" w:w="2268"/>
            <w:vAlign w:val="center"/>
            <w:tcMar>
              <w:top w:w="80" w:type="dxa"/>
              <w:start w:w="100" w:type="dxa"/>
              <w:bottom w:w="80" w:type="dxa"/>
              <w:end w:w="100" w:type="dxa"/>
            </w:tcMar>
            <w:shd w:fill="D9EAF7"/>
          </w:tcPr>
          <w:p>
            <w:pPr>
              <w:jc w:val="center"/>
            </w:pPr>
            <w:r>
              <w:rPr>
                <w:rFonts w:ascii="宋体" w:hAnsi="宋体" w:eastAsia="宋体"/>
                <w:b/>
                <w:sz w:val="18"/>
              </w:rPr>
              <w:t>分工</w:t>
            </w:r>
          </w:p>
        </w:tc>
        <w:tc>
          <w:tcPr>
            <w:tcW w:type="dxa" w:w="2268"/>
            <w:vAlign w:val="center"/>
            <w:tcMar>
              <w:top w:w="80" w:type="dxa"/>
              <w:start w:w="100" w:type="dxa"/>
              <w:bottom w:w="80" w:type="dxa"/>
              <w:end w:w="100" w:type="dxa"/>
            </w:tcMar>
            <w:shd w:fill="D9EAF7"/>
          </w:tcPr>
          <w:p>
            <w:pPr>
              <w:jc w:val="center"/>
            </w:pPr>
            <w:r>
              <w:rPr>
                <w:rFonts w:ascii="宋体" w:hAnsi="宋体" w:eastAsia="宋体"/>
                <w:b/>
                <w:sz w:val="18"/>
              </w:rPr>
              <w:t>贡献值</w:t>
            </w:r>
          </w:p>
        </w:tc>
      </w:tr>
      <w:tr>
        <w:tc>
          <w:tcPr>
            <w:tcW w:type="dxa" w:w="2268"/>
            <w:vAlign w:val="center"/>
            <w:tcMar>
              <w:top w:w="80" w:type="dxa"/>
              <w:start w:w="100" w:type="dxa"/>
              <w:bottom w:w="80" w:type="dxa"/>
              <w:end w:w="100" w:type="dxa"/>
            </w:tcMar>
          </w:tcPr>
          <w:p>
            <w:pPr>
              <w:jc w:val="left"/>
            </w:pPr>
            <w:r>
              <w:rPr>
                <w:rFonts w:ascii="宋体" w:hAnsi="宋体" w:eastAsia="宋体"/>
                <w:b w:val="0"/>
                <w:sz w:val="18"/>
              </w:rPr>
              <w:t>张橙</w:t>
            </w:r>
          </w:p>
        </w:tc>
        <w:tc>
          <w:tcPr>
            <w:tcW w:type="dxa" w:w="2268"/>
            <w:vAlign w:val="center"/>
            <w:tcMar>
              <w:top w:w="80" w:type="dxa"/>
              <w:start w:w="100" w:type="dxa"/>
              <w:bottom w:w="80" w:type="dxa"/>
              <w:end w:w="100" w:type="dxa"/>
            </w:tcMar>
          </w:tcPr>
          <w:p>
            <w:pPr>
              <w:jc w:val="left"/>
            </w:pPr>
            <w:r>
              <w:rPr>
                <w:rFonts w:ascii="宋体" w:hAnsi="宋体" w:eastAsia="宋体"/>
                <w:b w:val="0"/>
                <w:sz w:val="18"/>
              </w:rPr>
              <w:t>20231113107</w:t>
            </w:r>
          </w:p>
        </w:tc>
        <w:tc>
          <w:tcPr>
            <w:tcW w:type="dxa" w:w="2268"/>
            <w:vAlign w:val="center"/>
            <w:tcMar>
              <w:top w:w="80" w:type="dxa"/>
              <w:start w:w="100" w:type="dxa"/>
              <w:bottom w:w="80" w:type="dxa"/>
              <w:end w:w="100" w:type="dxa"/>
            </w:tcMar>
          </w:tcPr>
          <w:p>
            <w:pPr>
              <w:jc w:val="left"/>
            </w:pPr>
            <w:r>
              <w:rPr>
                <w:rFonts w:ascii="宋体" w:hAnsi="宋体" w:eastAsia="宋体"/>
                <w:b w:val="0"/>
                <w:sz w:val="18"/>
              </w:rPr>
              <w:t>数据处理、标签构造、特征工程、模型训练、回测评估、后端 API、实时预测结算、前端 Dashboard、部署方案、报告撰写</w:t>
            </w:r>
          </w:p>
        </w:tc>
        <w:tc>
          <w:tcPr>
            <w:tcW w:type="dxa" w:w="2268"/>
            <w:vAlign w:val="center"/>
            <w:tcMar>
              <w:top w:w="80" w:type="dxa"/>
              <w:start w:w="100" w:type="dxa"/>
              <w:bottom w:w="80" w:type="dxa"/>
              <w:end w:w="100" w:type="dxa"/>
            </w:tcMar>
          </w:tcPr>
          <w:p>
            <w:pPr>
              <w:jc w:val="left"/>
            </w:pPr>
            <w:r>
              <w:rPr>
                <w:rFonts w:ascii="宋体" w:hAnsi="宋体" w:eastAsia="宋体"/>
                <w:b w:val="0"/>
                <w:sz w:val="18"/>
              </w:rPr>
              <w:t>100%</w:t>
            </w:r>
          </w:p>
        </w:tc>
      </w:tr>
    </w:tbl>
    <w:p/>
    <w:sectPr w:rsidR="00FC693F" w:rsidRPr="0006063C" w:rsidSect="00034616">
      <w:headerReference w:type="default" r:id="rId9"/>
      <w:footerReference w:type="default" r:id="rId10"/>
      <w:pgSz w:w="11906" w:h="16838"/>
      <w:pgMar w:top="1417"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大数据技术实践大作业报告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