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rPr>
          <w:sz w:val="26"/>
          <w:szCs w:val="26"/>
        </w:rPr>
      </w:pPr>
      <w:r>
        <w:rPr>
          <w:rFonts w:ascii="Times New Roman" w:eastAsia="Times New Roman" w:hAnsi="Times New Roman" w:cs="Times New Roman"/>
          <w:b/>
          <w:bCs/>
          <w:sz w:val="26"/>
          <w:szCs w:val="26"/>
          <w:highlight w:val="none"/>
        </w:rPr>
        <w:t>77RS0015-01-2019-002396-36</w:t>
      </w:r>
    </w:p>
    <w:p>
      <w:pPr>
        <w:spacing w:before="0" w:after="0"/>
        <w:ind w:firstLine="567"/>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567"/>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567"/>
        <w:jc w:val="both"/>
        <w:rPr>
          <w:sz w:val="26"/>
          <w:szCs w:val="26"/>
        </w:rPr>
      </w:pPr>
    </w:p>
    <w:p>
      <w:pPr>
        <w:spacing w:before="0" w:after="0"/>
        <w:ind w:firstLine="567"/>
        <w:jc w:val="both"/>
        <w:rPr>
          <w:sz w:val="26"/>
          <w:szCs w:val="26"/>
        </w:rPr>
      </w:pPr>
      <w:r>
        <w:rPr>
          <w:rStyle w:val="cat-Dategrp-3rplc-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w:t>
      </w:r>
      <w:r>
        <w:rPr>
          <w:rStyle w:val="cat-Addressgrp-0rplc-1"/>
          <w:rFonts w:ascii="Times New Roman" w:eastAsia="Times New Roman" w:hAnsi="Times New Roman" w:cs="Times New Roman"/>
          <w:sz w:val="26"/>
          <w:szCs w:val="26"/>
          <w:highlight w:val="none"/>
        </w:rPr>
        <w:t>адрес</w:t>
      </w:r>
    </w:p>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Люблинский районный суд </w:t>
      </w:r>
      <w:r>
        <w:rPr>
          <w:rStyle w:val="cat-Addressgrp-0rplc-2"/>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Чугайновой</w:t>
      </w:r>
      <w:r>
        <w:rPr>
          <w:rFonts w:ascii="Times New Roman" w:eastAsia="Times New Roman" w:hAnsi="Times New Roman" w:cs="Times New Roman"/>
          <w:sz w:val="26"/>
          <w:szCs w:val="26"/>
          <w:highlight w:val="none"/>
        </w:rPr>
        <w:t xml:space="preserve"> А.Ф. при секретаре </w:t>
      </w:r>
      <w:r>
        <w:rPr>
          <w:rStyle w:val="cat-FIOgrp-25rplc-4"/>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рассмотрев в открытом судебном заседании гражданское дело № 2-</w:t>
      </w:r>
      <w:r>
        <w:rPr>
          <w:rFonts w:ascii="Times New Roman" w:eastAsia="Times New Roman" w:hAnsi="Times New Roman" w:cs="Times New Roman"/>
          <w:sz w:val="26"/>
          <w:szCs w:val="26"/>
          <w:highlight w:val="none"/>
        </w:rPr>
        <w:t>3538/</w:t>
      </w:r>
      <w:r>
        <w:rPr>
          <w:rStyle w:val="cat-Dategrp-4rplc-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иску </w:t>
      </w:r>
      <w:r>
        <w:rPr>
          <w:rFonts w:ascii="Times New Roman" w:eastAsia="Times New Roman" w:hAnsi="Times New Roman" w:cs="Times New Roman"/>
          <w:sz w:val="26"/>
          <w:szCs w:val="26"/>
          <w:highlight w:val="none"/>
        </w:rPr>
        <w:t>ТСН «</w:t>
      </w:r>
      <w:r>
        <w:rPr>
          <w:rFonts w:ascii="Times New Roman" w:eastAsia="Times New Roman" w:hAnsi="Times New Roman" w:cs="Times New Roman"/>
          <w:sz w:val="26"/>
          <w:szCs w:val="26"/>
          <w:highlight w:val="none"/>
        </w:rPr>
        <w:t>Капитолий</w:t>
      </w:r>
      <w:r>
        <w:rPr>
          <w:rFonts w:ascii="Times New Roman" w:eastAsia="Times New Roman" w:hAnsi="Times New Roman" w:cs="Times New Roman"/>
          <w:sz w:val="26"/>
          <w:szCs w:val="26"/>
          <w:highlight w:val="none"/>
        </w:rPr>
        <w:t xml:space="preserve">» к </w:t>
      </w:r>
      <w:r>
        <w:rPr>
          <w:rFonts w:ascii="Times New Roman" w:eastAsia="Times New Roman" w:hAnsi="Times New Roman" w:cs="Times New Roman"/>
          <w:sz w:val="26"/>
          <w:szCs w:val="26"/>
          <w:highlight w:val="none"/>
        </w:rPr>
        <w:t>Гришкову Александру Алексеевичу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взыскании задолженности, </w:t>
      </w:r>
    </w:p>
    <w:p>
      <w:pPr>
        <w:spacing w:before="0" w:after="0"/>
        <w:ind w:firstLine="567"/>
        <w:jc w:val="both"/>
        <w:rPr>
          <w:sz w:val="26"/>
          <w:szCs w:val="26"/>
        </w:rPr>
      </w:pPr>
    </w:p>
    <w:p>
      <w:pPr>
        <w:spacing w:before="0" w:after="0"/>
        <w:ind w:firstLine="567"/>
        <w:jc w:val="center"/>
        <w:rPr>
          <w:sz w:val="26"/>
          <w:szCs w:val="26"/>
        </w:rPr>
      </w:pPr>
      <w:r>
        <w:rPr>
          <w:rFonts w:ascii="Times New Roman" w:eastAsia="Times New Roman" w:hAnsi="Times New Roman" w:cs="Times New Roman"/>
          <w:sz w:val="26"/>
          <w:szCs w:val="26"/>
          <w:highlight w:val="none"/>
        </w:rPr>
        <w:t>установил:</w:t>
      </w:r>
    </w:p>
    <w:p>
      <w:pPr>
        <w:spacing w:before="0" w:after="0"/>
        <w:ind w:firstLine="567"/>
        <w:jc w:val="both"/>
        <w:rPr>
          <w:sz w:val="26"/>
          <w:szCs w:val="26"/>
        </w:rPr>
      </w:pPr>
    </w:p>
    <w:p>
      <w:pPr>
        <w:widowControl w:val="0"/>
        <w:spacing w:before="0" w:after="0" w:line="274" w:lineRule="atLeast"/>
        <w:ind w:firstLine="600"/>
        <w:jc w:val="both"/>
      </w:pPr>
      <w:r>
        <w:rPr>
          <w:rFonts w:ascii="Times New Roman" w:eastAsia="Times New Roman" w:hAnsi="Times New Roman" w:cs="Times New Roman"/>
          <w:highlight w:val="none"/>
        </w:rPr>
        <w:t>Истец обратился в суд с иском к ответчику о взыскании неосновательного обогащения, в котором просит, с учетом уточнени</w:t>
      </w:r>
      <w:r>
        <w:rPr>
          <w:rFonts w:ascii="Times New Roman" w:eastAsia="Times New Roman" w:hAnsi="Times New Roman" w:cs="Times New Roman"/>
          <w:highlight w:val="none"/>
        </w:rPr>
        <w:t>й</w:t>
      </w:r>
      <w:r>
        <w:rPr>
          <w:rFonts w:ascii="Times New Roman" w:eastAsia="Times New Roman" w:hAnsi="Times New Roman" w:cs="Times New Roman"/>
          <w:highlight w:val="none"/>
        </w:rPr>
        <w:t>, взыскать</w:t>
      </w:r>
      <w:r>
        <w:rPr>
          <w:rFonts w:ascii="Times New Roman" w:eastAsia="Times New Roman" w:hAnsi="Times New Roman" w:cs="Times New Roman"/>
          <w:highlight w:val="none"/>
        </w:rPr>
        <w:t>:</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за период с </w:t>
      </w:r>
      <w:r>
        <w:rPr>
          <w:rStyle w:val="cat-Dategrp-6rplc-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5rplc-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 в размере </w:t>
      </w:r>
      <w:r>
        <w:rPr>
          <w:rStyle w:val="cat-Sumgrp-29rplc-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Style w:val="cat-Sumgrp-30rplc-1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а также проценты, начисленные на указанную сумму за пользование чужими денежными средствами с </w:t>
      </w:r>
      <w:r>
        <w:rPr>
          <w:rStyle w:val="cat-Dategrp-7rplc-1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8rplc-12"/>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31rplc-13"/>
          <w:rFonts w:ascii="Times New Roman" w:eastAsia="Times New Roman" w:hAnsi="Times New Roman" w:cs="Times New Roman"/>
          <w:sz w:val="26"/>
          <w:szCs w:val="26"/>
          <w:highlight w:val="none"/>
        </w:rPr>
        <w:t>сумма</w:t>
      </w:r>
    </w:p>
    <w:p>
      <w:pPr>
        <w:widowControl w:val="0"/>
        <w:spacing w:before="0" w:after="0"/>
        <w:ind w:firstLine="320"/>
        <w:jc w:val="both"/>
        <w:rPr>
          <w:sz w:val="26"/>
          <w:szCs w:val="26"/>
        </w:rPr>
      </w:pPr>
      <w:r>
        <w:rPr>
          <w:rFonts w:ascii="Times New Roman" w:eastAsia="Times New Roman" w:hAnsi="Times New Roman" w:cs="Times New Roman"/>
          <w:highlight w:val="none"/>
        </w:rPr>
        <w:t>-</w:t>
      </w:r>
      <w:r>
        <w:rPr>
          <w:rFonts w:ascii="Times New Roman" w:eastAsia="Times New Roman" w:hAnsi="Times New Roman" w:cs="Times New Roman"/>
          <w:b w:val="0"/>
          <w:bCs w:val="0"/>
          <w:i w:val="0"/>
          <w:iCs w:val="0"/>
          <w:smallCaps w:val="0"/>
          <w:sz w:val="14"/>
          <w:szCs w:val="14"/>
          <w:highlight w:val="none"/>
        </w:rPr>
        <w:t xml:space="preserve">     </w:t>
      </w:r>
      <w:r>
        <w:rPr>
          <w:rFonts w:ascii="Times New Roman" w:eastAsia="Times New Roman" w:hAnsi="Times New Roman" w:cs="Times New Roman"/>
          <w:sz w:val="26"/>
          <w:szCs w:val="26"/>
          <w:highlight w:val="none"/>
        </w:rPr>
        <w:t xml:space="preserve">за период с </w:t>
      </w:r>
      <w:r>
        <w:rPr>
          <w:rStyle w:val="cat-Dategrp-10rplc-1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9rplc-1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 в размере </w:t>
      </w:r>
      <w:r>
        <w:rPr>
          <w:rStyle w:val="cat-Sumgrp-32rplc-1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а также проценты, начисленные на указанную сумму за пользование чужими денежными средствами с </w:t>
      </w:r>
      <w:r>
        <w:rPr>
          <w:rStyle w:val="cat-Dategrp-11rplc-1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2rplc-1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33rplc-1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Style w:val="cat-Sumgrp-34rplc-20"/>
          <w:rFonts w:ascii="Times New Roman" w:eastAsia="Times New Roman" w:hAnsi="Times New Roman" w:cs="Times New Roman"/>
          <w:sz w:val="26"/>
          <w:szCs w:val="26"/>
          <w:highlight w:val="none"/>
        </w:rPr>
        <w:t>сумма</w:t>
      </w:r>
    </w:p>
    <w:p>
      <w:pPr>
        <w:widowControl w:val="0"/>
        <w:spacing w:before="0" w:after="0"/>
        <w:ind w:firstLine="320"/>
        <w:jc w:val="both"/>
        <w:rPr>
          <w:sz w:val="26"/>
          <w:szCs w:val="26"/>
        </w:rPr>
      </w:pPr>
      <w:r>
        <w:rPr>
          <w:rFonts w:ascii="Times New Roman" w:eastAsia="Times New Roman" w:hAnsi="Times New Roman" w:cs="Times New Roman"/>
          <w:highlight w:val="none"/>
        </w:rPr>
        <w:t>-</w:t>
      </w:r>
      <w:r>
        <w:rPr>
          <w:rFonts w:ascii="Times New Roman" w:eastAsia="Times New Roman" w:hAnsi="Times New Roman" w:cs="Times New Roman"/>
          <w:b w:val="0"/>
          <w:bCs w:val="0"/>
          <w:i w:val="0"/>
          <w:iCs w:val="0"/>
          <w:smallCaps w:val="0"/>
          <w:sz w:val="14"/>
          <w:szCs w:val="14"/>
          <w:highlight w:val="none"/>
        </w:rPr>
        <w:t xml:space="preserve">     </w:t>
      </w:r>
      <w:r>
        <w:rPr>
          <w:rFonts w:ascii="Times New Roman" w:eastAsia="Times New Roman" w:hAnsi="Times New Roman" w:cs="Times New Roman"/>
          <w:sz w:val="26"/>
          <w:szCs w:val="26"/>
          <w:highlight w:val="none"/>
        </w:rPr>
        <w:t xml:space="preserve">за период с </w:t>
      </w:r>
      <w:r>
        <w:rPr>
          <w:rStyle w:val="cat-Dategrp-14rplc-2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3rplc-22"/>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 в размере </w:t>
      </w:r>
      <w:r>
        <w:rPr>
          <w:rStyle w:val="cat-Sumgrp-35rplc-2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а также проценты, начисленные на указанную сумму за пользование чужими денежными средствами с </w:t>
      </w:r>
      <w:r>
        <w:rPr>
          <w:rStyle w:val="cat-Dategrp-15rplc-2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6rplc-2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36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Style w:val="cat-Sumgrp-37rplc-2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widowControl w:val="0"/>
        <w:spacing w:before="0" w:after="0"/>
        <w:ind w:firstLine="320"/>
        <w:jc w:val="both"/>
        <w:rPr>
          <w:sz w:val="26"/>
          <w:szCs w:val="26"/>
        </w:rPr>
      </w:pPr>
      <w:r>
        <w:rPr>
          <w:rFonts w:ascii="Times New Roman" w:eastAsia="Times New Roman" w:hAnsi="Times New Roman" w:cs="Times New Roman"/>
          <w:highlight w:val="none"/>
        </w:rPr>
        <w:t>-</w:t>
      </w:r>
      <w:r>
        <w:rPr>
          <w:rFonts w:ascii="Times New Roman" w:eastAsia="Times New Roman" w:hAnsi="Times New Roman" w:cs="Times New Roman"/>
          <w:b w:val="0"/>
          <w:bCs w:val="0"/>
          <w:i w:val="0"/>
          <w:iCs w:val="0"/>
          <w:smallCaps w:val="0"/>
          <w:sz w:val="14"/>
          <w:szCs w:val="14"/>
          <w:highlight w:val="none"/>
        </w:rPr>
        <w:t xml:space="preserve">     </w:t>
      </w:r>
      <w:r>
        <w:rPr>
          <w:rFonts w:ascii="Times New Roman" w:eastAsia="Times New Roman" w:hAnsi="Times New Roman" w:cs="Times New Roman"/>
          <w:sz w:val="26"/>
          <w:szCs w:val="26"/>
          <w:highlight w:val="none"/>
        </w:rPr>
        <w:t xml:space="preserve">расходы на оплату госпошлины за подачу искового заявления в размере </w:t>
      </w:r>
      <w:r>
        <w:rPr>
          <w:rStyle w:val="cat-Sumgrp-38rplc-28"/>
          <w:rFonts w:ascii="Times New Roman" w:eastAsia="Times New Roman" w:hAnsi="Times New Roman" w:cs="Times New Roman"/>
          <w:sz w:val="26"/>
          <w:szCs w:val="26"/>
          <w:highlight w:val="none"/>
        </w:rPr>
        <w:t>сумма</w:t>
      </w:r>
    </w:p>
    <w:p>
      <w:pPr>
        <w:widowControl w:val="0"/>
        <w:spacing w:before="0" w:after="0" w:line="274" w:lineRule="atLeast"/>
        <w:ind w:firstLine="600"/>
        <w:jc w:val="both"/>
      </w:pPr>
      <w:r>
        <w:rPr>
          <w:rFonts w:ascii="Times New Roman" w:eastAsia="Times New Roman" w:hAnsi="Times New Roman" w:cs="Times New Roman"/>
          <w:highlight w:val="none"/>
        </w:rPr>
        <w:t xml:space="preserve">В обоснование иска указано, что Гришков А.А., являясь собственником двух земельных участков, находящихся на </w:t>
      </w:r>
      <w:r>
        <w:rPr>
          <w:rStyle w:val="cat-Addressgrp-1rplc-3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«Капитолий», членом ТСН «Капитолий» не является, в создании объединения не участвовал, договор на право пользования и содержания общего имущества ТСН «Капитолий» с ответчиком не заключен, пользование имуществом Гришков А.А.. осуществляет в индивидуальном порядке.</w:t>
      </w:r>
      <w:r>
        <w:rPr>
          <w:rFonts w:ascii="Times New Roman" w:eastAsia="Times New Roman" w:hAnsi="Times New Roman" w:cs="Times New Roman"/>
          <w:highlight w:val="none"/>
        </w:rPr>
        <w:t xml:space="preserve"> Однако оплата за пользование общим имуществом ТСН «Капитолий» не поступает. Расходы по содержанию объектов пользования несет истец. Сумма расходов истца, подлежащая взысканию с ответчика, определена путем деления общей суммы произведённых расходов на количество земельных участков.</w:t>
      </w:r>
    </w:p>
    <w:p>
      <w:pPr>
        <w:spacing w:before="0" w:after="0"/>
        <w:ind w:firstLine="567"/>
        <w:jc w:val="both"/>
        <w:rPr>
          <w:sz w:val="26"/>
          <w:szCs w:val="26"/>
        </w:rPr>
      </w:pPr>
      <w:r>
        <w:rPr>
          <w:rFonts w:ascii="Times New Roman" w:eastAsia="Times New Roman" w:hAnsi="Times New Roman" w:cs="Times New Roman"/>
          <w:sz w:val="26"/>
          <w:szCs w:val="26"/>
          <w:highlight w:val="none"/>
        </w:rPr>
        <w:t>Представитель истца в судебном заседании исковые требования поддержала.</w:t>
      </w:r>
    </w:p>
    <w:p>
      <w:pPr>
        <w:spacing w:before="0" w:after="0"/>
        <w:ind w:firstLine="567"/>
        <w:jc w:val="both"/>
        <w:rPr>
          <w:sz w:val="26"/>
          <w:szCs w:val="26"/>
        </w:rPr>
      </w:pPr>
      <w:r>
        <w:rPr>
          <w:rFonts w:ascii="Times New Roman" w:eastAsia="Times New Roman" w:hAnsi="Times New Roman" w:cs="Times New Roman"/>
          <w:sz w:val="26"/>
          <w:szCs w:val="26"/>
          <w:highlight w:val="none"/>
        </w:rPr>
        <w:t>Ответчик в судебное заседание не явился, извещен надлежащим образом.</w:t>
      </w:r>
    </w:p>
    <w:p>
      <w:pPr>
        <w:spacing w:before="0" w:after="0"/>
        <w:ind w:firstLine="567"/>
        <w:jc w:val="both"/>
        <w:rPr>
          <w:sz w:val="26"/>
          <w:szCs w:val="26"/>
        </w:rPr>
      </w:pPr>
      <w:r>
        <w:rPr>
          <w:rFonts w:ascii="Times New Roman" w:eastAsia="Times New Roman" w:hAnsi="Times New Roman" w:cs="Times New Roman"/>
          <w:sz w:val="26"/>
          <w:szCs w:val="26"/>
          <w:highlight w:val="none"/>
        </w:rPr>
        <w:t>Суд, выслушав представителя истца, исследовав материалы дела, находит исковые требования обоснованными и подлежащими удовлетворению по следующим основаниям.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Как установлено судом и следует из материалов дела, ТСН «Капитолий» является добровольным объединением собственников недвижимого имущества (жилых домов, земельных участков), созданным ими для совместного владения, пользования и распоряжения имуществом, находящимся в их общем пользовании и/или находящимся в их общей собственности (дата регистрации </w:t>
      </w:r>
      <w:r>
        <w:rPr>
          <w:rStyle w:val="cat-Dategrp-17rplc-32"/>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 Гришков А.А. с </w:t>
      </w:r>
      <w:r>
        <w:rPr>
          <w:rStyle w:val="cat-Dategrp-18rplc-3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9rplc-3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являлся собственником земельных участков с кадастровыми номерами 50:26:0180519:79 и 50:26:0180519:174.</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 обоснование заявленных требований истцом указано, что данные земельные участки находятся на </w:t>
      </w:r>
      <w:r>
        <w:rPr>
          <w:rStyle w:val="cat-Addressgrp-1rplc-36"/>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«Капитолий», ответчик Гришков А.А. членом ТСН не является, в создании объединения не участвовал, договор на право пользования и содержания общего имущества ТСН «Капитолий» и ответчиком не заключен. Гришков А.А. осуществляет пользование имуществом ТСН «Капитолий» в индивидуальном порядке, при этом плата за содержание имущества общего пользования ТСН «Капитолий» (входная группа, канализация, очистные сооружения, комплектная трансформаторная станция, водозаборная скважина и т.д.) от ответчика не поступает.</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Согласно пункту 1 статьи 123.12 ГК РФ товариществом собственников недвижимости признается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садовых домов, садовых или огородных земельных участков и т.п.), созданное ими для совместного владения, пользования и в установленных законом пределах распоряжения имуществом (вещами), в силу закона находящимся в</w:t>
      </w:r>
      <w:r>
        <w:rPr>
          <w:rFonts w:ascii="Times New Roman" w:eastAsia="Times New Roman" w:hAnsi="Times New Roman" w:cs="Times New Roman"/>
          <w:sz w:val="26"/>
          <w:szCs w:val="26"/>
          <w:highlight w:val="none"/>
        </w:rPr>
        <w:t xml:space="preserve"> их общей собственности или в общем пользовании, а также для достижения иных целей, предусмотренных законами.</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Пунктами 1, 2 статьи 123.13 ГК РФ предусмотрено, что товарищество собственников недвижимости является собственником своего имущества. Общее имущество в многоквартирном доме принадлежит членам товарищества собственников недвижимости на праве общей долевой собственности, если иное не предусмотрено законом. Состав такого имущества и порядок определения долей в праве общей собственности на него устанавливаются законом.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Имущество общего пользования в садоводческом или огородническом некоммерческом товариществе принадлежит на праве общей долевой собственности лицам, являющимся собственниками земельных участков, расположенных в границах территории ведения гражданами садоводства или огородничества для собственных нужд, если иное не предусмотрено законом (пункт 2.1. статьи 123.13 ГК РФ).</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Согласно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статьей 1109 настоящего Кодекса.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Из содержания данной правовой нормы следует, что неосновательным считается приобретение или сбережение имущества, не основанное на законе, ином правовом акте либо сделке, то есть о неосновательности приобретения (сбережения) можно говорить, если оно лишено законного (правового) основания: соответствующей нормы права, административного акта или сделки (договора).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Из анализа норм приведенных в ст. 1102 ГК РФ следует, что для возникновения обязательства вследствие неосновательного обогащения необходимо одновременно наличие трех условий: наличие обогащения; обогащение за счет другого лица; отсутствие правового основания для такого обогащения.</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со статьей 56 ГПК РФ, содержание которой подлежит применению в контексте с положениями части 3 статьи 123 Конституции Российской Федерации и статьи 12 ГПК РФ,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Таким образом, на истца, заявляющего требование о взыскании неосновательного обогащения, возлагается бремя доказывания совокупности следующих обстоятельств: факт получения приобретателем имущества, которое принадлежит истцу, неправомерного использования ответчиком принадлежащего истцу имущества, отсутствие предусмотренных законом или сделкой оснований для такого приобретения, период такого пользования, отсутствие установленных законом или сделкой оснований для такого пользования, размер полученного неосновательного обогащения.</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Как следует из материалов дела, ТСН «Капитолий» создано собственниками недвижимого имущества в соответствии с положениями Гражданского кодекса РФ (ст. 123.12) для совместного владения, пользования и в установленных законом пределах распоряжения имуществом (вещами), в силу закона находящимся в их общей собственности или в общем пользовании, а также для достижения иных целей, предусмотренных законами.</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Следует отметить, что исходя из системного толкования положений закона, регулирующего спорные правоотношения, само по себе отсутствие договора между товариществом и ответчиком не влияет на отношения собственника земельного участка, расположенного на территории товарищества, с названным товариществом и не может служить основанием для освобождения собственника земельного участка от установленной</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законом обязанности участвовать в содержании имущества общего пользования путем внесения соответствующих платежей, установленных</w:t>
      </w:r>
      <w:r>
        <w:rPr>
          <w:rFonts w:ascii="Times New Roman" w:eastAsia="Times New Roman" w:hAnsi="Times New Roman" w:cs="Times New Roman"/>
          <w:sz w:val="26"/>
          <w:szCs w:val="26"/>
          <w:highlight w:val="none"/>
        </w:rPr>
        <w:t xml:space="preserve"> общим собранием членов ТСН. Предоставление услуг собственникам земельных участков, не являющихся членами ТСН, должно осуществляться на условиях, одинаковых для всех членов ТСН и собственников. Отсутствие договора между сторонами не освобождает ответчика, как собственника земельных участков, от внесения платы за содержание имущества общего пользования ТСН. </w:t>
      </w:r>
      <w:r>
        <w:rPr>
          <w:rFonts w:ascii="Times New Roman" w:eastAsia="Times New Roman" w:hAnsi="Times New Roman" w:cs="Times New Roman"/>
          <w:sz w:val="26"/>
          <w:szCs w:val="26"/>
          <w:highlight w:val="none"/>
        </w:rPr>
        <w:t>Ответчик, не являясь членом товарищества, но, имея в собственности земельные участки, находящиеся в границах единого комплекса недвижимого имущества коттеджного поселка, в отсутствие договора с товариществом о порядке пользования общим имуществом ТСН, обязан нести соответствующие расходы за предоставление услуг по пользованию объектами инфраструктуры, объем которых в каждом случае устанавливается исходя из конкретных обстоятельств дела.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При этом из дела видно, что в обоснование заявленных истцом требований, а также обстоятельств принадлежности истцу объектов инфраструктуры, являющихся общим имуществом, последним представлены договоры купли - продажи, выписки из ЕГРН, схема расположения земельных участков, лицензия на пользование недрами, протоколы общих собраний ТСН «Капитолий», в состав реестра собственников которых входили и </w:t>
      </w:r>
      <w:r>
        <w:rPr>
          <w:rStyle w:val="cat-Addressgrp-2rplc-39"/>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(т. 7 </w:t>
      </w:r>
      <w:r>
        <w:rPr>
          <w:rFonts w:ascii="Times New Roman" w:eastAsia="Times New Roman" w:hAnsi="Times New Roman" w:cs="Times New Roman"/>
          <w:sz w:val="26"/>
          <w:szCs w:val="26"/>
          <w:highlight w:val="none"/>
        </w:rPr>
        <w:t>л.д</w:t>
      </w:r>
      <w:r>
        <w:rPr>
          <w:rFonts w:ascii="Times New Roman" w:eastAsia="Times New Roman" w:hAnsi="Times New Roman" w:cs="Times New Roman"/>
          <w:sz w:val="26"/>
          <w:szCs w:val="26"/>
          <w:highlight w:val="none"/>
        </w:rPr>
        <w:t>. 24-67, 76, 214-261.</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При этом, экспертно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заключени</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 </w:t>
      </w:r>
      <w:r>
        <w:rPr>
          <w:rStyle w:val="cat-Dategrp-21rplc-4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от </w:t>
      </w:r>
      <w:r>
        <w:rPr>
          <w:rStyle w:val="cat-Dategrp-20rplc-4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содержит </w:t>
      </w:r>
      <w:r>
        <w:rPr>
          <w:rFonts w:ascii="Times New Roman" w:eastAsia="Times New Roman" w:hAnsi="Times New Roman" w:cs="Times New Roman"/>
          <w:sz w:val="26"/>
          <w:szCs w:val="26"/>
          <w:highlight w:val="none"/>
        </w:rPr>
        <w:t>информацию о нахождении колодца для подключения системы водоснабжения, электрощита перед земельным участком ответчика с кадастровым номером 50:26:0180519:79, прохождении вдоль передней межи дороги общего пользования, магистрального трубопровода системы хозяйственно - бытовой канализации с установленными напротив земельных участков колодцами с лотками и иные указания наличия объектов инфраструктуры.</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В материалы дела представлены доказательства, подтверждающие как факт наличия объектов инфраструктуры, находящихся в общем пользовании, так и право собственности ТСН «Капитолий» на них.</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Протоколом № 52 от </w:t>
      </w:r>
      <w:r>
        <w:rPr>
          <w:rStyle w:val="cat-Dategrp-22rplc-42"/>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утвержден реестр собственников земельных участков, в которые входит и земельный участок ответчика.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Также в материалы дела представлены договоры аренды, купли-продажи, в соответствии с которыми ТСН «Капитолий» арендует, а также приобрело земельные участки для использования под размещение общего имущества: детской площадки, здания правления ТСН «Капитолий», входной группы (КПП), очистных сооружений, комплектной трансформаторной подстанции и водозаборной скважины, два земельных участка используются под размещение дорог, предназначенных для прохода и проезда по территории поселка.</w:t>
      </w:r>
      <w:r>
        <w:rPr>
          <w:rFonts w:ascii="Times New Roman" w:eastAsia="Times New Roman" w:hAnsi="Times New Roman" w:cs="Times New Roman"/>
          <w:sz w:val="26"/>
          <w:szCs w:val="26"/>
          <w:highlight w:val="none"/>
        </w:rPr>
        <w:t xml:space="preserve"> Данные обстоятельства также оставлены судами без</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внимания с точки зрения подтверждения правомерности отнесения их к имуществу общего пользования.</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Таким образом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доводы ответчика о</w:t>
      </w:r>
      <w:r>
        <w:rPr>
          <w:rFonts w:ascii="Times New Roman" w:eastAsia="Times New Roman" w:hAnsi="Times New Roman" w:cs="Times New Roman"/>
          <w:sz w:val="26"/>
          <w:szCs w:val="26"/>
          <w:highlight w:val="none"/>
        </w:rPr>
        <w:t xml:space="preserve"> недоказанности факта существования границ ТСН «Капитолий», в </w:t>
      </w:r>
      <w:r>
        <w:rPr>
          <w:rFonts w:ascii="Times New Roman" w:eastAsia="Times New Roman" w:hAnsi="Times New Roman" w:cs="Times New Roman"/>
          <w:sz w:val="26"/>
          <w:szCs w:val="26"/>
          <w:highlight w:val="none"/>
        </w:rPr>
        <w:t>связи</w:t>
      </w:r>
      <w:r>
        <w:rPr>
          <w:rFonts w:ascii="Times New Roman" w:eastAsia="Times New Roman" w:hAnsi="Times New Roman" w:cs="Times New Roman"/>
          <w:sz w:val="26"/>
          <w:szCs w:val="26"/>
          <w:highlight w:val="none"/>
        </w:rPr>
        <w:t xml:space="preserve"> с чем совокупность земельных участков, расположенных в кадастровом квартале 77:18:0180519, </w:t>
      </w:r>
      <w:r>
        <w:rPr>
          <w:rFonts w:ascii="Times New Roman" w:eastAsia="Times New Roman" w:hAnsi="Times New Roman" w:cs="Times New Roman"/>
          <w:sz w:val="26"/>
          <w:szCs w:val="26"/>
          <w:highlight w:val="none"/>
        </w:rPr>
        <w:t xml:space="preserve">не может быть отнесена </w:t>
      </w:r>
      <w:r>
        <w:rPr>
          <w:rFonts w:ascii="Times New Roman" w:eastAsia="Times New Roman" w:hAnsi="Times New Roman" w:cs="Times New Roman"/>
          <w:sz w:val="26"/>
          <w:szCs w:val="26"/>
          <w:highlight w:val="none"/>
        </w:rPr>
        <w:t xml:space="preserve">к какому-либо гражданско-правовому образованию, объединенному одной территорией, </w:t>
      </w:r>
      <w:r>
        <w:rPr>
          <w:rFonts w:ascii="Times New Roman" w:eastAsia="Times New Roman" w:hAnsi="Times New Roman" w:cs="Times New Roman"/>
          <w:sz w:val="26"/>
          <w:szCs w:val="26"/>
          <w:highlight w:val="none"/>
        </w:rPr>
        <w:t>поэтому</w:t>
      </w:r>
      <w:r>
        <w:rPr>
          <w:rFonts w:ascii="Times New Roman" w:eastAsia="Times New Roman" w:hAnsi="Times New Roman" w:cs="Times New Roman"/>
          <w:sz w:val="26"/>
          <w:szCs w:val="26"/>
          <w:highlight w:val="none"/>
        </w:rPr>
        <w:t xml:space="preserve"> факт нахождения в пределах существующих границ ТСН «Капитолий» сетей инженерно-технического обеспечения, других элементов инфраструктуры, предназначенных для обслуживания более чем одного жилого дома, также как и факт нахождения земельных </w:t>
      </w:r>
      <w:r>
        <w:rPr>
          <w:rStyle w:val="cat-Addressgrp-2rplc-43"/>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(которые не имеют смежной границы между собой) в границах товарищества</w:t>
      </w:r>
      <w:r>
        <w:rPr>
          <w:rFonts w:ascii="Times New Roman" w:eastAsia="Times New Roman" w:hAnsi="Times New Roman" w:cs="Times New Roman"/>
          <w:sz w:val="26"/>
          <w:szCs w:val="26"/>
          <w:highlight w:val="none"/>
        </w:rPr>
        <w:t>, не доказан, являются несостоятельными</w:t>
      </w:r>
      <w:r>
        <w:rPr>
          <w:rFonts w:ascii="Times New Roman" w:eastAsia="Times New Roman" w:hAnsi="Times New Roman" w:cs="Times New Roman"/>
          <w:sz w:val="26"/>
          <w:szCs w:val="26"/>
          <w:highlight w:val="none"/>
        </w:rPr>
        <w:t>.</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В</w:t>
      </w:r>
      <w:r>
        <w:rPr>
          <w:rFonts w:ascii="Times New Roman" w:eastAsia="Times New Roman" w:hAnsi="Times New Roman" w:cs="Times New Roman"/>
          <w:sz w:val="26"/>
          <w:szCs w:val="26"/>
          <w:highlight w:val="none"/>
        </w:rPr>
        <w:t xml:space="preserve"> соответствии с требованиями действующего законодательства расходы, понесенные некоммерческим объединением на содержание инфраструктуры и другого общего имущества объединения, при отсутствии договора с гражданами, ведущими хозяйство в индивидуальном порядке и пользующимися указанным имуществом, являются неосновательным обогащением этих граждан. Наличие в собственности ответчика земельных участков на территории поселка </w:t>
      </w:r>
      <w:r>
        <w:rPr>
          <w:rFonts w:ascii="Times New Roman" w:eastAsia="Times New Roman" w:hAnsi="Times New Roman" w:cs="Times New Roman"/>
          <w:sz w:val="26"/>
          <w:szCs w:val="26"/>
          <w:highlight w:val="none"/>
        </w:rPr>
        <w:t>презюмирует</w:t>
      </w:r>
      <w:r>
        <w:rPr>
          <w:rFonts w:ascii="Times New Roman" w:eastAsia="Times New Roman" w:hAnsi="Times New Roman" w:cs="Times New Roman"/>
          <w:sz w:val="26"/>
          <w:szCs w:val="26"/>
          <w:highlight w:val="none"/>
        </w:rPr>
        <w:t xml:space="preserve"> его обязанность оплачивать услуги вне зависимости от пользования ими, при этом расположение участка в границах поселка предполагает пользование имуществом общего пользования, никаких преград в пользовании объектами инфраструктуры ответчику не создается, доказательств обратного в материалы дела не представлено.</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Расчет задолженности, представленный истцом, судом принимается, поскольку является арифметически верным, соответствующим требованиям закона, поэтому с ответчика в пользу истца подлежит взысканию неосновательное обогащение </w:t>
      </w:r>
      <w:r>
        <w:rPr>
          <w:rFonts w:ascii="Times New Roman" w:eastAsia="Times New Roman" w:hAnsi="Times New Roman" w:cs="Times New Roman"/>
          <w:sz w:val="26"/>
          <w:szCs w:val="26"/>
          <w:highlight w:val="none"/>
        </w:rPr>
        <w:t xml:space="preserve">за период с </w:t>
      </w:r>
      <w:r>
        <w:rPr>
          <w:rStyle w:val="cat-Dategrp-6rplc-4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5rplc-4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39rplc-4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за период с </w:t>
      </w:r>
      <w:r>
        <w:rPr>
          <w:rStyle w:val="cat-Dategrp-10rplc-4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9rplc-4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 в размере </w:t>
      </w:r>
      <w:r>
        <w:rPr>
          <w:rStyle w:val="cat-Sumgrp-32rplc-4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за период </w:t>
      </w:r>
      <w:r>
        <w:rPr>
          <w:rFonts w:ascii="Times New Roman" w:eastAsia="Times New Roman" w:hAnsi="Times New Roman" w:cs="Times New Roman"/>
          <w:sz w:val="26"/>
          <w:szCs w:val="26"/>
          <w:highlight w:val="none"/>
        </w:rPr>
        <w:t xml:space="preserve">с </w:t>
      </w:r>
      <w:r>
        <w:rPr>
          <w:rStyle w:val="cat-Dategrp-14rplc-5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3rplc-5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w:t>
      </w:r>
      <w:r>
        <w:rPr>
          <w:rFonts w:ascii="Times New Roman" w:eastAsia="Times New Roman" w:hAnsi="Times New Roman" w:cs="Times New Roman"/>
          <w:sz w:val="26"/>
          <w:szCs w:val="26"/>
          <w:highlight w:val="none"/>
        </w:rPr>
        <w:t xml:space="preserve"> в размере </w:t>
      </w:r>
      <w:r>
        <w:rPr>
          <w:rStyle w:val="cat-Sumgrp-35rplc-52"/>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"consultantplus://offline/ref=AFB7ECD92A57688B71327F4068CD5C81B7B4EBC7716A340376CF5A66CEF0E56828CD513DC5A1A22EH62ET"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статьей 395</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Российской Федерации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в порядке, установленном в настоящей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"consultantplus://offline/ref=AFB7ECD92A57688B71327F4068CD5C81B7B4EBC7716A340376CF5A66CEF0E56828CD513DC5A1A22EH62ET"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статье</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если иной размер процентов не установлен законом или договором.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 требованиями данной статьи с ответчика в пользу истца подлежат взысканию проценты за пользование чужими денежными средствами за период </w:t>
      </w:r>
      <w:r>
        <w:rPr>
          <w:rFonts w:ascii="Times New Roman" w:eastAsia="Times New Roman" w:hAnsi="Times New Roman" w:cs="Times New Roman"/>
          <w:sz w:val="26"/>
          <w:szCs w:val="26"/>
          <w:highlight w:val="none"/>
        </w:rPr>
        <w:t xml:space="preserve">с </w:t>
      </w:r>
      <w:r>
        <w:rPr>
          <w:rStyle w:val="cat-Dategrp-7rplc-53"/>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8rplc-5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31rplc-5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за период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с </w:t>
      </w:r>
      <w:r>
        <w:rPr>
          <w:rStyle w:val="cat-Dategrp-11rplc-56"/>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2rplc-5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40rplc-5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за период</w:t>
      </w:r>
      <w:r>
        <w:rPr>
          <w:rFonts w:ascii="Times New Roman" w:eastAsia="Times New Roman" w:hAnsi="Times New Roman" w:cs="Times New Roman"/>
          <w:sz w:val="26"/>
          <w:szCs w:val="26"/>
          <w:highlight w:val="none"/>
        </w:rPr>
        <w:t xml:space="preserve"> </w:t>
      </w:r>
      <w:r>
        <w:rPr>
          <w:rStyle w:val="cat-Dategrp-15rplc-59"/>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6rplc-6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41rplc-61"/>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со ст. 98 ГПК РФ с ответчика в пользу истца подлежат взысканию расходы по оплате госпошлины в размере </w:t>
      </w:r>
      <w:r>
        <w:rPr>
          <w:rStyle w:val="cat-Sumgrp-38rplc-62"/>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руководствуясь ст.194-199 ГПК РФ, суд </w:t>
      </w:r>
    </w:p>
    <w:p>
      <w:pPr>
        <w:spacing w:before="0" w:after="0"/>
        <w:ind w:firstLine="567"/>
        <w:jc w:val="center"/>
        <w:rPr>
          <w:sz w:val="26"/>
          <w:szCs w:val="26"/>
        </w:rPr>
      </w:pPr>
      <w:r>
        <w:rPr>
          <w:rFonts w:ascii="Times New Roman" w:eastAsia="Times New Roman" w:hAnsi="Times New Roman" w:cs="Times New Roman"/>
          <w:sz w:val="26"/>
          <w:szCs w:val="26"/>
          <w:highlight w:val="none"/>
        </w:rPr>
        <w:t>решил:</w:t>
      </w:r>
    </w:p>
    <w:p>
      <w:pPr>
        <w:spacing w:before="0" w:after="0"/>
        <w:ind w:firstLine="567"/>
        <w:jc w:val="both"/>
        <w:rPr>
          <w:sz w:val="26"/>
          <w:szCs w:val="26"/>
        </w:rPr>
      </w:pPr>
      <w:r>
        <w:rPr>
          <w:rFonts w:ascii="Times New Roman" w:eastAsia="Times New Roman" w:hAnsi="Times New Roman" w:cs="Times New Roman"/>
          <w:sz w:val="26"/>
          <w:szCs w:val="26"/>
          <w:highlight w:val="none"/>
        </w:rPr>
        <w:t>исковые требования удовлетворить.</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Взыскать с </w:t>
      </w:r>
      <w:r>
        <w:rPr>
          <w:rFonts w:ascii="Times New Roman" w:eastAsia="Times New Roman" w:hAnsi="Times New Roman" w:cs="Times New Roman"/>
          <w:sz w:val="26"/>
          <w:szCs w:val="26"/>
          <w:highlight w:val="none"/>
        </w:rPr>
        <w:t xml:space="preserve">Гришкова Александра Алексеевича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ТСН «Капитолий»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за период с </w:t>
      </w:r>
      <w:r>
        <w:rPr>
          <w:rStyle w:val="cat-Dategrp-6rplc-6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5rplc-6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 в размере </w:t>
      </w:r>
      <w:r>
        <w:rPr>
          <w:rStyle w:val="cat-Sumgrp-39rplc-6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widowControl w:val="0"/>
        <w:spacing w:before="0" w:after="0"/>
        <w:ind w:firstLine="320"/>
        <w:jc w:val="both"/>
        <w:rPr>
          <w:sz w:val="26"/>
          <w:szCs w:val="26"/>
        </w:rPr>
      </w:pPr>
      <w:r>
        <w:rPr>
          <w:rFonts w:ascii="Times New Roman" w:eastAsia="Times New Roman" w:hAnsi="Times New Roman" w:cs="Times New Roman"/>
          <w:sz w:val="26"/>
          <w:szCs w:val="26"/>
          <w:highlight w:val="none"/>
        </w:rPr>
        <w:t xml:space="preserve">а также проценты, начисленные на указанную сумму за пользование чужими денежными средствами с </w:t>
      </w:r>
      <w:r>
        <w:rPr>
          <w:rStyle w:val="cat-Dategrp-7rplc-6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8rplc-6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31rplc-6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widowControl w:val="0"/>
        <w:spacing w:before="0" w:after="0"/>
        <w:ind w:firstLine="320"/>
        <w:jc w:val="both"/>
        <w:rPr>
          <w:sz w:val="26"/>
          <w:szCs w:val="26"/>
        </w:rPr>
      </w:pPr>
      <w:r>
        <w:rPr>
          <w:rFonts w:ascii="Times New Roman" w:eastAsia="Times New Roman" w:hAnsi="Times New Roman" w:cs="Times New Roman"/>
          <w:highlight w:val="none"/>
        </w:rPr>
        <w:t>-</w:t>
      </w:r>
      <w:r>
        <w:rPr>
          <w:rFonts w:ascii="Times New Roman" w:eastAsia="Times New Roman" w:hAnsi="Times New Roman" w:cs="Times New Roman"/>
          <w:b w:val="0"/>
          <w:bCs w:val="0"/>
          <w:i w:val="0"/>
          <w:iCs w:val="0"/>
          <w:smallCaps w:val="0"/>
          <w:sz w:val="14"/>
          <w:szCs w:val="14"/>
          <w:highlight w:val="none"/>
        </w:rPr>
        <w:t xml:space="preserve">     </w:t>
      </w:r>
      <w:r>
        <w:rPr>
          <w:rFonts w:ascii="Times New Roman" w:eastAsia="Times New Roman" w:hAnsi="Times New Roman" w:cs="Times New Roman"/>
          <w:sz w:val="26"/>
          <w:szCs w:val="26"/>
          <w:highlight w:val="none"/>
        </w:rPr>
        <w:t xml:space="preserve">за период с </w:t>
      </w:r>
      <w:r>
        <w:rPr>
          <w:rStyle w:val="cat-Dategrp-10rplc-7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9rplc-7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 в размере </w:t>
      </w:r>
      <w:r>
        <w:rPr>
          <w:rStyle w:val="cat-Sumgrp-32rplc-7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widowControl w:val="0"/>
        <w:spacing w:before="0" w:after="0"/>
        <w:ind w:firstLine="320"/>
        <w:jc w:val="both"/>
        <w:rPr>
          <w:sz w:val="26"/>
          <w:szCs w:val="26"/>
        </w:rPr>
      </w:pPr>
      <w:r>
        <w:rPr>
          <w:rFonts w:ascii="Times New Roman" w:eastAsia="Times New Roman" w:hAnsi="Times New Roman" w:cs="Times New Roman"/>
          <w:sz w:val="26"/>
          <w:szCs w:val="26"/>
          <w:highlight w:val="none"/>
        </w:rPr>
        <w:t xml:space="preserve">а также проценты, начисленные на указанную сумму за пользование чужими денежными средствами с </w:t>
      </w:r>
      <w:r>
        <w:rPr>
          <w:rStyle w:val="cat-Dategrp-11rplc-73"/>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2rplc-7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40rplc-7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widowControl w:val="0"/>
        <w:spacing w:before="0" w:after="0"/>
        <w:ind w:firstLine="320"/>
        <w:jc w:val="both"/>
        <w:rPr>
          <w:sz w:val="26"/>
          <w:szCs w:val="26"/>
        </w:rPr>
      </w:pPr>
      <w:r>
        <w:rPr>
          <w:rFonts w:ascii="Times New Roman" w:eastAsia="Times New Roman" w:hAnsi="Times New Roman" w:cs="Times New Roman"/>
          <w:highlight w:val="none"/>
        </w:rPr>
        <w:t>-</w:t>
      </w:r>
      <w:r>
        <w:rPr>
          <w:rFonts w:ascii="Times New Roman" w:eastAsia="Times New Roman" w:hAnsi="Times New Roman" w:cs="Times New Roman"/>
          <w:b w:val="0"/>
          <w:bCs w:val="0"/>
          <w:i w:val="0"/>
          <w:iCs w:val="0"/>
          <w:smallCaps w:val="0"/>
          <w:sz w:val="14"/>
          <w:szCs w:val="14"/>
          <w:highlight w:val="none"/>
        </w:rPr>
        <w:t xml:space="preserve">     </w:t>
      </w:r>
      <w:r>
        <w:rPr>
          <w:rFonts w:ascii="Times New Roman" w:eastAsia="Times New Roman" w:hAnsi="Times New Roman" w:cs="Times New Roman"/>
          <w:sz w:val="26"/>
          <w:szCs w:val="26"/>
          <w:highlight w:val="none"/>
        </w:rPr>
        <w:t xml:space="preserve">за период с </w:t>
      </w:r>
      <w:r>
        <w:rPr>
          <w:rStyle w:val="cat-Dategrp-14rplc-76"/>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3rplc-7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задолженность в размере </w:t>
      </w:r>
      <w:r>
        <w:rPr>
          <w:rStyle w:val="cat-Sumgrp-35rplc-7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widowControl w:val="0"/>
        <w:spacing w:before="0" w:after="0"/>
        <w:ind w:firstLine="320"/>
        <w:jc w:val="both"/>
        <w:rPr>
          <w:sz w:val="26"/>
          <w:szCs w:val="26"/>
        </w:rPr>
      </w:pPr>
      <w:r>
        <w:rPr>
          <w:rFonts w:ascii="Times New Roman" w:eastAsia="Times New Roman" w:hAnsi="Times New Roman" w:cs="Times New Roman"/>
          <w:sz w:val="26"/>
          <w:szCs w:val="26"/>
          <w:highlight w:val="none"/>
        </w:rPr>
        <w:t xml:space="preserve">а также проценты, начисленные на указанную сумму за пользование чужими денежными средствами с </w:t>
      </w:r>
      <w:r>
        <w:rPr>
          <w:rStyle w:val="cat-Dategrp-15rplc-79"/>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w:t>
      </w:r>
      <w:r>
        <w:rPr>
          <w:rStyle w:val="cat-Dategrp-16rplc-8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размере </w:t>
      </w:r>
      <w:r>
        <w:rPr>
          <w:rStyle w:val="cat-Sumgrp-41rplc-81"/>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В</w:t>
      </w:r>
      <w:r>
        <w:rPr>
          <w:rFonts w:ascii="Times New Roman" w:eastAsia="Times New Roman" w:hAnsi="Times New Roman" w:cs="Times New Roman"/>
          <w:sz w:val="26"/>
          <w:szCs w:val="26"/>
          <w:highlight w:val="none"/>
        </w:rPr>
        <w:t xml:space="preserve">зыскать с Гришкова Александра Алексеевича в пользу Товарищества собственников недвижимости «Капитолий» расходы на оплату госпошлины за подачу искового заявления в размере </w:t>
      </w:r>
      <w:r>
        <w:rPr>
          <w:rStyle w:val="cat-Sumgrp-38rplc-83"/>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в Московский городской суд в течение месяца со дня изготовления решения в окончательной форме путем подачи апелляционной жалобы через </w:t>
      </w:r>
      <w:r>
        <w:rPr>
          <w:rFonts w:ascii="Times New Roman" w:eastAsia="Times New Roman" w:hAnsi="Times New Roman" w:cs="Times New Roman"/>
          <w:sz w:val="26"/>
          <w:szCs w:val="26"/>
          <w:highlight w:val="none"/>
        </w:rPr>
        <w:t>Люблинский</w:t>
      </w:r>
      <w:r>
        <w:rPr>
          <w:rFonts w:ascii="Times New Roman" w:eastAsia="Times New Roman" w:hAnsi="Times New Roman" w:cs="Times New Roman"/>
          <w:sz w:val="26"/>
          <w:szCs w:val="26"/>
          <w:highlight w:val="none"/>
        </w:rPr>
        <w:t xml:space="preserve"> районный суд </w:t>
      </w:r>
      <w:r>
        <w:rPr>
          <w:rStyle w:val="cat-Addressgrp-0rplc-84"/>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spacing w:before="0" w:after="0"/>
        <w:ind w:firstLine="567"/>
        <w:jc w:val="both"/>
        <w:rPr>
          <w:sz w:val="26"/>
          <w:szCs w:val="26"/>
        </w:rPr>
      </w:pPr>
    </w:p>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Судья</w:t>
      </w:r>
    </w:p>
    <w:p>
      <w:pPr>
        <w:spacing w:before="0" w:after="0"/>
        <w:ind w:firstLine="567"/>
        <w:jc w:val="both"/>
        <w:rPr>
          <w:sz w:val="26"/>
          <w:szCs w:val="26"/>
        </w:rPr>
      </w:pPr>
    </w:p>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Мотивированное решение изготовлено </w:t>
      </w:r>
      <w:r>
        <w:rPr>
          <w:rStyle w:val="cat-Dategrp-23rplc-85"/>
          <w:rFonts w:ascii="Times New Roman" w:eastAsia="Times New Roman" w:hAnsi="Times New Roman" w:cs="Times New Roman"/>
          <w:sz w:val="26"/>
          <w:szCs w:val="26"/>
          <w:highlight w:val="none"/>
        </w:rPr>
        <w:t>дата</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3rplc-0">
    <w:name w:val="cat-Date grp-3 rplc-0"/>
    <w:basedOn w:val="DefaultParagraphFont"/>
  </w:style>
  <w:style w:type="character" w:customStyle="1" w:styleId="cat-Addressgrp-0rplc-1">
    <w:name w:val="cat-Address grp-0 rplc-1"/>
    <w:basedOn w:val="DefaultParagraphFont"/>
  </w:style>
  <w:style w:type="character" w:customStyle="1" w:styleId="cat-Addressgrp-0rplc-2">
    <w:name w:val="cat-Address grp-0 rplc-2"/>
    <w:basedOn w:val="DefaultParagraphFont"/>
  </w:style>
  <w:style w:type="character" w:customStyle="1" w:styleId="cat-FIOgrp-25rplc-4">
    <w:name w:val="cat-FIO grp-25 rplc-4"/>
    <w:basedOn w:val="DefaultParagraphFont"/>
  </w:style>
  <w:style w:type="character" w:customStyle="1" w:styleId="cat-Dategrp-4rplc-5">
    <w:name w:val="cat-Date grp-4 rplc-5"/>
    <w:basedOn w:val="DefaultParagraphFont"/>
  </w:style>
  <w:style w:type="character" w:customStyle="1" w:styleId="cat-Dategrp-6rplc-7">
    <w:name w:val="cat-Date grp-6 rplc-7"/>
    <w:basedOn w:val="DefaultParagraphFont"/>
  </w:style>
  <w:style w:type="character" w:customStyle="1" w:styleId="cat-Dategrp-5rplc-8">
    <w:name w:val="cat-Date grp-5 rplc-8"/>
    <w:basedOn w:val="DefaultParagraphFont"/>
  </w:style>
  <w:style w:type="character" w:customStyle="1" w:styleId="cat-Sumgrp-29rplc-9">
    <w:name w:val="cat-Sum grp-29 rplc-9"/>
    <w:basedOn w:val="DefaultParagraphFont"/>
  </w:style>
  <w:style w:type="character" w:customStyle="1" w:styleId="cat-Sumgrp-30rplc-10">
    <w:name w:val="cat-Sum grp-30 rplc-10"/>
    <w:basedOn w:val="DefaultParagraphFont"/>
  </w:style>
  <w:style w:type="character" w:customStyle="1" w:styleId="cat-Dategrp-7rplc-11">
    <w:name w:val="cat-Date grp-7 rplc-11"/>
    <w:basedOn w:val="DefaultParagraphFont"/>
  </w:style>
  <w:style w:type="character" w:customStyle="1" w:styleId="cat-Dategrp-8rplc-12">
    <w:name w:val="cat-Date grp-8 rplc-12"/>
    <w:basedOn w:val="DefaultParagraphFont"/>
  </w:style>
  <w:style w:type="character" w:customStyle="1" w:styleId="cat-Sumgrp-31rplc-13">
    <w:name w:val="cat-Sum grp-31 rplc-13"/>
    <w:basedOn w:val="DefaultParagraphFont"/>
  </w:style>
  <w:style w:type="character" w:customStyle="1" w:styleId="cat-Dategrp-10rplc-14">
    <w:name w:val="cat-Date grp-10 rplc-14"/>
    <w:basedOn w:val="DefaultParagraphFont"/>
  </w:style>
  <w:style w:type="character" w:customStyle="1" w:styleId="cat-Dategrp-9rplc-15">
    <w:name w:val="cat-Date grp-9 rplc-15"/>
    <w:basedOn w:val="DefaultParagraphFont"/>
  </w:style>
  <w:style w:type="character" w:customStyle="1" w:styleId="cat-Sumgrp-32rplc-16">
    <w:name w:val="cat-Sum grp-32 rplc-16"/>
    <w:basedOn w:val="DefaultParagraphFont"/>
  </w:style>
  <w:style w:type="character" w:customStyle="1" w:styleId="cat-Dategrp-11rplc-17">
    <w:name w:val="cat-Date grp-11 rplc-17"/>
    <w:basedOn w:val="DefaultParagraphFont"/>
  </w:style>
  <w:style w:type="character" w:customStyle="1" w:styleId="cat-Dategrp-12rplc-18">
    <w:name w:val="cat-Date grp-12 rplc-18"/>
    <w:basedOn w:val="DefaultParagraphFont"/>
  </w:style>
  <w:style w:type="character" w:customStyle="1" w:styleId="cat-Sumgrp-33rplc-19">
    <w:name w:val="cat-Sum grp-33 rplc-19"/>
    <w:basedOn w:val="DefaultParagraphFont"/>
  </w:style>
  <w:style w:type="character" w:customStyle="1" w:styleId="cat-Sumgrp-34rplc-20">
    <w:name w:val="cat-Sum grp-34 rplc-20"/>
    <w:basedOn w:val="DefaultParagraphFont"/>
  </w:style>
  <w:style w:type="character" w:customStyle="1" w:styleId="cat-Dategrp-14rplc-21">
    <w:name w:val="cat-Date grp-14 rplc-21"/>
    <w:basedOn w:val="DefaultParagraphFont"/>
  </w:style>
  <w:style w:type="character" w:customStyle="1" w:styleId="cat-Dategrp-13rplc-22">
    <w:name w:val="cat-Date grp-13 rplc-22"/>
    <w:basedOn w:val="DefaultParagraphFont"/>
  </w:style>
  <w:style w:type="character" w:customStyle="1" w:styleId="cat-Sumgrp-35rplc-23">
    <w:name w:val="cat-Sum grp-35 rplc-23"/>
    <w:basedOn w:val="DefaultParagraphFont"/>
  </w:style>
  <w:style w:type="character" w:customStyle="1" w:styleId="cat-Dategrp-15rplc-24">
    <w:name w:val="cat-Date grp-15 rplc-24"/>
    <w:basedOn w:val="DefaultParagraphFont"/>
  </w:style>
  <w:style w:type="character" w:customStyle="1" w:styleId="cat-Dategrp-16rplc-25">
    <w:name w:val="cat-Date grp-16 rplc-25"/>
    <w:basedOn w:val="DefaultParagraphFont"/>
  </w:style>
  <w:style w:type="character" w:customStyle="1" w:styleId="cat-Sumgrp-36rplc-26">
    <w:name w:val="cat-Sum grp-36 rplc-26"/>
    <w:basedOn w:val="DefaultParagraphFont"/>
  </w:style>
  <w:style w:type="character" w:customStyle="1" w:styleId="cat-Sumgrp-37rplc-27">
    <w:name w:val="cat-Sum grp-37 rplc-27"/>
    <w:basedOn w:val="DefaultParagraphFont"/>
  </w:style>
  <w:style w:type="character" w:customStyle="1" w:styleId="cat-Sumgrp-38rplc-28">
    <w:name w:val="cat-Sum grp-38 rplc-28"/>
    <w:basedOn w:val="DefaultParagraphFont"/>
  </w:style>
  <w:style w:type="character" w:customStyle="1" w:styleId="cat-Addressgrp-1rplc-30">
    <w:name w:val="cat-Address grp-1 rplc-30"/>
    <w:basedOn w:val="DefaultParagraphFont"/>
  </w:style>
  <w:style w:type="character" w:customStyle="1" w:styleId="cat-Dategrp-17rplc-32">
    <w:name w:val="cat-Date grp-17 rplc-32"/>
    <w:basedOn w:val="DefaultParagraphFont"/>
  </w:style>
  <w:style w:type="character" w:customStyle="1" w:styleId="cat-Dategrp-18rplc-34">
    <w:name w:val="cat-Date grp-18 rplc-34"/>
    <w:basedOn w:val="DefaultParagraphFont"/>
  </w:style>
  <w:style w:type="character" w:customStyle="1" w:styleId="cat-Dategrp-19rplc-35">
    <w:name w:val="cat-Date grp-19 rplc-35"/>
    <w:basedOn w:val="DefaultParagraphFont"/>
  </w:style>
  <w:style w:type="character" w:customStyle="1" w:styleId="cat-Addressgrp-1rplc-36">
    <w:name w:val="cat-Address grp-1 rplc-36"/>
    <w:basedOn w:val="DefaultParagraphFont"/>
  </w:style>
  <w:style w:type="character" w:customStyle="1" w:styleId="cat-Addressgrp-2rplc-39">
    <w:name w:val="cat-Address grp-2 rplc-39"/>
    <w:basedOn w:val="DefaultParagraphFont"/>
  </w:style>
  <w:style w:type="character" w:customStyle="1" w:styleId="cat-Dategrp-21rplc-40">
    <w:name w:val="cat-Date grp-21 rplc-40"/>
    <w:basedOn w:val="DefaultParagraphFont"/>
  </w:style>
  <w:style w:type="character" w:customStyle="1" w:styleId="cat-Dategrp-20rplc-41">
    <w:name w:val="cat-Date grp-20 rplc-41"/>
    <w:basedOn w:val="DefaultParagraphFont"/>
  </w:style>
  <w:style w:type="character" w:customStyle="1" w:styleId="cat-Dategrp-22rplc-42">
    <w:name w:val="cat-Date grp-22 rplc-42"/>
    <w:basedOn w:val="DefaultParagraphFont"/>
  </w:style>
  <w:style w:type="character" w:customStyle="1" w:styleId="cat-Addressgrp-2rplc-43">
    <w:name w:val="cat-Address grp-2 rplc-43"/>
    <w:basedOn w:val="DefaultParagraphFont"/>
  </w:style>
  <w:style w:type="character" w:customStyle="1" w:styleId="cat-Dategrp-6rplc-44">
    <w:name w:val="cat-Date grp-6 rplc-44"/>
    <w:basedOn w:val="DefaultParagraphFont"/>
  </w:style>
  <w:style w:type="character" w:customStyle="1" w:styleId="cat-Dategrp-5rplc-45">
    <w:name w:val="cat-Date grp-5 rplc-45"/>
    <w:basedOn w:val="DefaultParagraphFont"/>
  </w:style>
  <w:style w:type="character" w:customStyle="1" w:styleId="cat-Sumgrp-39rplc-46">
    <w:name w:val="cat-Sum grp-39 rplc-46"/>
    <w:basedOn w:val="DefaultParagraphFont"/>
  </w:style>
  <w:style w:type="character" w:customStyle="1" w:styleId="cat-Dategrp-10rplc-47">
    <w:name w:val="cat-Date grp-10 rplc-47"/>
    <w:basedOn w:val="DefaultParagraphFont"/>
  </w:style>
  <w:style w:type="character" w:customStyle="1" w:styleId="cat-Dategrp-9rplc-48">
    <w:name w:val="cat-Date grp-9 rplc-48"/>
    <w:basedOn w:val="DefaultParagraphFont"/>
  </w:style>
  <w:style w:type="character" w:customStyle="1" w:styleId="cat-Sumgrp-32rplc-49">
    <w:name w:val="cat-Sum grp-32 rplc-49"/>
    <w:basedOn w:val="DefaultParagraphFont"/>
  </w:style>
  <w:style w:type="character" w:customStyle="1" w:styleId="cat-Dategrp-14rplc-50">
    <w:name w:val="cat-Date grp-14 rplc-50"/>
    <w:basedOn w:val="DefaultParagraphFont"/>
  </w:style>
  <w:style w:type="character" w:customStyle="1" w:styleId="cat-Dategrp-13rplc-51">
    <w:name w:val="cat-Date grp-13 rplc-51"/>
    <w:basedOn w:val="DefaultParagraphFont"/>
  </w:style>
  <w:style w:type="character" w:customStyle="1" w:styleId="cat-Sumgrp-35rplc-52">
    <w:name w:val="cat-Sum grp-35 rplc-52"/>
    <w:basedOn w:val="DefaultParagraphFont"/>
  </w:style>
  <w:style w:type="character" w:customStyle="1" w:styleId="cat-Dategrp-7rplc-53">
    <w:name w:val="cat-Date grp-7 rplc-53"/>
    <w:basedOn w:val="DefaultParagraphFont"/>
  </w:style>
  <w:style w:type="character" w:customStyle="1" w:styleId="cat-Dategrp-8rplc-54">
    <w:name w:val="cat-Date grp-8 rplc-54"/>
    <w:basedOn w:val="DefaultParagraphFont"/>
  </w:style>
  <w:style w:type="character" w:customStyle="1" w:styleId="cat-Sumgrp-31rplc-55">
    <w:name w:val="cat-Sum grp-31 rplc-55"/>
    <w:basedOn w:val="DefaultParagraphFont"/>
  </w:style>
  <w:style w:type="character" w:customStyle="1" w:styleId="cat-Dategrp-11rplc-56">
    <w:name w:val="cat-Date grp-11 rplc-56"/>
    <w:basedOn w:val="DefaultParagraphFont"/>
  </w:style>
  <w:style w:type="character" w:customStyle="1" w:styleId="cat-Dategrp-12rplc-57">
    <w:name w:val="cat-Date grp-12 rplc-57"/>
    <w:basedOn w:val="DefaultParagraphFont"/>
  </w:style>
  <w:style w:type="character" w:customStyle="1" w:styleId="cat-Sumgrp-40rplc-58">
    <w:name w:val="cat-Sum grp-40 rplc-58"/>
    <w:basedOn w:val="DefaultParagraphFont"/>
  </w:style>
  <w:style w:type="character" w:customStyle="1" w:styleId="cat-Dategrp-15rplc-59">
    <w:name w:val="cat-Date grp-15 rplc-59"/>
    <w:basedOn w:val="DefaultParagraphFont"/>
  </w:style>
  <w:style w:type="character" w:customStyle="1" w:styleId="cat-Dategrp-16rplc-60">
    <w:name w:val="cat-Date grp-16 rplc-60"/>
    <w:basedOn w:val="DefaultParagraphFont"/>
  </w:style>
  <w:style w:type="character" w:customStyle="1" w:styleId="cat-Sumgrp-41rplc-61">
    <w:name w:val="cat-Sum grp-41 rplc-61"/>
    <w:basedOn w:val="DefaultParagraphFont"/>
  </w:style>
  <w:style w:type="character" w:customStyle="1" w:styleId="cat-Sumgrp-38rplc-62">
    <w:name w:val="cat-Sum grp-38 rplc-62"/>
    <w:basedOn w:val="DefaultParagraphFont"/>
  </w:style>
  <w:style w:type="character" w:customStyle="1" w:styleId="cat-Dategrp-6rplc-64">
    <w:name w:val="cat-Date grp-6 rplc-64"/>
    <w:basedOn w:val="DefaultParagraphFont"/>
  </w:style>
  <w:style w:type="character" w:customStyle="1" w:styleId="cat-Dategrp-5rplc-65">
    <w:name w:val="cat-Date grp-5 rplc-65"/>
    <w:basedOn w:val="DefaultParagraphFont"/>
  </w:style>
  <w:style w:type="character" w:customStyle="1" w:styleId="cat-Sumgrp-39rplc-66">
    <w:name w:val="cat-Sum grp-39 rplc-66"/>
    <w:basedOn w:val="DefaultParagraphFont"/>
  </w:style>
  <w:style w:type="character" w:customStyle="1" w:styleId="cat-Dategrp-7rplc-67">
    <w:name w:val="cat-Date grp-7 rplc-67"/>
    <w:basedOn w:val="DefaultParagraphFont"/>
  </w:style>
  <w:style w:type="character" w:customStyle="1" w:styleId="cat-Dategrp-8rplc-68">
    <w:name w:val="cat-Date grp-8 rplc-68"/>
    <w:basedOn w:val="DefaultParagraphFont"/>
  </w:style>
  <w:style w:type="character" w:customStyle="1" w:styleId="cat-Sumgrp-31rplc-69">
    <w:name w:val="cat-Sum grp-31 rplc-69"/>
    <w:basedOn w:val="DefaultParagraphFont"/>
  </w:style>
  <w:style w:type="character" w:customStyle="1" w:styleId="cat-Dategrp-10rplc-70">
    <w:name w:val="cat-Date grp-10 rplc-70"/>
    <w:basedOn w:val="DefaultParagraphFont"/>
  </w:style>
  <w:style w:type="character" w:customStyle="1" w:styleId="cat-Dategrp-9rplc-71">
    <w:name w:val="cat-Date grp-9 rplc-71"/>
    <w:basedOn w:val="DefaultParagraphFont"/>
  </w:style>
  <w:style w:type="character" w:customStyle="1" w:styleId="cat-Sumgrp-32rplc-72">
    <w:name w:val="cat-Sum grp-32 rplc-72"/>
    <w:basedOn w:val="DefaultParagraphFont"/>
  </w:style>
  <w:style w:type="character" w:customStyle="1" w:styleId="cat-Dategrp-11rplc-73">
    <w:name w:val="cat-Date grp-11 rplc-73"/>
    <w:basedOn w:val="DefaultParagraphFont"/>
  </w:style>
  <w:style w:type="character" w:customStyle="1" w:styleId="cat-Dategrp-12rplc-74">
    <w:name w:val="cat-Date grp-12 rplc-74"/>
    <w:basedOn w:val="DefaultParagraphFont"/>
  </w:style>
  <w:style w:type="character" w:customStyle="1" w:styleId="cat-Sumgrp-40rplc-75">
    <w:name w:val="cat-Sum grp-40 rplc-75"/>
    <w:basedOn w:val="DefaultParagraphFont"/>
  </w:style>
  <w:style w:type="character" w:customStyle="1" w:styleId="cat-Dategrp-14rplc-76">
    <w:name w:val="cat-Date grp-14 rplc-76"/>
    <w:basedOn w:val="DefaultParagraphFont"/>
  </w:style>
  <w:style w:type="character" w:customStyle="1" w:styleId="cat-Dategrp-13rplc-77">
    <w:name w:val="cat-Date grp-13 rplc-77"/>
    <w:basedOn w:val="DefaultParagraphFont"/>
  </w:style>
  <w:style w:type="character" w:customStyle="1" w:styleId="cat-Sumgrp-35rplc-78">
    <w:name w:val="cat-Sum grp-35 rplc-78"/>
    <w:basedOn w:val="DefaultParagraphFont"/>
  </w:style>
  <w:style w:type="character" w:customStyle="1" w:styleId="cat-Dategrp-15rplc-79">
    <w:name w:val="cat-Date grp-15 rplc-79"/>
    <w:basedOn w:val="DefaultParagraphFont"/>
  </w:style>
  <w:style w:type="character" w:customStyle="1" w:styleId="cat-Dategrp-16rplc-80">
    <w:name w:val="cat-Date grp-16 rplc-80"/>
    <w:basedOn w:val="DefaultParagraphFont"/>
  </w:style>
  <w:style w:type="character" w:customStyle="1" w:styleId="cat-Sumgrp-41rplc-81">
    <w:name w:val="cat-Sum grp-41 rplc-81"/>
    <w:basedOn w:val="DefaultParagraphFont"/>
  </w:style>
  <w:style w:type="character" w:customStyle="1" w:styleId="cat-Sumgrp-38rplc-83">
    <w:name w:val="cat-Sum grp-38 rplc-83"/>
    <w:basedOn w:val="DefaultParagraphFont"/>
  </w:style>
  <w:style w:type="character" w:customStyle="1" w:styleId="cat-Addressgrp-0rplc-84">
    <w:name w:val="cat-Address grp-0 rplc-84"/>
    <w:basedOn w:val="DefaultParagraphFont"/>
  </w:style>
  <w:style w:type="character" w:customStyle="1" w:styleId="cat-Dategrp-23rplc-85">
    <w:name w:val="cat-Date grp-23 rplc-85"/>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