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D53881" w14:textId="77777777" w:rsidR="00B56A92" w:rsidRPr="002C3FC8" w:rsidRDefault="00000000" w:rsidP="002C3FC8">
      <w:pPr>
        <w:spacing w:before="1600"/>
        <w:jc w:val="both"/>
        <w:rPr>
          <w:rFonts w:ascii="Helvetica Neue" w:hAnsi="Helvetica Neue"/>
        </w:rPr>
      </w:pPr>
      <w:r w:rsidRPr="002C3FC8">
        <w:rPr>
          <w:rFonts w:ascii="Helvetica Neue" w:hAnsi="Helvetica Neue"/>
          <w:b/>
          <w:bCs/>
          <w:color w:val="2E5C8A"/>
          <w:sz w:val="44"/>
          <w:szCs w:val="44"/>
        </w:rPr>
        <w:t>INDEPENDENT EDUCATION ADVISORY</w:t>
      </w:r>
    </w:p>
    <w:p w14:paraId="34E59B4F" w14:textId="77777777" w:rsidR="00B56A92" w:rsidRPr="002C3FC8" w:rsidRDefault="00000000" w:rsidP="002C3FC8">
      <w:pPr>
        <w:spacing w:before="120"/>
        <w:jc w:val="both"/>
        <w:rPr>
          <w:rFonts w:ascii="Helvetica Neue" w:hAnsi="Helvetica Neue"/>
        </w:rPr>
      </w:pPr>
      <w:r w:rsidRPr="002C3FC8">
        <w:rPr>
          <w:rFonts w:ascii="Helvetica Neue" w:hAnsi="Helvetica Neue"/>
          <w:color w:val="1F2937"/>
          <w:sz w:val="26"/>
          <w:szCs w:val="26"/>
        </w:rPr>
        <w:t>Curriculum, Digital Technologies &amp; AI Consulting for Schools</w:t>
      </w:r>
    </w:p>
    <w:p w14:paraId="6783F57F" w14:textId="77777777" w:rsidR="00B56A92" w:rsidRPr="002C3FC8" w:rsidRDefault="00000000" w:rsidP="002C3FC8">
      <w:pPr>
        <w:spacing w:before="400"/>
        <w:jc w:val="both"/>
        <w:rPr>
          <w:rFonts w:ascii="Helvetica Neue" w:hAnsi="Helvetica Neue"/>
        </w:rPr>
      </w:pPr>
      <w:r w:rsidRPr="002C3FC8">
        <w:rPr>
          <w:rFonts w:ascii="Helvetica Neue" w:hAnsi="Helvetica Neue"/>
          <w:i/>
          <w:iCs/>
          <w:color w:val="555555"/>
          <w:sz w:val="22"/>
          <w:szCs w:val="22"/>
        </w:rPr>
        <w:t>Business Plan</w:t>
      </w:r>
    </w:p>
    <w:p w14:paraId="4C6DF422" w14:textId="77777777" w:rsidR="00B56A92" w:rsidRPr="002C3FC8" w:rsidRDefault="00000000" w:rsidP="002C3FC8">
      <w:pPr>
        <w:spacing w:before="80"/>
        <w:jc w:val="both"/>
        <w:rPr>
          <w:rFonts w:ascii="Helvetica Neue" w:hAnsi="Helvetica Neue"/>
        </w:rPr>
      </w:pPr>
      <w:r w:rsidRPr="002C3FC8">
        <w:rPr>
          <w:rFonts w:ascii="Helvetica Neue" w:hAnsi="Helvetica Neue"/>
          <w:color w:val="555555"/>
        </w:rPr>
        <w:t xml:space="preserve">Prepared by Sebastian </w:t>
      </w:r>
      <w:proofErr w:type="gramStart"/>
      <w:r w:rsidRPr="002C3FC8">
        <w:rPr>
          <w:rFonts w:ascii="Helvetica Neue" w:hAnsi="Helvetica Neue"/>
          <w:color w:val="555555"/>
        </w:rPr>
        <w:t>Harper  |</w:t>
      </w:r>
      <w:proofErr w:type="gramEnd"/>
      <w:r w:rsidRPr="002C3FC8">
        <w:rPr>
          <w:rFonts w:ascii="Helvetica Neue" w:hAnsi="Helvetica Neue"/>
          <w:color w:val="555555"/>
        </w:rPr>
        <w:t xml:space="preserve">  July 2026</w:t>
      </w:r>
    </w:p>
    <w:p w14:paraId="313BA4E1" w14:textId="77777777" w:rsidR="00B56A92" w:rsidRPr="002C3FC8" w:rsidRDefault="00000000" w:rsidP="002C3FC8">
      <w:pPr>
        <w:spacing w:before="1000"/>
        <w:jc w:val="both"/>
        <w:rPr>
          <w:rFonts w:ascii="Helvetica Neue" w:hAnsi="Helvetica Neue"/>
        </w:rPr>
      </w:pPr>
      <w:r w:rsidRPr="002C3FC8">
        <w:rPr>
          <w:rFonts w:ascii="Helvetica Neue" w:hAnsi="Helvetica Neue"/>
          <w:b/>
          <w:bCs/>
          <w:color w:val="2E5C8A"/>
          <w:sz w:val="24"/>
          <w:szCs w:val="24"/>
        </w:rPr>
        <w:t>“Happy Teachers = Happy Schools.”</w:t>
      </w:r>
    </w:p>
    <w:p w14:paraId="58310E20" w14:textId="77777777" w:rsidR="00B56A92" w:rsidRPr="002C3FC8" w:rsidRDefault="00000000" w:rsidP="002C3FC8">
      <w:pPr>
        <w:jc w:val="both"/>
        <w:rPr>
          <w:rFonts w:ascii="Helvetica Neue" w:hAnsi="Helvetica Neue"/>
        </w:rPr>
      </w:pPr>
      <w:r w:rsidRPr="002C3FC8">
        <w:rPr>
          <w:rFonts w:ascii="Helvetica Neue" w:hAnsi="Helvetica Neue"/>
        </w:rPr>
        <w:br w:type="page"/>
      </w:r>
    </w:p>
    <w:p w14:paraId="6CF7B8EA" w14:textId="77777777" w:rsidR="00B56A92" w:rsidRPr="002C3FC8" w:rsidRDefault="00000000" w:rsidP="002C3FC8">
      <w:pPr>
        <w:pStyle w:val="Heading1"/>
        <w:pBdr>
          <w:bottom w:val="single" w:sz="6" w:space="4" w:color="2E5C8A"/>
        </w:pBdr>
        <w:spacing w:before="360" w:after="160"/>
        <w:jc w:val="both"/>
        <w:rPr>
          <w:rFonts w:ascii="Helvetica Neue" w:hAnsi="Helvetica Neue"/>
        </w:rPr>
      </w:pPr>
      <w:r w:rsidRPr="002C3FC8">
        <w:rPr>
          <w:rFonts w:ascii="Helvetica Neue" w:hAnsi="Helvetica Neue"/>
          <w:b/>
          <w:bCs/>
          <w:color w:val="2E5C8A"/>
          <w:sz w:val="30"/>
          <w:szCs w:val="30"/>
        </w:rPr>
        <w:lastRenderedPageBreak/>
        <w:t>1. Executive Summary</w:t>
      </w:r>
    </w:p>
    <w:p w14:paraId="767DDA4C"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This plan sets out an independent education advisory practice built on a long career of school-based and system-level leadership across curriculum, digital technologies, and now artificial intelligence in education. The business exists to make schools and teachers' jobs easier — not to tell them they are failing, but to help an already-committed profession do its best work with better tools, clearer processes, and less administrative load.</w:t>
      </w:r>
    </w:p>
    <w:p w14:paraId="552C8806"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The core proposition is simple: invest in people. By improving teacher capacity and capability, reducing non-teaching workload, and supporting sound curriculum, assessment, technology and AI decision-making, the practice aims to lift teacher retention, staff wellbeing, and student outcomes at the same time — a genuine win-win for schools, staff, students and families.</w:t>
      </w:r>
    </w:p>
    <w:p w14:paraId="286B361B"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Engagements begin with a free first meeting to identify what would genuinely benefit a given school, followed by a clear engagement letter setting out services, deliverables and conditions. The guiding rule for the business: only ever offer a service that proactively benefits the client.</w:t>
      </w:r>
    </w:p>
    <w:p w14:paraId="3407812D" w14:textId="77777777" w:rsidR="00B56A92" w:rsidRPr="002C3FC8" w:rsidRDefault="00000000" w:rsidP="002C3FC8">
      <w:pPr>
        <w:pStyle w:val="Heading1"/>
        <w:pBdr>
          <w:bottom w:val="single" w:sz="6" w:space="4" w:color="2E5C8A"/>
        </w:pBdr>
        <w:spacing w:before="360" w:after="160"/>
        <w:jc w:val="both"/>
        <w:rPr>
          <w:rFonts w:ascii="Helvetica Neue" w:hAnsi="Helvetica Neue"/>
        </w:rPr>
      </w:pPr>
      <w:r w:rsidRPr="002C3FC8">
        <w:rPr>
          <w:rFonts w:ascii="Helvetica Neue" w:hAnsi="Helvetica Neue"/>
          <w:b/>
          <w:bCs/>
          <w:color w:val="2E5C8A"/>
          <w:sz w:val="30"/>
          <w:szCs w:val="30"/>
        </w:rPr>
        <w:t>2. About the Founder — Why Me</w:t>
      </w:r>
    </w:p>
    <w:p w14:paraId="1EF36D3F"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Credibility here is not a list of job titles — it is what gets delivered, and how that help is experienced by the people on the receiving end: “It’s not what I can do, it’s how I can help people.” That said, the track record across schools and national curriculum authorities is the foundation the business is built on.</w:t>
      </w:r>
    </w:p>
    <w:p w14:paraId="7BB2D1D1" w14:textId="77777777" w:rsidR="00B56A92" w:rsidRPr="002C3FC8" w:rsidRDefault="00000000" w:rsidP="002C3FC8">
      <w:pPr>
        <w:pStyle w:val="Heading2"/>
        <w:spacing w:before="240" w:after="100"/>
        <w:jc w:val="both"/>
        <w:rPr>
          <w:rFonts w:ascii="Helvetica Neue" w:hAnsi="Helvetica Neue"/>
        </w:rPr>
      </w:pPr>
      <w:r w:rsidRPr="002C3FC8">
        <w:rPr>
          <w:rFonts w:ascii="Helvetica Neue" w:hAnsi="Helvetica Neue"/>
          <w:b/>
          <w:bCs/>
          <w:color w:val="1F2937"/>
          <w:sz w:val="24"/>
          <w:szCs w:val="24"/>
        </w:rPr>
        <w:t>School Experience</w:t>
      </w:r>
    </w:p>
    <w:p w14:paraId="16282727"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John Paul College</w:t>
      </w:r>
    </w:p>
    <w:p w14:paraId="1D72D01F" w14:textId="77777777" w:rsidR="00B56A92" w:rsidRPr="002C3FC8" w:rsidRDefault="00000000" w:rsidP="002C3FC8">
      <w:pPr>
        <w:pStyle w:val="ListParagraph"/>
        <w:numPr>
          <w:ilvl w:val="0"/>
          <w:numId w:val="2"/>
        </w:numPr>
        <w:spacing w:after="80" w:line="270" w:lineRule="auto"/>
        <w:jc w:val="both"/>
        <w:rPr>
          <w:rFonts w:ascii="Helvetica Neue" w:hAnsi="Helvetica Neue"/>
        </w:rPr>
      </w:pPr>
      <w:proofErr w:type="spellStart"/>
      <w:r w:rsidRPr="002C3FC8">
        <w:rPr>
          <w:rFonts w:ascii="Helvetica Neue" w:hAnsi="Helvetica Neue"/>
          <w:sz w:val="22"/>
          <w:szCs w:val="22"/>
        </w:rPr>
        <w:t>Fetherby</w:t>
      </w:r>
      <w:proofErr w:type="spellEnd"/>
      <w:r w:rsidRPr="002C3FC8">
        <w:rPr>
          <w:rFonts w:ascii="Helvetica Neue" w:hAnsi="Helvetica Neue"/>
          <w:sz w:val="22"/>
          <w:szCs w:val="22"/>
        </w:rPr>
        <w:t xml:space="preserve"> Junior School (UK)</w:t>
      </w:r>
    </w:p>
    <w:p w14:paraId="58A6FDA4"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St Hilda’s School</w:t>
      </w:r>
    </w:p>
    <w:p w14:paraId="195D6841"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Coomera Anglican College</w:t>
      </w:r>
    </w:p>
    <w:p w14:paraId="2F7539C4"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AB Paterson College</w:t>
      </w:r>
    </w:p>
    <w:p w14:paraId="3F35D7DD"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Hillbrook Anglican School</w:t>
      </w:r>
    </w:p>
    <w:p w14:paraId="0FA713F4" w14:textId="77777777" w:rsidR="00B56A92" w:rsidRPr="002C3FC8" w:rsidRDefault="00000000" w:rsidP="002C3FC8">
      <w:pPr>
        <w:pStyle w:val="Heading2"/>
        <w:spacing w:before="240" w:after="100"/>
        <w:jc w:val="both"/>
        <w:rPr>
          <w:rFonts w:ascii="Helvetica Neue" w:hAnsi="Helvetica Neue"/>
        </w:rPr>
      </w:pPr>
      <w:r w:rsidRPr="002C3FC8">
        <w:rPr>
          <w:rFonts w:ascii="Helvetica Neue" w:hAnsi="Helvetica Neue"/>
          <w:b/>
          <w:bCs/>
          <w:color w:val="1F2937"/>
          <w:sz w:val="24"/>
          <w:szCs w:val="24"/>
        </w:rPr>
        <w:t>System &amp; Curriculum Authority Experience</w:t>
      </w:r>
    </w:p>
    <w:p w14:paraId="17B522E1"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Australian Curriculum, Assessment and Reporting Authority (ACARA)</w:t>
      </w:r>
    </w:p>
    <w:p w14:paraId="1B07BDCC"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Queensland Curriculum and Assessment Authority (QCAA)</w:t>
      </w:r>
    </w:p>
    <w:p w14:paraId="13090D75" w14:textId="77777777" w:rsidR="00B56A92" w:rsidRPr="002C3FC8" w:rsidRDefault="00000000" w:rsidP="002C3FC8">
      <w:pPr>
        <w:pStyle w:val="Heading2"/>
        <w:spacing w:before="240" w:after="100"/>
        <w:jc w:val="both"/>
        <w:rPr>
          <w:rFonts w:ascii="Helvetica Neue" w:hAnsi="Helvetica Neue"/>
        </w:rPr>
      </w:pPr>
      <w:r w:rsidRPr="002C3FC8">
        <w:rPr>
          <w:rFonts w:ascii="Helvetica Neue" w:hAnsi="Helvetica Neue"/>
          <w:b/>
          <w:bCs/>
          <w:color w:val="1F2937"/>
          <w:sz w:val="24"/>
          <w:szCs w:val="24"/>
        </w:rPr>
        <w:t>Roles Held</w:t>
      </w:r>
    </w:p>
    <w:p w14:paraId="5D560CE1"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Head of Learning Innovation</w:t>
      </w:r>
    </w:p>
    <w:p w14:paraId="4939099A"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Deputy Director of Teaching &amp; Learning</w:t>
      </w:r>
    </w:p>
    <w:p w14:paraId="2C322812"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Head of Digital Literacy &amp; STEAM, Prep–12</w:t>
      </w:r>
    </w:p>
    <w:p w14:paraId="1B380D30"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Technologies &amp; Innovation Specialist</w:t>
      </w:r>
    </w:p>
    <w:p w14:paraId="505EAB53"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Curriculum Officer — Digital Technologies in Focus Project</w:t>
      </w:r>
    </w:p>
    <w:p w14:paraId="5ADF7487"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Senior Project Officer</w:t>
      </w:r>
    </w:p>
    <w:p w14:paraId="49865607"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lastRenderedPageBreak/>
        <w:t xml:space="preserve">Head of St </w:t>
      </w:r>
      <w:proofErr w:type="spellStart"/>
      <w:r w:rsidRPr="002C3FC8">
        <w:rPr>
          <w:rFonts w:ascii="Helvetica Neue" w:hAnsi="Helvetica Neue"/>
          <w:sz w:val="22"/>
          <w:szCs w:val="22"/>
        </w:rPr>
        <w:t>Hilda’s@Home</w:t>
      </w:r>
      <w:proofErr w:type="spellEnd"/>
    </w:p>
    <w:p w14:paraId="419F3577"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Apple Distinguished Educator (2015)</w:t>
      </w:r>
    </w:p>
    <w:p w14:paraId="13D2F7CA"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This combination — classroom and school leadership experience alongside national curriculum and assessment authority work — is uncommon, and it means advice given is grounded in both the reality of a staffroom and the machinery of curriculum policy.</w:t>
      </w:r>
    </w:p>
    <w:p w14:paraId="1F78C6E5" w14:textId="77777777" w:rsidR="00B56A92" w:rsidRPr="002C3FC8" w:rsidRDefault="00000000" w:rsidP="002C3FC8">
      <w:pPr>
        <w:pStyle w:val="Heading1"/>
        <w:pBdr>
          <w:bottom w:val="single" w:sz="6" w:space="4" w:color="2E5C8A"/>
        </w:pBdr>
        <w:spacing w:before="360" w:after="160"/>
        <w:jc w:val="both"/>
        <w:rPr>
          <w:rFonts w:ascii="Helvetica Neue" w:hAnsi="Helvetica Neue"/>
        </w:rPr>
      </w:pPr>
      <w:r w:rsidRPr="002C3FC8">
        <w:rPr>
          <w:rFonts w:ascii="Helvetica Neue" w:hAnsi="Helvetica Neue"/>
          <w:b/>
          <w:bCs/>
          <w:color w:val="2E5C8A"/>
          <w:sz w:val="30"/>
          <w:szCs w:val="30"/>
        </w:rPr>
        <w:t>3. Market Opportunity &amp; Rationale</w:t>
      </w:r>
    </w:p>
    <w:p w14:paraId="7772EFBE"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What is the real difference between a school in Ascot and a school in Toowoomba? Largely, socioeconomic placement, and the time and money each school has available to solve the same problems. Well-resourced schools can buy specialist capacity in-house; many others cannot, and their teachers absorb the gap through unpaid time and stretched expertise.</w:t>
      </w:r>
    </w:p>
    <w:p w14:paraId="0F6440D7"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This practice is built on the belief that schools and teachers are already doing their best. The role of the advisor is not to imply otherwise, but to help build on that effort — improving the tools and processes available, at a fraction of the time and cost it would take a school to develop the same capability alone.</w:t>
      </w:r>
    </w:p>
    <w:p w14:paraId="1418327A" w14:textId="77777777" w:rsidR="00B56A92" w:rsidRPr="002C3FC8" w:rsidRDefault="00000000" w:rsidP="002C3FC8">
      <w:pPr>
        <w:pBdr>
          <w:top w:val="single" w:sz="4" w:space="8" w:color="2E5C8A"/>
          <w:left w:val="single" w:sz="16" w:space="8" w:color="2E5C8A"/>
          <w:bottom w:val="single" w:sz="4" w:space="8" w:color="2E5C8A"/>
          <w:right w:val="single" w:sz="4" w:space="8" w:color="2E5C8A"/>
        </w:pBdr>
        <w:shd w:val="clear" w:color="auto" w:fill="EAF0F6"/>
        <w:spacing w:before="160" w:after="200"/>
        <w:jc w:val="both"/>
        <w:rPr>
          <w:rFonts w:ascii="Helvetica Neue" w:hAnsi="Helvetica Neue"/>
        </w:rPr>
      </w:pPr>
      <w:r w:rsidRPr="002C3FC8">
        <w:rPr>
          <w:rFonts w:ascii="Helvetica Neue" w:hAnsi="Helvetica Neue"/>
          <w:i/>
          <w:iCs/>
          <w:color w:val="1F2937"/>
          <w:sz w:val="22"/>
          <w:szCs w:val="22"/>
        </w:rPr>
        <w:t>“I’m here to make your job easier. Happy Teachers = Happy Schools.”</w:t>
      </w:r>
    </w:p>
    <w:p w14:paraId="7F5538E6" w14:textId="77777777" w:rsidR="00B56A92" w:rsidRPr="002C3FC8" w:rsidRDefault="00000000" w:rsidP="002C3FC8">
      <w:pPr>
        <w:pStyle w:val="Heading2"/>
        <w:spacing w:before="240" w:after="100"/>
        <w:jc w:val="both"/>
        <w:rPr>
          <w:rFonts w:ascii="Helvetica Neue" w:hAnsi="Helvetica Neue"/>
        </w:rPr>
      </w:pPr>
      <w:r w:rsidRPr="002C3FC8">
        <w:rPr>
          <w:rFonts w:ascii="Helvetica Neue" w:hAnsi="Helvetica Neue"/>
          <w:b/>
          <w:bCs/>
          <w:color w:val="1F2937"/>
          <w:sz w:val="24"/>
          <w:szCs w:val="24"/>
        </w:rPr>
        <w:t>Cost Context Worth Presenting to Schools</w:t>
      </w:r>
    </w:p>
    <w:p w14:paraId="0374D3CF"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When discussing value with a prospective client, it helps to frame the advisory fee against the real, often invisible costs schools already carry:</w:t>
      </w:r>
    </w:p>
    <w:p w14:paraId="33EE503E"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The cost of training a new teacher through university</w:t>
      </w:r>
    </w:p>
    <w:p w14:paraId="58891C29"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The cost of onboarding a new teacher into a school’s systems and culture</w:t>
      </w:r>
    </w:p>
    <w:p w14:paraId="1F0A2F3B"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The cost of staff turnover (recruitment, lost institutional knowledge, disruption to students)</w:t>
      </w:r>
    </w:p>
    <w:p w14:paraId="64C2B835"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The downstream cost implied by staff wellbeing and attrition data</w:t>
      </w:r>
    </w:p>
    <w:p w14:paraId="1D21B7ED"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Positioned this way, advisory support is not an added expense — it is a lower-cost, faster way to close a capability gap the school is already paying for in other forms.</w:t>
      </w:r>
    </w:p>
    <w:p w14:paraId="3199BD70" w14:textId="77777777" w:rsidR="00B56A92" w:rsidRPr="002C3FC8" w:rsidRDefault="00000000" w:rsidP="002C3FC8">
      <w:pPr>
        <w:pStyle w:val="Heading1"/>
        <w:pBdr>
          <w:bottom w:val="single" w:sz="6" w:space="4" w:color="2E5C8A"/>
        </w:pBdr>
        <w:spacing w:before="360" w:after="160"/>
        <w:jc w:val="both"/>
        <w:rPr>
          <w:rFonts w:ascii="Helvetica Neue" w:hAnsi="Helvetica Neue"/>
        </w:rPr>
      </w:pPr>
      <w:r w:rsidRPr="002C3FC8">
        <w:rPr>
          <w:rFonts w:ascii="Helvetica Neue" w:hAnsi="Helvetica Neue"/>
          <w:b/>
          <w:bCs/>
          <w:color w:val="2E5C8A"/>
          <w:sz w:val="30"/>
          <w:szCs w:val="30"/>
        </w:rPr>
        <w:t>4. Services Offered</w:t>
      </w:r>
    </w:p>
    <w:p w14:paraId="72055052"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Services are organised into three pillars, each of which can be engaged individually or as part of a broader advisory relationship.</w:t>
      </w:r>
    </w:p>
    <w:p w14:paraId="50E74370" w14:textId="77777777" w:rsidR="00B56A92" w:rsidRPr="002C3FC8" w:rsidRDefault="00000000" w:rsidP="002C3FC8">
      <w:pPr>
        <w:pStyle w:val="Heading2"/>
        <w:spacing w:before="240" w:after="100"/>
        <w:jc w:val="both"/>
        <w:rPr>
          <w:rFonts w:ascii="Helvetica Neue" w:hAnsi="Helvetica Neue"/>
        </w:rPr>
      </w:pPr>
      <w:r w:rsidRPr="002C3FC8">
        <w:rPr>
          <w:rFonts w:ascii="Helvetica Neue" w:hAnsi="Helvetica Neue"/>
          <w:b/>
          <w:bCs/>
          <w:color w:val="1F2937"/>
          <w:sz w:val="24"/>
          <w:szCs w:val="24"/>
        </w:rPr>
        <w:t>Pillar 1 — Curriculum &amp; Assessment Advisory</w:t>
      </w:r>
    </w:p>
    <w:p w14:paraId="5312FDDF"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Whole-school curriculum and assessment plans</w:t>
      </w:r>
    </w:p>
    <w:p w14:paraId="1AA23A37"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Planning and assessment templates for Junior, Secondary and Senior phases</w:t>
      </w:r>
    </w:p>
    <w:p w14:paraId="5CA02087"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Curriculum mapping — units across subjects</w:t>
      </w:r>
    </w:p>
    <w:p w14:paraId="060CBF00"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Units of work (e.g. 8-week blocks), assessment tasks and culminating tasks</w:t>
      </w:r>
    </w:p>
    <w:p w14:paraId="32082251"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lastRenderedPageBreak/>
        <w:t>Process plans: how to write a unit and assessment; how to build task-specific rubrics; how to write report comments; how to plan a timetable, week, term or semester</w:t>
      </w:r>
    </w:p>
    <w:p w14:paraId="7D19438E"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Understanding the Australian Curriculum — subject-specific guidance, including General Capabilities and Cross-Curriculum Priorities</w:t>
      </w:r>
    </w:p>
    <w:p w14:paraId="4D419F63"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Understanding standards, elaborations and rubrics, translated into task-specific detail</w:t>
      </w:r>
    </w:p>
    <w:p w14:paraId="698C7C18" w14:textId="77777777" w:rsidR="00B56A92" w:rsidRPr="002C3FC8" w:rsidRDefault="00000000" w:rsidP="002C3FC8">
      <w:pPr>
        <w:pStyle w:val="Heading2"/>
        <w:spacing w:before="240" w:after="100"/>
        <w:jc w:val="both"/>
        <w:rPr>
          <w:rFonts w:ascii="Helvetica Neue" w:hAnsi="Helvetica Neue"/>
        </w:rPr>
      </w:pPr>
      <w:r w:rsidRPr="002C3FC8">
        <w:rPr>
          <w:rFonts w:ascii="Helvetica Neue" w:hAnsi="Helvetica Neue"/>
          <w:b/>
          <w:bCs/>
          <w:color w:val="1F2937"/>
          <w:sz w:val="24"/>
          <w:szCs w:val="24"/>
        </w:rPr>
        <w:t>Pillar 2 — Digital Technologies &amp; AI Advisory</w:t>
      </w:r>
    </w:p>
    <w:p w14:paraId="4D818A79"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Guidance on shaping a school’s Digital Technologies policy</w:t>
      </w:r>
    </w:p>
    <w:p w14:paraId="7DAA110E"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Guidance on physical staff and student device management</w:t>
      </w:r>
    </w:p>
    <w:p w14:paraId="005D42C5"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Professional development in digital literacy, file and resource management, and general edtech capability</w:t>
      </w:r>
    </w:p>
    <w:p w14:paraId="14D73CA3"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Advice on how to map and scope Technologies units, including resourcing support</w:t>
      </w:r>
    </w:p>
    <w:p w14:paraId="203DEE1E"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AI-specific advisory: Assessment Policy alignment, Academic Integrity guardrails, AI strategy/policy/direction, an AI Assessment Scale, and an AI Judgement Tool</w:t>
      </w:r>
    </w:p>
    <w:p w14:paraId="02E4BFE3"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“Using AI” staff sessions: what it is, why and how to use it, and privacy, security and bias considerations</w:t>
      </w:r>
    </w:p>
    <w:p w14:paraId="1CA21BFE"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Support building a school’s AI/Digital Technologies Guidelines document (notional hours, generative AI policy, etc.)</w:t>
      </w:r>
    </w:p>
    <w:p w14:paraId="12189F6B" w14:textId="77777777" w:rsidR="00B56A92" w:rsidRPr="002C3FC8" w:rsidRDefault="00000000" w:rsidP="002C3FC8">
      <w:pPr>
        <w:pStyle w:val="Heading2"/>
        <w:spacing w:before="240" w:after="100"/>
        <w:jc w:val="both"/>
        <w:rPr>
          <w:rFonts w:ascii="Helvetica Neue" w:hAnsi="Helvetica Neue"/>
        </w:rPr>
      </w:pPr>
      <w:r w:rsidRPr="002C3FC8">
        <w:rPr>
          <w:rFonts w:ascii="Helvetica Neue" w:hAnsi="Helvetica Neue"/>
          <w:b/>
          <w:bCs/>
          <w:color w:val="1F2937"/>
          <w:sz w:val="24"/>
          <w:szCs w:val="24"/>
        </w:rPr>
        <w:t>Pillar 3 — Staff Capability, Wellbeing &amp; Sustainability</w:t>
      </w:r>
    </w:p>
    <w:p w14:paraId="55A88291"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Reducing administrative load and giving teachers back time</w:t>
      </w:r>
    </w:p>
    <w:p w14:paraId="3CA5E572"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Supporting teacher retention and succession planning</w:t>
      </w:r>
    </w:p>
    <w:p w14:paraId="4360080D"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Onboarding and early-career teacher support</w:t>
      </w:r>
    </w:p>
    <w:p w14:paraId="5621B90E"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Facilitating connections and networking opportunities between educational bodies and entities</w:t>
      </w:r>
    </w:p>
    <w:p w14:paraId="66C54239" w14:textId="77777777" w:rsidR="00B56A92" w:rsidRPr="002C3FC8" w:rsidRDefault="00000000" w:rsidP="002C3FC8">
      <w:pPr>
        <w:pStyle w:val="Heading1"/>
        <w:pBdr>
          <w:bottom w:val="single" w:sz="6" w:space="4" w:color="2E5C8A"/>
        </w:pBdr>
        <w:spacing w:before="360" w:after="160"/>
        <w:jc w:val="both"/>
        <w:rPr>
          <w:rFonts w:ascii="Helvetica Neue" w:hAnsi="Helvetica Neue"/>
        </w:rPr>
      </w:pPr>
      <w:r w:rsidRPr="002C3FC8">
        <w:rPr>
          <w:rFonts w:ascii="Helvetica Neue" w:hAnsi="Helvetica Neue"/>
          <w:b/>
          <w:bCs/>
          <w:color w:val="2E5C8A"/>
          <w:sz w:val="30"/>
          <w:szCs w:val="30"/>
        </w:rPr>
        <w:t>5. Value Proposition</w:t>
      </w:r>
    </w:p>
    <w:p w14:paraId="388A7360" w14:textId="77777777" w:rsidR="00B56A92" w:rsidRPr="002C3FC8" w:rsidRDefault="00000000" w:rsidP="002C3FC8">
      <w:pPr>
        <w:pBdr>
          <w:top w:val="single" w:sz="4" w:space="8" w:color="2E5C8A"/>
          <w:left w:val="single" w:sz="16" w:space="8" w:color="2E5C8A"/>
          <w:bottom w:val="single" w:sz="4" w:space="8" w:color="2E5C8A"/>
          <w:right w:val="single" w:sz="4" w:space="8" w:color="2E5C8A"/>
        </w:pBdr>
        <w:shd w:val="clear" w:color="auto" w:fill="EAF0F6"/>
        <w:spacing w:before="160" w:after="200"/>
        <w:jc w:val="both"/>
        <w:rPr>
          <w:rFonts w:ascii="Helvetica Neue" w:hAnsi="Helvetica Neue"/>
        </w:rPr>
      </w:pPr>
      <w:r w:rsidRPr="002C3FC8">
        <w:rPr>
          <w:rFonts w:ascii="Helvetica Neue" w:hAnsi="Helvetica Neue"/>
          <w:i/>
          <w:iCs/>
          <w:color w:val="1F2937"/>
          <w:sz w:val="22"/>
          <w:szCs w:val="22"/>
        </w:rPr>
        <w:t>“No one cares what you can do — they want to know how you can help them.”</w:t>
      </w:r>
    </w:p>
    <w:p w14:paraId="32790E94"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Every engagement is framed around the client’s problem, not a menu of the advisor’s capabilities. Outputs are tangible and immediately usable — templates, policies, rubrics, mapped units — rather than abstract recommendations that create more work than they save.</w:t>
      </w:r>
    </w:p>
    <w:p w14:paraId="69312266"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Advisory, not directive: improves teacher capacity and capability rather than replacing it</w:t>
      </w:r>
    </w:p>
    <w:p w14:paraId="1D018CB5"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Benefits the whole school community — leadership, teaching staff, students and families</w:t>
      </w:r>
    </w:p>
    <w:p w14:paraId="5F7FB393"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Supports teacher retention and succession, not just a single project outcome</w:t>
      </w:r>
    </w:p>
    <w:p w14:paraId="4118F49B"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Every deliverable is designed to increase outcomes for all stakeholders</w:t>
      </w:r>
    </w:p>
    <w:p w14:paraId="756CAEDB"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Investment is in people first — supporting organisational sustainability, not dependency on the consultant</w:t>
      </w:r>
    </w:p>
    <w:p w14:paraId="657CEB83" w14:textId="77777777" w:rsidR="00B56A92" w:rsidRPr="002C3FC8" w:rsidRDefault="00000000" w:rsidP="002C3FC8">
      <w:pPr>
        <w:pStyle w:val="Heading1"/>
        <w:pBdr>
          <w:bottom w:val="single" w:sz="6" w:space="4" w:color="2E5C8A"/>
        </w:pBdr>
        <w:spacing w:before="360" w:after="160"/>
        <w:jc w:val="both"/>
        <w:rPr>
          <w:rFonts w:ascii="Helvetica Neue" w:hAnsi="Helvetica Neue"/>
        </w:rPr>
      </w:pPr>
      <w:r w:rsidRPr="002C3FC8">
        <w:rPr>
          <w:rFonts w:ascii="Helvetica Neue" w:hAnsi="Helvetica Neue"/>
          <w:b/>
          <w:bCs/>
          <w:color w:val="2E5C8A"/>
          <w:sz w:val="30"/>
          <w:szCs w:val="30"/>
        </w:rPr>
        <w:lastRenderedPageBreak/>
        <w:t>6. Target Market</w:t>
      </w:r>
    </w:p>
    <w:p w14:paraId="0463E646"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Independent, Catholic and Anglican schools across the socioeconomic spectrum, with particular value for schools that lack in-house curriculum or digital/AI specialist capacity, are navigating staff turnover or wellbeing pressures, or are exposed to emerging AI-related academic integrity risk. Services scale from a single free consultation and small fixed-scope project through to an ongoing advisory retainer.</w:t>
      </w:r>
    </w:p>
    <w:p w14:paraId="0785AB34" w14:textId="77777777" w:rsidR="00B56A92" w:rsidRPr="002C3FC8" w:rsidRDefault="00000000" w:rsidP="002C3FC8">
      <w:pPr>
        <w:pStyle w:val="Heading1"/>
        <w:pBdr>
          <w:bottom w:val="single" w:sz="6" w:space="4" w:color="2E5C8A"/>
        </w:pBdr>
        <w:spacing w:before="360" w:after="160"/>
        <w:jc w:val="both"/>
        <w:rPr>
          <w:rFonts w:ascii="Helvetica Neue" w:hAnsi="Helvetica Neue"/>
        </w:rPr>
      </w:pPr>
      <w:r w:rsidRPr="002C3FC8">
        <w:rPr>
          <w:rFonts w:ascii="Helvetica Neue" w:hAnsi="Helvetica Neue"/>
          <w:b/>
          <w:bCs/>
          <w:color w:val="2E5C8A"/>
          <w:sz w:val="30"/>
          <w:szCs w:val="30"/>
        </w:rPr>
        <w:t>7. Engagement Model &amp; Process</w:t>
      </w:r>
    </w:p>
    <w:p w14:paraId="2E059DF8"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b/>
          <w:bCs/>
          <w:sz w:val="22"/>
          <w:szCs w:val="22"/>
        </w:rPr>
        <w:t>First meeting is free — a genuine conversation to identify what would be beneficial for that specific school, not a sales pitch</w:t>
      </w:r>
    </w:p>
    <w:p w14:paraId="2889EFCA"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Every engagement is scoped to produce a tangible outcome the school can use immediately</w:t>
      </w:r>
    </w:p>
    <w:p w14:paraId="4EC0D0CE"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An Engagement Letter is issued for every piece of work, covering:</w:t>
      </w:r>
    </w:p>
    <w:p w14:paraId="5617400F" w14:textId="77777777" w:rsidR="00B56A92" w:rsidRPr="002C3FC8" w:rsidRDefault="00000000" w:rsidP="002C3FC8">
      <w:pPr>
        <w:pStyle w:val="ListParagraph"/>
        <w:numPr>
          <w:ilvl w:val="1"/>
          <w:numId w:val="2"/>
        </w:numPr>
        <w:spacing w:after="60"/>
        <w:jc w:val="both"/>
        <w:rPr>
          <w:rFonts w:ascii="Helvetica Neue" w:hAnsi="Helvetica Neue"/>
        </w:rPr>
      </w:pPr>
      <w:r w:rsidRPr="002C3FC8">
        <w:rPr>
          <w:rFonts w:ascii="Helvetica Neue" w:hAnsi="Helvetica Neue"/>
          <w:sz w:val="22"/>
          <w:szCs w:val="22"/>
        </w:rPr>
        <w:t>Services to be provided</w:t>
      </w:r>
    </w:p>
    <w:p w14:paraId="55015564" w14:textId="77777777" w:rsidR="00B56A92" w:rsidRPr="002C3FC8" w:rsidRDefault="00000000" w:rsidP="002C3FC8">
      <w:pPr>
        <w:pStyle w:val="ListParagraph"/>
        <w:numPr>
          <w:ilvl w:val="1"/>
          <w:numId w:val="2"/>
        </w:numPr>
        <w:spacing w:after="60"/>
        <w:jc w:val="both"/>
        <w:rPr>
          <w:rFonts w:ascii="Helvetica Neue" w:hAnsi="Helvetica Neue"/>
        </w:rPr>
      </w:pPr>
      <w:r w:rsidRPr="002C3FC8">
        <w:rPr>
          <w:rFonts w:ascii="Helvetica Neue" w:hAnsi="Helvetica Neue"/>
          <w:sz w:val="22"/>
          <w:szCs w:val="22"/>
        </w:rPr>
        <w:t>Conditions and deliverables (the “product” of the engagement)</w:t>
      </w:r>
    </w:p>
    <w:p w14:paraId="2F35C448" w14:textId="77777777" w:rsidR="00B56A92" w:rsidRPr="002C3FC8" w:rsidRDefault="00000000" w:rsidP="002C3FC8">
      <w:pPr>
        <w:pStyle w:val="ListParagraph"/>
        <w:numPr>
          <w:ilvl w:val="1"/>
          <w:numId w:val="2"/>
        </w:numPr>
        <w:spacing w:after="160"/>
        <w:jc w:val="both"/>
        <w:rPr>
          <w:rFonts w:ascii="Helvetica Neue" w:hAnsi="Helvetica Neue"/>
        </w:rPr>
      </w:pPr>
      <w:r w:rsidRPr="002C3FC8">
        <w:rPr>
          <w:rFonts w:ascii="Helvetica Neue" w:hAnsi="Helvetica Neue"/>
          <w:sz w:val="22"/>
          <w:szCs w:val="22"/>
        </w:rPr>
        <w:t>Disclaimers and other standard terms</w:t>
      </w:r>
    </w:p>
    <w:p w14:paraId="3CB7C7A9"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Every engagement closes with a check-in — “Are you happy with everything we’ve done today? We’re here to do more for you” — which doubles as the natural opening for referrals and repeat work</w:t>
      </w:r>
    </w:p>
    <w:p w14:paraId="71737F80"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b/>
          <w:bCs/>
          <w:sz w:val="22"/>
          <w:szCs w:val="22"/>
        </w:rPr>
        <w:t>The business will only ever offer a service that proactively and genuinely benefits the client — never a service sold for its own sake</w:t>
      </w:r>
    </w:p>
    <w:p w14:paraId="76EF3AEC" w14:textId="77777777" w:rsidR="00B56A92" w:rsidRPr="002C3FC8" w:rsidRDefault="00000000" w:rsidP="002C3FC8">
      <w:pPr>
        <w:pStyle w:val="Heading1"/>
        <w:pBdr>
          <w:bottom w:val="single" w:sz="6" w:space="4" w:color="2E5C8A"/>
        </w:pBdr>
        <w:spacing w:before="360" w:after="160"/>
        <w:jc w:val="both"/>
        <w:rPr>
          <w:rFonts w:ascii="Helvetica Neue" w:hAnsi="Helvetica Neue"/>
        </w:rPr>
      </w:pPr>
      <w:r w:rsidRPr="002C3FC8">
        <w:rPr>
          <w:rFonts w:ascii="Helvetica Neue" w:hAnsi="Helvetica Neue"/>
          <w:b/>
          <w:bCs/>
          <w:color w:val="2E5C8A"/>
          <w:sz w:val="30"/>
          <w:szCs w:val="30"/>
        </w:rPr>
        <w:t>8. Building Credibility</w:t>
      </w:r>
    </w:p>
    <w:p w14:paraId="52B45F74"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Early-stage credibility will be built through direct testimonials from former colleagues and school leaders who have first-hand experience of the work, to be formalised as written quotes or short case studies:</w:t>
      </w:r>
    </w:p>
    <w:p w14:paraId="6CBEB862"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Rachael</w:t>
      </w:r>
    </w:p>
    <w:p w14:paraId="6BB4803C"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Anna</w:t>
      </w:r>
    </w:p>
    <w:p w14:paraId="06A86893"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Jacob</w:t>
      </w:r>
    </w:p>
    <w:p w14:paraId="05C07CBD"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Dee</w:t>
      </w:r>
    </w:p>
    <w:p w14:paraId="447E0E04"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Mel</w:t>
      </w:r>
    </w:p>
    <w:p w14:paraId="32EC8180"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Julie</w:t>
      </w:r>
    </w:p>
    <w:p w14:paraId="3630E15E" w14:textId="77777777" w:rsidR="00B56A92" w:rsidRDefault="00000000" w:rsidP="002C3FC8">
      <w:pPr>
        <w:spacing w:after="160" w:line="276" w:lineRule="auto"/>
        <w:jc w:val="both"/>
        <w:rPr>
          <w:rFonts w:ascii="Helvetica Neue" w:hAnsi="Helvetica Neue"/>
          <w:sz w:val="22"/>
          <w:szCs w:val="22"/>
        </w:rPr>
      </w:pPr>
      <w:r w:rsidRPr="002C3FC8">
        <w:rPr>
          <w:rFonts w:ascii="Helvetica Neue" w:hAnsi="Helvetica Neue"/>
          <w:sz w:val="22"/>
          <w:szCs w:val="22"/>
        </w:rPr>
        <w:t>These relationships also double as an early referral network, particularly while the business establishes its reputation beyond the schools already worked in.</w:t>
      </w:r>
    </w:p>
    <w:p w14:paraId="07C8FCA5" w14:textId="77777777" w:rsidR="002C3FC8" w:rsidRDefault="002C3FC8" w:rsidP="002C3FC8">
      <w:pPr>
        <w:spacing w:after="160" w:line="276" w:lineRule="auto"/>
        <w:jc w:val="both"/>
        <w:rPr>
          <w:rFonts w:ascii="Helvetica Neue" w:hAnsi="Helvetica Neue"/>
          <w:sz w:val="22"/>
          <w:szCs w:val="22"/>
        </w:rPr>
      </w:pPr>
    </w:p>
    <w:p w14:paraId="00FB082E" w14:textId="77777777" w:rsidR="002C3FC8" w:rsidRPr="002C3FC8" w:rsidRDefault="002C3FC8" w:rsidP="002C3FC8">
      <w:pPr>
        <w:spacing w:after="160" w:line="276" w:lineRule="auto"/>
        <w:jc w:val="both"/>
        <w:rPr>
          <w:rFonts w:ascii="Helvetica Neue" w:hAnsi="Helvetica Neue"/>
        </w:rPr>
      </w:pPr>
    </w:p>
    <w:p w14:paraId="0C42B323" w14:textId="77777777" w:rsidR="00B56A92" w:rsidRPr="002C3FC8" w:rsidRDefault="00000000" w:rsidP="002C3FC8">
      <w:pPr>
        <w:pStyle w:val="Heading1"/>
        <w:pBdr>
          <w:bottom w:val="single" w:sz="6" w:space="4" w:color="2E5C8A"/>
        </w:pBdr>
        <w:spacing w:before="360" w:after="160"/>
        <w:jc w:val="both"/>
        <w:rPr>
          <w:rFonts w:ascii="Helvetica Neue" w:hAnsi="Helvetica Neue"/>
        </w:rPr>
      </w:pPr>
      <w:r w:rsidRPr="002C3FC8">
        <w:rPr>
          <w:rFonts w:ascii="Helvetica Neue" w:hAnsi="Helvetica Neue"/>
          <w:b/>
          <w:bCs/>
          <w:color w:val="2E5C8A"/>
          <w:sz w:val="30"/>
          <w:szCs w:val="30"/>
        </w:rPr>
        <w:lastRenderedPageBreak/>
        <w:t>9. Measuring &amp; Demonstrating Impact</w:t>
      </w:r>
    </w:p>
    <w:p w14:paraId="75DEECF9"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Statistics are useful for framing the size of a problem, but should be used carefully — to mitigate the gap between data and reality, not to overstate it, and never to misdirect a school’s curriculum trajectory. Relevant data sources to draw on when scoping and reporting on engagements include: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5200"/>
      </w:tblGrid>
      <w:tr w:rsidR="00B56A92" w:rsidRPr="002C3FC8" w14:paraId="6C053060" w14:textId="77777777">
        <w:tblPrEx>
          <w:tblCellMar>
            <w:top w:w="0" w:type="dxa"/>
            <w:bottom w:w="0" w:type="dxa"/>
          </w:tblCellMar>
        </w:tblPrEx>
        <w:trPr>
          <w:tblHeader/>
        </w:trPr>
        <w:tc>
          <w:tcPr>
            <w:tcW w:w="5200" w:type="dxa"/>
            <w:shd w:val="clear" w:color="auto" w:fill="2E5C8A"/>
            <w:tcMar>
              <w:top w:w="100" w:type="dxa"/>
              <w:left w:w="120" w:type="dxa"/>
              <w:bottom w:w="100" w:type="dxa"/>
              <w:right w:w="120" w:type="dxa"/>
            </w:tcMar>
          </w:tcPr>
          <w:p w14:paraId="0436138F" w14:textId="77777777" w:rsidR="00B56A92" w:rsidRPr="002C3FC8" w:rsidRDefault="00000000" w:rsidP="002C3FC8">
            <w:pPr>
              <w:jc w:val="both"/>
              <w:rPr>
                <w:rFonts w:ascii="Helvetica Neue" w:hAnsi="Helvetica Neue"/>
              </w:rPr>
            </w:pPr>
            <w:r w:rsidRPr="002C3FC8">
              <w:rPr>
                <w:rFonts w:ascii="Helvetica Neue" w:hAnsi="Helvetica Neue"/>
                <w:b/>
                <w:bCs/>
                <w:color w:val="FFFFFF"/>
              </w:rPr>
              <w:t>Data Area</w:t>
            </w:r>
          </w:p>
        </w:tc>
        <w:tc>
          <w:tcPr>
            <w:tcW w:w="5200" w:type="dxa"/>
            <w:shd w:val="clear" w:color="auto" w:fill="2E5C8A"/>
            <w:tcMar>
              <w:top w:w="100" w:type="dxa"/>
              <w:left w:w="120" w:type="dxa"/>
              <w:bottom w:w="100" w:type="dxa"/>
              <w:right w:w="120" w:type="dxa"/>
            </w:tcMar>
          </w:tcPr>
          <w:p w14:paraId="2998F53F" w14:textId="77777777" w:rsidR="00B56A92" w:rsidRPr="002C3FC8" w:rsidRDefault="00000000" w:rsidP="002C3FC8">
            <w:pPr>
              <w:jc w:val="both"/>
              <w:rPr>
                <w:rFonts w:ascii="Helvetica Neue" w:hAnsi="Helvetica Neue"/>
              </w:rPr>
            </w:pPr>
            <w:r w:rsidRPr="002C3FC8">
              <w:rPr>
                <w:rFonts w:ascii="Helvetica Neue" w:hAnsi="Helvetica Neue"/>
                <w:b/>
                <w:bCs/>
                <w:color w:val="FFFFFF"/>
              </w:rPr>
              <w:t>What It Shows</w:t>
            </w:r>
          </w:p>
        </w:tc>
      </w:tr>
      <w:tr w:rsidR="00B56A92" w:rsidRPr="002C3FC8" w14:paraId="03F38C19" w14:textId="77777777">
        <w:tblPrEx>
          <w:tblCellMar>
            <w:top w:w="0" w:type="dxa"/>
            <w:bottom w:w="0" w:type="dxa"/>
          </w:tblCellMar>
        </w:tblPrEx>
        <w:tc>
          <w:tcPr>
            <w:tcW w:w="5200" w:type="dxa"/>
            <w:tcMar>
              <w:top w:w="100" w:type="dxa"/>
              <w:left w:w="120" w:type="dxa"/>
              <w:bottom w:w="100" w:type="dxa"/>
              <w:right w:w="120" w:type="dxa"/>
            </w:tcMar>
          </w:tcPr>
          <w:p w14:paraId="1E1DBF73" w14:textId="77777777" w:rsidR="00B56A92" w:rsidRPr="002C3FC8" w:rsidRDefault="00000000" w:rsidP="002C3FC8">
            <w:pPr>
              <w:jc w:val="both"/>
              <w:rPr>
                <w:rFonts w:ascii="Helvetica Neue" w:hAnsi="Helvetica Neue"/>
              </w:rPr>
            </w:pPr>
            <w:r w:rsidRPr="002C3FC8">
              <w:rPr>
                <w:rFonts w:ascii="Helvetica Neue" w:hAnsi="Helvetica Neue"/>
                <w:color w:val="000000"/>
              </w:rPr>
              <w:t>NAPLAN / ICT results</w:t>
            </w:r>
          </w:p>
        </w:tc>
        <w:tc>
          <w:tcPr>
            <w:tcW w:w="5200" w:type="dxa"/>
            <w:tcMar>
              <w:top w:w="100" w:type="dxa"/>
              <w:left w:w="120" w:type="dxa"/>
              <w:bottom w:w="100" w:type="dxa"/>
              <w:right w:w="120" w:type="dxa"/>
            </w:tcMar>
          </w:tcPr>
          <w:p w14:paraId="764659E5" w14:textId="77777777" w:rsidR="00B56A92" w:rsidRPr="002C3FC8" w:rsidRDefault="00000000" w:rsidP="002C3FC8">
            <w:pPr>
              <w:jc w:val="both"/>
              <w:rPr>
                <w:rFonts w:ascii="Helvetica Neue" w:hAnsi="Helvetica Neue"/>
              </w:rPr>
            </w:pPr>
            <w:r w:rsidRPr="002C3FC8">
              <w:rPr>
                <w:rFonts w:ascii="Helvetica Neue" w:hAnsi="Helvetica Neue"/>
                <w:color w:val="000000"/>
              </w:rPr>
              <w:t>Baseline literacy, numeracy and digital capability</w:t>
            </w:r>
          </w:p>
        </w:tc>
      </w:tr>
      <w:tr w:rsidR="00B56A92" w:rsidRPr="002C3FC8" w14:paraId="1F8B6C67" w14:textId="77777777">
        <w:tblPrEx>
          <w:tblCellMar>
            <w:top w:w="0" w:type="dxa"/>
            <w:bottom w:w="0" w:type="dxa"/>
          </w:tblCellMar>
        </w:tblPrEx>
        <w:tc>
          <w:tcPr>
            <w:tcW w:w="5200" w:type="dxa"/>
            <w:tcMar>
              <w:top w:w="100" w:type="dxa"/>
              <w:left w:w="120" w:type="dxa"/>
              <w:bottom w:w="100" w:type="dxa"/>
              <w:right w:w="120" w:type="dxa"/>
            </w:tcMar>
          </w:tcPr>
          <w:p w14:paraId="31524FC2" w14:textId="77777777" w:rsidR="00B56A92" w:rsidRPr="002C3FC8" w:rsidRDefault="00000000" w:rsidP="002C3FC8">
            <w:pPr>
              <w:jc w:val="both"/>
              <w:rPr>
                <w:rFonts w:ascii="Helvetica Neue" w:hAnsi="Helvetica Neue"/>
              </w:rPr>
            </w:pPr>
            <w:r w:rsidRPr="002C3FC8">
              <w:rPr>
                <w:rFonts w:ascii="Helvetica Neue" w:hAnsi="Helvetica Neue"/>
                <w:color w:val="000000"/>
              </w:rPr>
              <w:t>Curriculum &amp; subject group development</w:t>
            </w:r>
          </w:p>
        </w:tc>
        <w:tc>
          <w:tcPr>
            <w:tcW w:w="5200" w:type="dxa"/>
            <w:tcMar>
              <w:top w:w="100" w:type="dxa"/>
              <w:left w:w="120" w:type="dxa"/>
              <w:bottom w:w="100" w:type="dxa"/>
              <w:right w:w="120" w:type="dxa"/>
            </w:tcMar>
          </w:tcPr>
          <w:p w14:paraId="3DCA938D" w14:textId="77777777" w:rsidR="00B56A92" w:rsidRPr="002C3FC8" w:rsidRDefault="00000000" w:rsidP="002C3FC8">
            <w:pPr>
              <w:jc w:val="both"/>
              <w:rPr>
                <w:rFonts w:ascii="Helvetica Neue" w:hAnsi="Helvetica Neue"/>
              </w:rPr>
            </w:pPr>
            <w:r w:rsidRPr="002C3FC8">
              <w:rPr>
                <w:rFonts w:ascii="Helvetica Neue" w:hAnsi="Helvetica Neue"/>
                <w:color w:val="000000"/>
              </w:rPr>
              <w:t>Trends in subject-level design and delivery</w:t>
            </w:r>
          </w:p>
        </w:tc>
      </w:tr>
      <w:tr w:rsidR="00B56A92" w:rsidRPr="002C3FC8" w14:paraId="32D5E1E5" w14:textId="77777777">
        <w:tblPrEx>
          <w:tblCellMar>
            <w:top w:w="0" w:type="dxa"/>
            <w:bottom w:w="0" w:type="dxa"/>
          </w:tblCellMar>
        </w:tblPrEx>
        <w:tc>
          <w:tcPr>
            <w:tcW w:w="5200" w:type="dxa"/>
            <w:tcMar>
              <w:top w:w="100" w:type="dxa"/>
              <w:left w:w="120" w:type="dxa"/>
              <w:bottom w:w="100" w:type="dxa"/>
              <w:right w:w="120" w:type="dxa"/>
            </w:tcMar>
          </w:tcPr>
          <w:p w14:paraId="42CA7FA3" w14:textId="77777777" w:rsidR="00B56A92" w:rsidRPr="002C3FC8" w:rsidRDefault="00000000" w:rsidP="002C3FC8">
            <w:pPr>
              <w:jc w:val="both"/>
              <w:rPr>
                <w:rFonts w:ascii="Helvetica Neue" w:hAnsi="Helvetica Neue"/>
              </w:rPr>
            </w:pPr>
            <w:r w:rsidRPr="002C3FC8">
              <w:rPr>
                <w:rFonts w:ascii="Helvetica Neue" w:hAnsi="Helvetica Neue"/>
                <w:color w:val="000000"/>
              </w:rPr>
              <w:t>Teacher retention</w:t>
            </w:r>
          </w:p>
        </w:tc>
        <w:tc>
          <w:tcPr>
            <w:tcW w:w="5200" w:type="dxa"/>
            <w:tcMar>
              <w:top w:w="100" w:type="dxa"/>
              <w:left w:w="120" w:type="dxa"/>
              <w:bottom w:w="100" w:type="dxa"/>
              <w:right w:w="120" w:type="dxa"/>
            </w:tcMar>
          </w:tcPr>
          <w:p w14:paraId="6D8F7058" w14:textId="77777777" w:rsidR="00B56A92" w:rsidRPr="002C3FC8" w:rsidRDefault="00000000" w:rsidP="002C3FC8">
            <w:pPr>
              <w:jc w:val="both"/>
              <w:rPr>
                <w:rFonts w:ascii="Helvetica Neue" w:hAnsi="Helvetica Neue"/>
              </w:rPr>
            </w:pPr>
            <w:r w:rsidRPr="002C3FC8">
              <w:rPr>
                <w:rFonts w:ascii="Helvetica Neue" w:hAnsi="Helvetica Neue"/>
                <w:color w:val="000000"/>
              </w:rPr>
              <w:t>Staff turnover and succession risk</w:t>
            </w:r>
          </w:p>
        </w:tc>
      </w:tr>
      <w:tr w:rsidR="00B56A92" w:rsidRPr="002C3FC8" w14:paraId="0B9C3120" w14:textId="77777777">
        <w:tblPrEx>
          <w:tblCellMar>
            <w:top w:w="0" w:type="dxa"/>
            <w:bottom w:w="0" w:type="dxa"/>
          </w:tblCellMar>
        </w:tblPrEx>
        <w:tc>
          <w:tcPr>
            <w:tcW w:w="5200" w:type="dxa"/>
            <w:tcMar>
              <w:top w:w="100" w:type="dxa"/>
              <w:left w:w="120" w:type="dxa"/>
              <w:bottom w:w="100" w:type="dxa"/>
              <w:right w:w="120" w:type="dxa"/>
            </w:tcMar>
          </w:tcPr>
          <w:p w14:paraId="5247E6AE" w14:textId="77777777" w:rsidR="00B56A92" w:rsidRPr="002C3FC8" w:rsidRDefault="00000000" w:rsidP="002C3FC8">
            <w:pPr>
              <w:jc w:val="both"/>
              <w:rPr>
                <w:rFonts w:ascii="Helvetica Neue" w:hAnsi="Helvetica Neue"/>
              </w:rPr>
            </w:pPr>
            <w:r w:rsidRPr="002C3FC8">
              <w:rPr>
                <w:rFonts w:ascii="Helvetica Neue" w:hAnsi="Helvetica Neue"/>
                <w:color w:val="000000"/>
              </w:rPr>
              <w:t>School improvement measures</w:t>
            </w:r>
          </w:p>
        </w:tc>
        <w:tc>
          <w:tcPr>
            <w:tcW w:w="5200" w:type="dxa"/>
            <w:tcMar>
              <w:top w:w="100" w:type="dxa"/>
              <w:left w:w="120" w:type="dxa"/>
              <w:bottom w:w="100" w:type="dxa"/>
              <w:right w:w="120" w:type="dxa"/>
            </w:tcMar>
          </w:tcPr>
          <w:p w14:paraId="2B698EE8" w14:textId="77777777" w:rsidR="00B56A92" w:rsidRPr="002C3FC8" w:rsidRDefault="00000000" w:rsidP="002C3FC8">
            <w:pPr>
              <w:jc w:val="both"/>
              <w:rPr>
                <w:rFonts w:ascii="Helvetica Neue" w:hAnsi="Helvetica Neue"/>
              </w:rPr>
            </w:pPr>
            <w:r w:rsidRPr="002C3FC8">
              <w:rPr>
                <w:rFonts w:ascii="Helvetica Neue" w:hAnsi="Helvetica Neue"/>
                <w:color w:val="000000"/>
              </w:rPr>
              <w:t>Progress against school improvement plans</w:t>
            </w:r>
          </w:p>
        </w:tc>
      </w:tr>
      <w:tr w:rsidR="00B56A92" w:rsidRPr="002C3FC8" w14:paraId="7E92F018" w14:textId="77777777">
        <w:tblPrEx>
          <w:tblCellMar>
            <w:top w:w="0" w:type="dxa"/>
            <w:bottom w:w="0" w:type="dxa"/>
          </w:tblCellMar>
        </w:tblPrEx>
        <w:tc>
          <w:tcPr>
            <w:tcW w:w="5200" w:type="dxa"/>
            <w:tcMar>
              <w:top w:w="100" w:type="dxa"/>
              <w:left w:w="120" w:type="dxa"/>
              <w:bottom w:w="100" w:type="dxa"/>
              <w:right w:w="120" w:type="dxa"/>
            </w:tcMar>
          </w:tcPr>
          <w:p w14:paraId="0215601C" w14:textId="77777777" w:rsidR="00B56A92" w:rsidRPr="002C3FC8" w:rsidRDefault="00000000" w:rsidP="002C3FC8">
            <w:pPr>
              <w:jc w:val="both"/>
              <w:rPr>
                <w:rFonts w:ascii="Helvetica Neue" w:hAnsi="Helvetica Neue"/>
              </w:rPr>
            </w:pPr>
            <w:r w:rsidRPr="002C3FC8">
              <w:rPr>
                <w:rFonts w:ascii="Helvetica Neue" w:hAnsi="Helvetica Neue"/>
                <w:color w:val="000000"/>
              </w:rPr>
              <w:t>Staff wellbeing data</w:t>
            </w:r>
          </w:p>
        </w:tc>
        <w:tc>
          <w:tcPr>
            <w:tcW w:w="5200" w:type="dxa"/>
            <w:tcMar>
              <w:top w:w="100" w:type="dxa"/>
              <w:left w:w="120" w:type="dxa"/>
              <w:bottom w:w="100" w:type="dxa"/>
              <w:right w:w="120" w:type="dxa"/>
            </w:tcMar>
          </w:tcPr>
          <w:p w14:paraId="0914D097" w14:textId="77777777" w:rsidR="00B56A92" w:rsidRPr="002C3FC8" w:rsidRDefault="00000000" w:rsidP="002C3FC8">
            <w:pPr>
              <w:jc w:val="both"/>
              <w:rPr>
                <w:rFonts w:ascii="Helvetica Neue" w:hAnsi="Helvetica Neue"/>
              </w:rPr>
            </w:pPr>
            <w:r w:rsidRPr="002C3FC8">
              <w:rPr>
                <w:rFonts w:ascii="Helvetica Neue" w:hAnsi="Helvetica Neue"/>
                <w:color w:val="000000"/>
              </w:rPr>
              <w:t>Workload, morale and burnout risk</w:t>
            </w:r>
          </w:p>
        </w:tc>
      </w:tr>
      <w:tr w:rsidR="00B56A92" w:rsidRPr="002C3FC8" w14:paraId="75F16456" w14:textId="77777777">
        <w:tblPrEx>
          <w:tblCellMar>
            <w:top w:w="0" w:type="dxa"/>
            <w:bottom w:w="0" w:type="dxa"/>
          </w:tblCellMar>
        </w:tblPrEx>
        <w:tc>
          <w:tcPr>
            <w:tcW w:w="5200" w:type="dxa"/>
            <w:tcMar>
              <w:top w:w="100" w:type="dxa"/>
              <w:left w:w="120" w:type="dxa"/>
              <w:bottom w:w="100" w:type="dxa"/>
              <w:right w:w="120" w:type="dxa"/>
            </w:tcMar>
          </w:tcPr>
          <w:p w14:paraId="6611C53D" w14:textId="77777777" w:rsidR="00B56A92" w:rsidRPr="002C3FC8" w:rsidRDefault="00000000" w:rsidP="002C3FC8">
            <w:pPr>
              <w:jc w:val="both"/>
              <w:rPr>
                <w:rFonts w:ascii="Helvetica Neue" w:hAnsi="Helvetica Neue"/>
              </w:rPr>
            </w:pPr>
            <w:r w:rsidRPr="002C3FC8">
              <w:rPr>
                <w:rFonts w:ascii="Helvetica Neue" w:hAnsi="Helvetica Neue"/>
                <w:color w:val="000000"/>
              </w:rPr>
              <w:t>Student / school refusal rates</w:t>
            </w:r>
          </w:p>
        </w:tc>
        <w:tc>
          <w:tcPr>
            <w:tcW w:w="5200" w:type="dxa"/>
            <w:tcMar>
              <w:top w:w="100" w:type="dxa"/>
              <w:left w:w="120" w:type="dxa"/>
              <w:bottom w:w="100" w:type="dxa"/>
              <w:right w:w="120" w:type="dxa"/>
            </w:tcMar>
          </w:tcPr>
          <w:p w14:paraId="52C8A1BB" w14:textId="77777777" w:rsidR="00B56A92" w:rsidRPr="002C3FC8" w:rsidRDefault="00000000" w:rsidP="002C3FC8">
            <w:pPr>
              <w:jc w:val="both"/>
              <w:rPr>
                <w:rFonts w:ascii="Helvetica Neue" w:hAnsi="Helvetica Neue"/>
              </w:rPr>
            </w:pPr>
            <w:r w:rsidRPr="002C3FC8">
              <w:rPr>
                <w:rFonts w:ascii="Helvetica Neue" w:hAnsi="Helvetica Neue"/>
                <w:color w:val="000000"/>
              </w:rPr>
              <w:t>Engagement and belonging indicators</w:t>
            </w:r>
          </w:p>
        </w:tc>
      </w:tr>
    </w:tbl>
    <w:p w14:paraId="48A33C8A" w14:textId="77777777" w:rsidR="00B56A92" w:rsidRPr="002C3FC8" w:rsidRDefault="00B56A92" w:rsidP="002C3FC8">
      <w:pPr>
        <w:spacing w:before="200"/>
        <w:jc w:val="both"/>
        <w:rPr>
          <w:rFonts w:ascii="Helvetica Neue" w:hAnsi="Helvetica Neue"/>
        </w:rPr>
      </w:pPr>
    </w:p>
    <w:p w14:paraId="3956595E"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These feed a simple outcomes framework used to explain impact to a school’s leadership:</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7"/>
        <w:gridCol w:w="3467"/>
        <w:gridCol w:w="3466"/>
      </w:tblGrid>
      <w:tr w:rsidR="00B56A92" w:rsidRPr="002C3FC8" w14:paraId="5C749E8D" w14:textId="77777777">
        <w:tblPrEx>
          <w:tblCellMar>
            <w:top w:w="0" w:type="dxa"/>
            <w:bottom w:w="0" w:type="dxa"/>
          </w:tblCellMar>
        </w:tblPrEx>
        <w:trPr>
          <w:tblHeader/>
        </w:trPr>
        <w:tc>
          <w:tcPr>
            <w:tcW w:w="3467" w:type="dxa"/>
            <w:shd w:val="clear" w:color="auto" w:fill="2E5C8A"/>
            <w:tcMar>
              <w:top w:w="100" w:type="dxa"/>
              <w:left w:w="120" w:type="dxa"/>
              <w:bottom w:w="100" w:type="dxa"/>
              <w:right w:w="120" w:type="dxa"/>
            </w:tcMar>
          </w:tcPr>
          <w:p w14:paraId="40AF3FD1" w14:textId="77777777" w:rsidR="00B56A92" w:rsidRPr="002C3FC8" w:rsidRDefault="00000000" w:rsidP="002C3FC8">
            <w:pPr>
              <w:jc w:val="both"/>
              <w:rPr>
                <w:rFonts w:ascii="Helvetica Neue" w:hAnsi="Helvetica Neue"/>
              </w:rPr>
            </w:pPr>
            <w:r w:rsidRPr="002C3FC8">
              <w:rPr>
                <w:rFonts w:ascii="Helvetica Neue" w:hAnsi="Helvetica Neue"/>
                <w:b/>
                <w:bCs/>
                <w:color w:val="FFFFFF"/>
              </w:rPr>
              <w:t>Happy Students &amp; Parents</w:t>
            </w:r>
          </w:p>
        </w:tc>
        <w:tc>
          <w:tcPr>
            <w:tcW w:w="3467" w:type="dxa"/>
            <w:shd w:val="clear" w:color="auto" w:fill="2E5C8A"/>
            <w:tcMar>
              <w:top w:w="100" w:type="dxa"/>
              <w:left w:w="120" w:type="dxa"/>
              <w:bottom w:w="100" w:type="dxa"/>
              <w:right w:w="120" w:type="dxa"/>
            </w:tcMar>
          </w:tcPr>
          <w:p w14:paraId="1E301882" w14:textId="77777777" w:rsidR="00B56A92" w:rsidRPr="002C3FC8" w:rsidRDefault="00000000" w:rsidP="002C3FC8">
            <w:pPr>
              <w:jc w:val="both"/>
              <w:rPr>
                <w:rFonts w:ascii="Helvetica Neue" w:hAnsi="Helvetica Neue"/>
              </w:rPr>
            </w:pPr>
            <w:r w:rsidRPr="002C3FC8">
              <w:rPr>
                <w:rFonts w:ascii="Helvetica Neue" w:hAnsi="Helvetica Neue"/>
                <w:b/>
                <w:bCs/>
                <w:color w:val="FFFFFF"/>
              </w:rPr>
              <w:t>Happy Staff</w:t>
            </w:r>
          </w:p>
        </w:tc>
        <w:tc>
          <w:tcPr>
            <w:tcW w:w="3466" w:type="dxa"/>
            <w:shd w:val="clear" w:color="auto" w:fill="2E5C8A"/>
            <w:tcMar>
              <w:top w:w="100" w:type="dxa"/>
              <w:left w:w="120" w:type="dxa"/>
              <w:bottom w:w="100" w:type="dxa"/>
              <w:right w:w="120" w:type="dxa"/>
            </w:tcMar>
          </w:tcPr>
          <w:p w14:paraId="3628F610" w14:textId="77777777" w:rsidR="00B56A92" w:rsidRPr="002C3FC8" w:rsidRDefault="00000000" w:rsidP="002C3FC8">
            <w:pPr>
              <w:jc w:val="both"/>
              <w:rPr>
                <w:rFonts w:ascii="Helvetica Neue" w:hAnsi="Helvetica Neue"/>
              </w:rPr>
            </w:pPr>
            <w:r w:rsidRPr="002C3FC8">
              <w:rPr>
                <w:rFonts w:ascii="Helvetica Neue" w:hAnsi="Helvetica Neue"/>
                <w:b/>
                <w:bCs/>
                <w:color w:val="FFFFFF"/>
              </w:rPr>
              <w:t>Skills &amp; Outcomes</w:t>
            </w:r>
          </w:p>
        </w:tc>
      </w:tr>
      <w:tr w:rsidR="00B56A92" w:rsidRPr="002C3FC8" w14:paraId="06E158F9" w14:textId="77777777">
        <w:tblPrEx>
          <w:tblCellMar>
            <w:top w:w="0" w:type="dxa"/>
            <w:bottom w:w="0" w:type="dxa"/>
          </w:tblCellMar>
        </w:tblPrEx>
        <w:tc>
          <w:tcPr>
            <w:tcW w:w="3467" w:type="dxa"/>
            <w:tcMar>
              <w:top w:w="100" w:type="dxa"/>
              <w:left w:w="120" w:type="dxa"/>
              <w:bottom w:w="100" w:type="dxa"/>
              <w:right w:w="120" w:type="dxa"/>
            </w:tcMar>
          </w:tcPr>
          <w:p w14:paraId="00F35FCB" w14:textId="77777777" w:rsidR="00B56A92" w:rsidRPr="002C3FC8" w:rsidRDefault="00000000" w:rsidP="002C3FC8">
            <w:pPr>
              <w:jc w:val="both"/>
              <w:rPr>
                <w:rFonts w:ascii="Helvetica Neue" w:hAnsi="Helvetica Neue"/>
              </w:rPr>
            </w:pPr>
            <w:r w:rsidRPr="002C3FC8">
              <w:rPr>
                <w:rFonts w:ascii="Helvetica Neue" w:hAnsi="Helvetica Neue"/>
                <w:color w:val="000000"/>
              </w:rPr>
              <w:t>Public perception and community confidence</w:t>
            </w:r>
          </w:p>
        </w:tc>
        <w:tc>
          <w:tcPr>
            <w:tcW w:w="3467" w:type="dxa"/>
            <w:tcMar>
              <w:top w:w="100" w:type="dxa"/>
              <w:left w:w="120" w:type="dxa"/>
              <w:bottom w:w="100" w:type="dxa"/>
              <w:right w:w="120" w:type="dxa"/>
            </w:tcMar>
          </w:tcPr>
          <w:p w14:paraId="13AE96B0" w14:textId="77777777" w:rsidR="00B56A92" w:rsidRPr="002C3FC8" w:rsidRDefault="00000000" w:rsidP="002C3FC8">
            <w:pPr>
              <w:jc w:val="both"/>
              <w:rPr>
                <w:rFonts w:ascii="Helvetica Neue" w:hAnsi="Helvetica Neue"/>
              </w:rPr>
            </w:pPr>
            <w:r w:rsidRPr="002C3FC8">
              <w:rPr>
                <w:rFonts w:ascii="Helvetica Neue" w:hAnsi="Helvetica Neue"/>
                <w:color w:val="000000"/>
              </w:rPr>
              <w:t>Retention, prestige, and staff wellbeing</w:t>
            </w:r>
          </w:p>
        </w:tc>
        <w:tc>
          <w:tcPr>
            <w:tcW w:w="3466" w:type="dxa"/>
            <w:tcMar>
              <w:top w:w="100" w:type="dxa"/>
              <w:left w:w="120" w:type="dxa"/>
              <w:bottom w:w="100" w:type="dxa"/>
              <w:right w:w="120" w:type="dxa"/>
            </w:tcMar>
          </w:tcPr>
          <w:p w14:paraId="2BD78A4C" w14:textId="77777777" w:rsidR="00B56A92" w:rsidRPr="002C3FC8" w:rsidRDefault="00000000" w:rsidP="002C3FC8">
            <w:pPr>
              <w:jc w:val="both"/>
              <w:rPr>
                <w:rFonts w:ascii="Helvetica Neue" w:hAnsi="Helvetica Neue"/>
              </w:rPr>
            </w:pPr>
            <w:r w:rsidRPr="002C3FC8">
              <w:rPr>
                <w:rFonts w:ascii="Helvetica Neue" w:hAnsi="Helvetica Neue"/>
                <w:color w:val="000000"/>
              </w:rPr>
              <w:t>Outcomes scaling, academic results, and overall school improvement</w:t>
            </w:r>
          </w:p>
        </w:tc>
      </w:tr>
    </w:tbl>
    <w:p w14:paraId="0E1EEBA4" w14:textId="77777777" w:rsidR="00B56A92" w:rsidRPr="002C3FC8" w:rsidRDefault="00B56A92" w:rsidP="002C3FC8">
      <w:pPr>
        <w:spacing w:before="200"/>
        <w:jc w:val="both"/>
        <w:rPr>
          <w:rFonts w:ascii="Helvetica Neue" w:hAnsi="Helvetica Neue"/>
        </w:rPr>
      </w:pPr>
    </w:p>
    <w:p w14:paraId="53429DA0" w14:textId="77777777" w:rsidR="00B56A92" w:rsidRPr="002C3FC8" w:rsidRDefault="00000000" w:rsidP="002C3FC8">
      <w:pPr>
        <w:spacing w:after="160" w:line="276" w:lineRule="auto"/>
        <w:jc w:val="both"/>
        <w:rPr>
          <w:rFonts w:ascii="Helvetica Neue" w:hAnsi="Helvetica Neue"/>
        </w:rPr>
      </w:pPr>
      <w:r w:rsidRPr="002C3FC8">
        <w:rPr>
          <w:rFonts w:ascii="Helvetica Neue" w:hAnsi="Helvetica Neue"/>
          <w:sz w:val="22"/>
          <w:szCs w:val="22"/>
        </w:rPr>
        <w:t xml:space="preserve">The through-line: staff who feel valued and have capacity and wellbeing supported drive both public perception and stronger, </w:t>
      </w:r>
      <w:proofErr w:type="spellStart"/>
      <w:r w:rsidRPr="002C3FC8">
        <w:rPr>
          <w:rFonts w:ascii="Helvetica Neue" w:hAnsi="Helvetica Neue"/>
          <w:sz w:val="22"/>
          <w:szCs w:val="22"/>
        </w:rPr>
        <w:t>gradeable</w:t>
      </w:r>
      <w:proofErr w:type="spellEnd"/>
      <w:r w:rsidRPr="002C3FC8">
        <w:rPr>
          <w:rFonts w:ascii="Helvetica Neue" w:hAnsi="Helvetica Neue"/>
          <w:sz w:val="22"/>
          <w:szCs w:val="22"/>
        </w:rPr>
        <w:t xml:space="preserve"> student outcomes — the flywheel the business is designed to turn.</w:t>
      </w:r>
    </w:p>
    <w:p w14:paraId="3DA5D74F" w14:textId="77777777" w:rsidR="00B56A92" w:rsidRPr="002C3FC8" w:rsidRDefault="00000000" w:rsidP="002C3FC8">
      <w:pPr>
        <w:pStyle w:val="Heading1"/>
        <w:pBdr>
          <w:bottom w:val="single" w:sz="6" w:space="4" w:color="2E5C8A"/>
        </w:pBdr>
        <w:spacing w:before="360" w:after="160"/>
        <w:jc w:val="both"/>
        <w:rPr>
          <w:rFonts w:ascii="Helvetica Neue" w:hAnsi="Helvetica Neue"/>
        </w:rPr>
      </w:pPr>
      <w:r w:rsidRPr="002C3FC8">
        <w:rPr>
          <w:rFonts w:ascii="Helvetica Neue" w:hAnsi="Helvetica Neue"/>
          <w:b/>
          <w:bCs/>
          <w:color w:val="2E5C8A"/>
          <w:sz w:val="30"/>
          <w:szCs w:val="30"/>
        </w:rPr>
        <w:t>10. Next Steps</w:t>
      </w:r>
    </w:p>
    <w:p w14:paraId="1E41BB35"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Finalise business name, branding and a simple website / one-page overview</w:t>
      </w:r>
    </w:p>
    <w:p w14:paraId="5AB79AFF"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Draft the standard Engagement Letter template (services, conditions, deliverables, disclaimers)</w:t>
      </w:r>
    </w:p>
    <w:p w14:paraId="50C2120F"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Build the initial template library: unit/assessment planning templates, task-specific rubric builder, AI Assessment Scale and AI Judgement Tool, Digital Technologies policy template</w:t>
      </w:r>
    </w:p>
    <w:p w14:paraId="403BB918"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Reach out to former colleagues for testimonials and warm introductions to their current schools</w:t>
      </w:r>
    </w:p>
    <w:p w14:paraId="4E3899EC"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Define pricing tiers (single project vs ongoing advisory retainer), using the cost-comparison framing in Section 3</w:t>
      </w:r>
    </w:p>
    <w:p w14:paraId="6C75C228" w14:textId="77777777" w:rsidR="00B56A92" w:rsidRPr="002C3FC8" w:rsidRDefault="00000000" w:rsidP="002C3FC8">
      <w:pPr>
        <w:pStyle w:val="ListParagraph"/>
        <w:numPr>
          <w:ilvl w:val="0"/>
          <w:numId w:val="2"/>
        </w:numPr>
        <w:spacing w:after="80" w:line="270" w:lineRule="auto"/>
        <w:jc w:val="both"/>
        <w:rPr>
          <w:rFonts w:ascii="Helvetica Neue" w:hAnsi="Helvetica Neue"/>
        </w:rPr>
      </w:pPr>
      <w:r w:rsidRPr="002C3FC8">
        <w:rPr>
          <w:rFonts w:ascii="Helvetica Neue" w:hAnsi="Helvetica Neue"/>
          <w:sz w:val="22"/>
          <w:szCs w:val="22"/>
        </w:rPr>
        <w:t>Offer free first-meeting consultations to a small initial cohort of schools to refine the offer before wider outreach</w:t>
      </w:r>
    </w:p>
    <w:sectPr w:rsidR="00B56A92" w:rsidRPr="002C3FC8">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661320"/>
    <w:multiLevelType w:val="hybridMultilevel"/>
    <w:tmpl w:val="952E9360"/>
    <w:lvl w:ilvl="0" w:tplc="73B6940E">
      <w:start w:val="1"/>
      <w:numFmt w:val="bullet"/>
      <w:lvlText w:val="●"/>
      <w:lvlJc w:val="left"/>
      <w:pPr>
        <w:ind w:left="720" w:hanging="360"/>
      </w:pPr>
    </w:lvl>
    <w:lvl w:ilvl="1" w:tplc="8828DE74">
      <w:start w:val="1"/>
      <w:numFmt w:val="bullet"/>
      <w:lvlText w:val="○"/>
      <w:lvlJc w:val="left"/>
      <w:pPr>
        <w:ind w:left="1440" w:hanging="360"/>
      </w:pPr>
    </w:lvl>
    <w:lvl w:ilvl="2" w:tplc="83B07CD4">
      <w:start w:val="1"/>
      <w:numFmt w:val="bullet"/>
      <w:lvlText w:val="■"/>
      <w:lvlJc w:val="left"/>
      <w:pPr>
        <w:ind w:left="2160" w:hanging="360"/>
      </w:pPr>
    </w:lvl>
    <w:lvl w:ilvl="3" w:tplc="32E4A104">
      <w:start w:val="1"/>
      <w:numFmt w:val="bullet"/>
      <w:lvlText w:val="●"/>
      <w:lvlJc w:val="left"/>
      <w:pPr>
        <w:ind w:left="2880" w:hanging="360"/>
      </w:pPr>
    </w:lvl>
    <w:lvl w:ilvl="4" w:tplc="AB9E55C8">
      <w:start w:val="1"/>
      <w:numFmt w:val="bullet"/>
      <w:lvlText w:val="○"/>
      <w:lvlJc w:val="left"/>
      <w:pPr>
        <w:ind w:left="3600" w:hanging="360"/>
      </w:pPr>
    </w:lvl>
    <w:lvl w:ilvl="5" w:tplc="328A3250">
      <w:start w:val="1"/>
      <w:numFmt w:val="bullet"/>
      <w:lvlText w:val="■"/>
      <w:lvlJc w:val="left"/>
      <w:pPr>
        <w:ind w:left="4320" w:hanging="360"/>
      </w:pPr>
    </w:lvl>
    <w:lvl w:ilvl="6" w:tplc="AD542534">
      <w:start w:val="1"/>
      <w:numFmt w:val="bullet"/>
      <w:lvlText w:val="●"/>
      <w:lvlJc w:val="left"/>
      <w:pPr>
        <w:ind w:left="5040" w:hanging="360"/>
      </w:pPr>
    </w:lvl>
    <w:lvl w:ilvl="7" w:tplc="92F661DE">
      <w:start w:val="1"/>
      <w:numFmt w:val="bullet"/>
      <w:lvlText w:val="●"/>
      <w:lvlJc w:val="left"/>
      <w:pPr>
        <w:ind w:left="5760" w:hanging="360"/>
      </w:pPr>
    </w:lvl>
    <w:lvl w:ilvl="8" w:tplc="179041AE">
      <w:start w:val="1"/>
      <w:numFmt w:val="bullet"/>
      <w:lvlText w:val="●"/>
      <w:lvlJc w:val="left"/>
      <w:pPr>
        <w:ind w:left="6480" w:hanging="360"/>
      </w:pPr>
    </w:lvl>
  </w:abstractNum>
  <w:abstractNum w:abstractNumId="1" w15:restartNumberingAfterBreak="0">
    <w:nsid w:val="0E674688"/>
    <w:multiLevelType w:val="hybridMultilevel"/>
    <w:tmpl w:val="421EC69E"/>
    <w:lvl w:ilvl="0" w:tplc="1DC2E1F4">
      <w:start w:val="1"/>
      <w:numFmt w:val="bullet"/>
      <w:lvlText w:val="•"/>
      <w:lvlJc w:val="left"/>
      <w:pPr>
        <w:ind w:left="450" w:hanging="260"/>
      </w:pPr>
    </w:lvl>
    <w:lvl w:ilvl="1" w:tplc="F16082D4">
      <w:numFmt w:val="decimal"/>
      <w:lvlText w:val=""/>
      <w:lvlJc w:val="left"/>
    </w:lvl>
    <w:lvl w:ilvl="2" w:tplc="825A337A">
      <w:numFmt w:val="decimal"/>
      <w:lvlText w:val=""/>
      <w:lvlJc w:val="left"/>
    </w:lvl>
    <w:lvl w:ilvl="3" w:tplc="4556619C">
      <w:numFmt w:val="decimal"/>
      <w:lvlText w:val=""/>
      <w:lvlJc w:val="left"/>
    </w:lvl>
    <w:lvl w:ilvl="4" w:tplc="0D749DE8">
      <w:numFmt w:val="decimal"/>
      <w:lvlText w:val=""/>
      <w:lvlJc w:val="left"/>
    </w:lvl>
    <w:lvl w:ilvl="5" w:tplc="6C14CCB2">
      <w:numFmt w:val="decimal"/>
      <w:lvlText w:val=""/>
      <w:lvlJc w:val="left"/>
    </w:lvl>
    <w:lvl w:ilvl="6" w:tplc="84A4EB04">
      <w:numFmt w:val="decimal"/>
      <w:lvlText w:val=""/>
      <w:lvlJc w:val="left"/>
    </w:lvl>
    <w:lvl w:ilvl="7" w:tplc="7674A99C">
      <w:numFmt w:val="decimal"/>
      <w:lvlText w:val=""/>
      <w:lvlJc w:val="left"/>
    </w:lvl>
    <w:lvl w:ilvl="8" w:tplc="3EB896E0">
      <w:numFmt w:val="decimal"/>
      <w:lvlText w:val=""/>
      <w:lvlJc w:val="left"/>
    </w:lvl>
  </w:abstractNum>
  <w:num w:numId="1" w16cid:durableId="1057119707">
    <w:abstractNumId w:val="0"/>
    <w:lvlOverride w:ilvl="0">
      <w:startOverride w:val="1"/>
    </w:lvlOverride>
  </w:num>
  <w:num w:numId="2" w16cid:durableId="97800201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A92"/>
    <w:rsid w:val="002C3FC8"/>
    <w:rsid w:val="007F0318"/>
    <w:rsid w:val="00AB5112"/>
    <w:rsid w:val="00B56A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AA3D12F"/>
  <w15:docId w15:val="{40F36F09-241E-A546-91C0-3BFB959D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1518</Words>
  <Characters>8653</Characters>
  <Application>Microsoft Office Word</Application>
  <DocSecurity>0</DocSecurity>
  <Lines>72</Lines>
  <Paragraphs>20</Paragraphs>
  <ScaleCrop>false</ScaleCrop>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2026-07-26T20:08:00Z</dcterms:created>
  <dcterms:modified xsi:type="dcterms:W3CDTF">2026-07-26T20:09:00Z</dcterms:modified>
</cp:coreProperties>
</file>