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576E3" w14:textId="22F8B1D4" w:rsidR="004449C1" w:rsidRPr="00C36126" w:rsidRDefault="00D60921">
      <w:pPr>
        <w:rPr>
          <w:rFonts w:ascii="Algerian" w:hAnsi="Algerian"/>
          <w:sz w:val="48"/>
          <w:szCs w:val="48"/>
          <w:u w:val="single"/>
        </w:rPr>
      </w:pPr>
      <w:r w:rsidRPr="00C36126">
        <w:rPr>
          <w:rFonts w:ascii="Algerian" w:hAnsi="Algerian"/>
          <w:sz w:val="48"/>
          <w:szCs w:val="48"/>
          <w:u w:val="single"/>
        </w:rPr>
        <w:t>Hospital Performance Dashb</w:t>
      </w:r>
      <w:r w:rsidR="00246209" w:rsidRPr="00C36126">
        <w:rPr>
          <w:rFonts w:ascii="Algerian" w:hAnsi="Algerian"/>
          <w:sz w:val="48"/>
          <w:szCs w:val="48"/>
          <w:u w:val="single"/>
        </w:rPr>
        <w:t>oard</w:t>
      </w:r>
    </w:p>
    <w:p w14:paraId="288E61D7" w14:textId="77777777" w:rsidR="00CF6751" w:rsidRDefault="00CF6751" w:rsidP="00CF6751">
      <w:pPr>
        <w:pStyle w:val="Heading3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340C1DC" w14:textId="3945099B" w:rsidR="00CF6751" w:rsidRPr="00C36126" w:rsidRDefault="00CF6751" w:rsidP="00CF6751">
      <w:pPr>
        <w:pStyle w:val="Heading3"/>
        <w:rPr>
          <w:rFonts w:ascii="Times New Roman" w:hAnsi="Times New Roman" w:cs="Times New Roman"/>
          <w:color w:val="1F3864" w:themeColor="accent1" w:themeShade="80"/>
          <w:sz w:val="36"/>
          <w:szCs w:val="36"/>
          <w:u w:val="single"/>
        </w:rPr>
      </w:pPr>
      <w:r w:rsidRPr="00C36126">
        <w:rPr>
          <w:rStyle w:val="Strong"/>
          <w:rFonts w:ascii="Times New Roman" w:hAnsi="Times New Roman" w:cs="Times New Roman"/>
          <w:bCs w:val="0"/>
          <w:color w:val="1F3864" w:themeColor="accent1" w:themeShade="80"/>
          <w:sz w:val="36"/>
          <w:szCs w:val="36"/>
          <w:u w:val="single"/>
        </w:rPr>
        <w:t xml:space="preserve">KPI Cards </w:t>
      </w:r>
    </w:p>
    <w:p w14:paraId="7D843276" w14:textId="37EAE388" w:rsidR="004449C1" w:rsidRDefault="004449C1">
      <w:r w:rsidRPr="004449C1">
        <w:rPr>
          <w:noProof/>
        </w:rPr>
        <w:drawing>
          <wp:inline distT="0" distB="0" distL="0" distR="0" wp14:anchorId="3EB3B1BC" wp14:editId="676C1191">
            <wp:extent cx="5731510" cy="627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C549" w14:textId="4966A7F6" w:rsidR="00BC6730" w:rsidRPr="00CF6751" w:rsidRDefault="00BC6730" w:rsidP="00756F4A">
      <w:pPr>
        <w:pStyle w:val="NormalWeb"/>
        <w:numPr>
          <w:ilvl w:val="0"/>
          <w:numId w:val="30"/>
        </w:numPr>
        <w:rPr>
          <w:sz w:val="28"/>
          <w:szCs w:val="28"/>
        </w:rPr>
      </w:pPr>
      <w:r w:rsidRPr="00CF6751">
        <w:rPr>
          <w:rStyle w:val="Strong"/>
          <w:sz w:val="28"/>
          <w:szCs w:val="28"/>
        </w:rPr>
        <w:t>Key Findings</w:t>
      </w:r>
    </w:p>
    <w:p w14:paraId="29578312" w14:textId="77777777" w:rsidR="00BC6730" w:rsidRPr="00CF6751" w:rsidRDefault="00BC6730" w:rsidP="00756F4A">
      <w:pPr>
        <w:pStyle w:val="NormalWeb"/>
        <w:numPr>
          <w:ilvl w:val="1"/>
          <w:numId w:val="31"/>
        </w:numPr>
      </w:pPr>
      <w:r w:rsidRPr="00CF6751">
        <w:t xml:space="preserve">Total Patients (IDs): </w:t>
      </w:r>
      <w:r w:rsidRPr="00CF6751">
        <w:rPr>
          <w:rStyle w:val="Strong"/>
        </w:rPr>
        <w:t>1,751</w:t>
      </w:r>
    </w:p>
    <w:p w14:paraId="1D4C25A1" w14:textId="77777777" w:rsidR="00BC6730" w:rsidRPr="00CF6751" w:rsidRDefault="00BC6730" w:rsidP="00756F4A">
      <w:pPr>
        <w:pStyle w:val="NormalWeb"/>
        <w:numPr>
          <w:ilvl w:val="1"/>
          <w:numId w:val="31"/>
        </w:numPr>
      </w:pPr>
      <w:r w:rsidRPr="00CF6751">
        <w:t xml:space="preserve">Total Inpatients: </w:t>
      </w:r>
      <w:r w:rsidRPr="00CF6751">
        <w:rPr>
          <w:rStyle w:val="Strong"/>
        </w:rPr>
        <w:t>1,679</w:t>
      </w:r>
    </w:p>
    <w:p w14:paraId="0D4C4E09" w14:textId="77777777" w:rsidR="00BC6730" w:rsidRPr="00CF6751" w:rsidRDefault="00BC6730" w:rsidP="00756F4A">
      <w:pPr>
        <w:pStyle w:val="NormalWeb"/>
        <w:numPr>
          <w:ilvl w:val="1"/>
          <w:numId w:val="31"/>
        </w:numPr>
      </w:pPr>
      <w:r w:rsidRPr="00CF6751">
        <w:t xml:space="preserve">Total Treatment Cost: </w:t>
      </w:r>
      <w:r w:rsidRPr="00CF6751">
        <w:rPr>
          <w:rStyle w:val="Strong"/>
        </w:rPr>
        <w:t>₹287.60K</w:t>
      </w:r>
    </w:p>
    <w:p w14:paraId="435A59C1" w14:textId="77777777" w:rsidR="00BC6730" w:rsidRPr="00CF6751" w:rsidRDefault="00BC6730" w:rsidP="00756F4A">
      <w:pPr>
        <w:pStyle w:val="NormalWeb"/>
        <w:numPr>
          <w:ilvl w:val="1"/>
          <w:numId w:val="31"/>
        </w:numPr>
      </w:pPr>
      <w:r w:rsidRPr="00CF6751">
        <w:t xml:space="preserve">Total Staff Involved: </w:t>
      </w:r>
      <w:r w:rsidRPr="00CF6751">
        <w:rPr>
          <w:rStyle w:val="Strong"/>
        </w:rPr>
        <w:t>262</w:t>
      </w:r>
    </w:p>
    <w:p w14:paraId="7C321A93" w14:textId="77777777" w:rsidR="00BC6730" w:rsidRDefault="00BC6730" w:rsidP="00756F4A">
      <w:pPr>
        <w:pStyle w:val="NormalWeb"/>
        <w:numPr>
          <w:ilvl w:val="1"/>
          <w:numId w:val="31"/>
        </w:numPr>
      </w:pPr>
      <w:r w:rsidRPr="00CF6751">
        <w:t xml:space="preserve">Total Deaths: </w:t>
      </w:r>
      <w:r w:rsidRPr="00CF6751">
        <w:rPr>
          <w:rStyle w:val="Strong"/>
        </w:rPr>
        <w:t>86</w:t>
      </w:r>
    </w:p>
    <w:p w14:paraId="293274F6" w14:textId="1625F64D" w:rsidR="00BC6730" w:rsidRDefault="00BC6730" w:rsidP="00756F4A">
      <w:pPr>
        <w:pStyle w:val="NormalWeb"/>
        <w:numPr>
          <w:ilvl w:val="0"/>
          <w:numId w:val="32"/>
        </w:numPr>
      </w:pPr>
      <w:r w:rsidRPr="00CF6751">
        <w:rPr>
          <w:rStyle w:val="Strong"/>
          <w:sz w:val="28"/>
          <w:szCs w:val="28"/>
        </w:rPr>
        <w:t>Insight</w:t>
      </w:r>
      <w:r>
        <w:br/>
      </w:r>
      <w:r w:rsidRPr="00CF6751">
        <w:t xml:space="preserve">Inpatients form the </w:t>
      </w:r>
      <w:r w:rsidRPr="00CF6751">
        <w:rPr>
          <w:rStyle w:val="Strong"/>
          <w:b w:val="0"/>
        </w:rPr>
        <w:t>majority of patient traffic</w:t>
      </w:r>
      <w:r w:rsidRPr="00CF6751">
        <w:t xml:space="preserve">, and the death rate </w:t>
      </w:r>
      <w:r w:rsidRPr="00CF6751">
        <w:rPr>
          <w:b/>
        </w:rPr>
        <w:t>(</w:t>
      </w:r>
      <w:r w:rsidRPr="00CF6751">
        <w:rPr>
          <w:rStyle w:val="Strong"/>
          <w:b w:val="0"/>
        </w:rPr>
        <w:t>~4.9%</w:t>
      </w:r>
      <w:r w:rsidRPr="00CF6751">
        <w:rPr>
          <w:b/>
        </w:rPr>
        <w:t>)</w:t>
      </w:r>
      <w:r w:rsidRPr="00CF6751">
        <w:t xml:space="preserve"> is moderate. Cost per patient is roughly ₹164</w:t>
      </w:r>
      <w:r>
        <w:t>.</w:t>
      </w:r>
    </w:p>
    <w:p w14:paraId="0FBDC914" w14:textId="57A5FE9F" w:rsidR="00BC6730" w:rsidRPr="00CF6751" w:rsidRDefault="00BC6730" w:rsidP="00756F4A">
      <w:pPr>
        <w:pStyle w:val="NormalWeb"/>
        <w:numPr>
          <w:ilvl w:val="0"/>
          <w:numId w:val="33"/>
        </w:numPr>
        <w:rPr>
          <w:sz w:val="28"/>
          <w:szCs w:val="28"/>
        </w:rPr>
      </w:pPr>
      <w:r w:rsidRPr="00CF6751">
        <w:rPr>
          <w:rStyle w:val="Strong"/>
          <w:sz w:val="28"/>
          <w:szCs w:val="28"/>
        </w:rPr>
        <w:t>Recommendation</w:t>
      </w:r>
    </w:p>
    <w:p w14:paraId="7ED7B138" w14:textId="77777777" w:rsidR="00BC6730" w:rsidRDefault="00BC6730" w:rsidP="00756F4A">
      <w:pPr>
        <w:pStyle w:val="NormalWeb"/>
        <w:numPr>
          <w:ilvl w:val="1"/>
          <w:numId w:val="34"/>
        </w:numPr>
      </w:pPr>
      <w:r>
        <w:t>Monitor death trends to improve critical care.</w:t>
      </w:r>
    </w:p>
    <w:p w14:paraId="7C6297A0" w14:textId="682822B7" w:rsidR="00FD3246" w:rsidRDefault="00BC6730" w:rsidP="00756F4A">
      <w:pPr>
        <w:pStyle w:val="NormalWeb"/>
        <w:numPr>
          <w:ilvl w:val="1"/>
          <w:numId w:val="34"/>
        </w:numPr>
      </w:pPr>
      <w:r>
        <w:t>Conduct regular performance reviews of inpatient services</w:t>
      </w:r>
    </w:p>
    <w:p w14:paraId="66C8BED0" w14:textId="4E09D8E9" w:rsidR="00FD3246" w:rsidRPr="00C36126" w:rsidRDefault="00FD3246" w:rsidP="00C36126">
      <w:pPr>
        <w:pStyle w:val="NormalWeb"/>
        <w:rPr>
          <w:b/>
          <w:sz w:val="28"/>
          <w:szCs w:val="28"/>
          <w:u w:val="single"/>
        </w:rPr>
      </w:pPr>
      <w:r w:rsidRPr="00C36126">
        <w:rPr>
          <w:b/>
          <w:sz w:val="28"/>
          <w:szCs w:val="28"/>
          <w:u w:val="single"/>
        </w:rPr>
        <w:t>Total Patient by Age</w:t>
      </w:r>
    </w:p>
    <w:p w14:paraId="239C4087" w14:textId="1DB1CD4E" w:rsidR="004449C1" w:rsidRDefault="00C36126" w:rsidP="00C36126">
      <w:r>
        <w:t xml:space="preserve">       </w:t>
      </w:r>
      <w:r w:rsidR="00452AEC" w:rsidRPr="00452AEC">
        <w:drawing>
          <wp:inline distT="0" distB="0" distL="0" distR="0" wp14:anchorId="7543A60D" wp14:editId="1EE4F0F0">
            <wp:extent cx="3123457" cy="23317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922" cy="23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1934" w14:textId="190A8100" w:rsidR="00BC6730" w:rsidRDefault="00BC6730" w:rsidP="00756F4A">
      <w:pPr>
        <w:pStyle w:val="NormalWeb"/>
        <w:numPr>
          <w:ilvl w:val="0"/>
          <w:numId w:val="28"/>
        </w:numPr>
      </w:pPr>
      <w:r w:rsidRPr="00CF6751">
        <w:rPr>
          <w:rStyle w:val="Strong"/>
          <w:sz w:val="28"/>
          <w:szCs w:val="28"/>
        </w:rPr>
        <w:t>Key Finding</w:t>
      </w:r>
      <w:r w:rsidR="00FD3246">
        <w:rPr>
          <w:rStyle w:val="Strong"/>
          <w:sz w:val="28"/>
          <w:szCs w:val="28"/>
        </w:rPr>
        <w:t>s</w:t>
      </w:r>
      <w:r w:rsidRPr="00CF6751">
        <w:rPr>
          <w:sz w:val="28"/>
          <w:szCs w:val="28"/>
        </w:rPr>
        <w:br/>
      </w:r>
      <w:r>
        <w:t xml:space="preserve">Patients aged </w:t>
      </w:r>
      <w:r>
        <w:rPr>
          <w:rStyle w:val="Strong"/>
        </w:rPr>
        <w:t>6–20 and 41–60</w:t>
      </w:r>
      <w:r>
        <w:t xml:space="preserve"> form the largest groups.</w:t>
      </w:r>
    </w:p>
    <w:p w14:paraId="6CFADFCA" w14:textId="2987627E" w:rsidR="00BC6730" w:rsidRDefault="00BC6730" w:rsidP="00756F4A">
      <w:pPr>
        <w:pStyle w:val="NormalWeb"/>
        <w:numPr>
          <w:ilvl w:val="0"/>
          <w:numId w:val="28"/>
        </w:numPr>
      </w:pPr>
      <w:r w:rsidRPr="00CF6751">
        <w:rPr>
          <w:rStyle w:val="Strong"/>
          <w:sz w:val="28"/>
          <w:szCs w:val="28"/>
        </w:rPr>
        <w:t>Insight</w:t>
      </w:r>
      <w:r w:rsidRPr="00CF6751">
        <w:rPr>
          <w:sz w:val="28"/>
          <w:szCs w:val="28"/>
        </w:rPr>
        <w:br/>
      </w:r>
      <w:r>
        <w:t>Youth and middle-aged adults are the most frequent visitors, possibly due to physical injuries and lifestyle-related health issues.</w:t>
      </w:r>
    </w:p>
    <w:p w14:paraId="6F684AFB" w14:textId="23A5C51B" w:rsidR="00BC6730" w:rsidRPr="00CF6751" w:rsidRDefault="00BC6730" w:rsidP="00756F4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CF6751">
        <w:rPr>
          <w:rStyle w:val="Strong"/>
          <w:sz w:val="28"/>
          <w:szCs w:val="28"/>
        </w:rPr>
        <w:lastRenderedPageBreak/>
        <w:t>Recommendation</w:t>
      </w:r>
    </w:p>
    <w:p w14:paraId="0F11701B" w14:textId="77777777" w:rsidR="00BC6730" w:rsidRDefault="00BC6730" w:rsidP="00756F4A">
      <w:pPr>
        <w:pStyle w:val="NormalWeb"/>
        <w:numPr>
          <w:ilvl w:val="1"/>
          <w:numId w:val="29"/>
        </w:numPr>
      </w:pPr>
      <w:r>
        <w:t xml:space="preserve">Focus on </w:t>
      </w:r>
      <w:r w:rsidRPr="00CF6751">
        <w:rPr>
          <w:rStyle w:val="Strong"/>
          <w:b w:val="0"/>
        </w:rPr>
        <w:t>adolescent health programs</w:t>
      </w:r>
      <w:r>
        <w:t xml:space="preserve"> and </w:t>
      </w:r>
      <w:r w:rsidRPr="00CF6751">
        <w:rPr>
          <w:rStyle w:val="Strong"/>
          <w:b w:val="0"/>
        </w:rPr>
        <w:t>middle-age wellness campaigns</w:t>
      </w:r>
      <w:r>
        <w:t>.</w:t>
      </w:r>
    </w:p>
    <w:p w14:paraId="2B066518" w14:textId="719D044C" w:rsidR="00BC6730" w:rsidRDefault="00BC6730" w:rsidP="00756F4A">
      <w:pPr>
        <w:pStyle w:val="NormalWeb"/>
        <w:numPr>
          <w:ilvl w:val="1"/>
          <w:numId w:val="29"/>
        </w:numPr>
      </w:pPr>
      <w:r>
        <w:t>Tailor preventive care services for these high-volume groups.</w:t>
      </w:r>
    </w:p>
    <w:p w14:paraId="2FBABF89" w14:textId="0F6C3DEE" w:rsidR="00FD3246" w:rsidRPr="00C36126" w:rsidRDefault="00FD3246" w:rsidP="00FD3246">
      <w:pPr>
        <w:pStyle w:val="NormalWeb"/>
        <w:rPr>
          <w:b/>
          <w:sz w:val="28"/>
          <w:szCs w:val="28"/>
          <w:u w:val="single"/>
        </w:rPr>
      </w:pPr>
      <w:r w:rsidRPr="00C36126">
        <w:rPr>
          <w:b/>
          <w:sz w:val="28"/>
          <w:szCs w:val="28"/>
          <w:u w:val="single"/>
        </w:rPr>
        <w:t>Inpatient and Outpatient by Weekday</w:t>
      </w:r>
      <w:r w:rsidR="00C36126" w:rsidRPr="00C36126">
        <w:rPr>
          <w:b/>
          <w:sz w:val="28"/>
          <w:szCs w:val="28"/>
          <w:u w:val="single"/>
        </w:rPr>
        <w:t xml:space="preserve"> Name</w:t>
      </w:r>
    </w:p>
    <w:p w14:paraId="45D65B68" w14:textId="674C9266" w:rsidR="00452AEC" w:rsidRDefault="00452AEC" w:rsidP="00452AEC">
      <w:pPr>
        <w:pStyle w:val="NormalWeb"/>
      </w:pPr>
      <w:r w:rsidRPr="00452AEC">
        <w:drawing>
          <wp:inline distT="0" distB="0" distL="0" distR="0" wp14:anchorId="6F97CE34" wp14:editId="66F37C44">
            <wp:extent cx="2955925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529" cy="190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162C" w14:textId="6955BB97" w:rsidR="00BC6730" w:rsidRDefault="00BC6730" w:rsidP="00756F4A">
      <w:pPr>
        <w:pStyle w:val="NormalWeb"/>
        <w:numPr>
          <w:ilvl w:val="0"/>
          <w:numId w:val="26"/>
        </w:numPr>
      </w:pPr>
      <w:r w:rsidRPr="00CF6751">
        <w:rPr>
          <w:rStyle w:val="Strong"/>
          <w:sz w:val="28"/>
          <w:szCs w:val="28"/>
        </w:rPr>
        <w:t>Key Finding</w:t>
      </w:r>
      <w:r w:rsidR="00FD3246">
        <w:rPr>
          <w:rStyle w:val="Strong"/>
          <w:sz w:val="28"/>
          <w:szCs w:val="28"/>
        </w:rPr>
        <w:t>s</w:t>
      </w:r>
      <w:r w:rsidRPr="00CF6751">
        <w:rPr>
          <w:sz w:val="28"/>
          <w:szCs w:val="28"/>
        </w:rPr>
        <w:br/>
      </w:r>
      <w:r>
        <w:t xml:space="preserve">Most visits occur on </w:t>
      </w:r>
      <w:r w:rsidRPr="00CF6751">
        <w:rPr>
          <w:rStyle w:val="Strong"/>
          <w:b w:val="0"/>
        </w:rPr>
        <w:t>Thursday and Friday</w:t>
      </w:r>
      <w:r>
        <w:t xml:space="preserve">, and </w:t>
      </w:r>
      <w:r w:rsidRPr="00CF6751">
        <w:rPr>
          <w:rStyle w:val="Strong"/>
          <w:b w:val="0"/>
        </w:rPr>
        <w:t>outpatients far exceed inpatients</w:t>
      </w:r>
      <w:r>
        <w:t xml:space="preserve"> on all days.</w:t>
      </w:r>
    </w:p>
    <w:p w14:paraId="213992D1" w14:textId="5E62F93B" w:rsidR="00BC6730" w:rsidRDefault="00BC6730" w:rsidP="00756F4A">
      <w:pPr>
        <w:pStyle w:val="NormalWeb"/>
        <w:numPr>
          <w:ilvl w:val="0"/>
          <w:numId w:val="26"/>
        </w:numPr>
      </w:pPr>
      <w:r w:rsidRPr="00CF6751">
        <w:rPr>
          <w:rStyle w:val="Strong"/>
          <w:sz w:val="28"/>
          <w:szCs w:val="28"/>
        </w:rPr>
        <w:t>Insight</w:t>
      </w:r>
      <w:r w:rsidRPr="00CF6751">
        <w:rPr>
          <w:sz w:val="28"/>
          <w:szCs w:val="28"/>
        </w:rPr>
        <w:br/>
      </w:r>
      <w:r>
        <w:t>Patients prefer end-of-week appointments, possibly due to work/school schedules.</w:t>
      </w:r>
    </w:p>
    <w:p w14:paraId="38C22714" w14:textId="403578AA" w:rsidR="00BC6730" w:rsidRPr="00CF6751" w:rsidRDefault="00BC6730" w:rsidP="00756F4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CF6751">
        <w:rPr>
          <w:rStyle w:val="Strong"/>
          <w:sz w:val="28"/>
          <w:szCs w:val="28"/>
        </w:rPr>
        <w:t>Recommendation</w:t>
      </w:r>
    </w:p>
    <w:p w14:paraId="0B620B3A" w14:textId="77777777" w:rsidR="00BC6730" w:rsidRPr="00CF6751" w:rsidRDefault="00BC6730" w:rsidP="00756F4A">
      <w:pPr>
        <w:pStyle w:val="NormalWeb"/>
        <w:numPr>
          <w:ilvl w:val="1"/>
          <w:numId w:val="27"/>
        </w:numPr>
        <w:rPr>
          <w:b/>
        </w:rPr>
      </w:pPr>
      <w:r>
        <w:t xml:space="preserve">Distribute appointments more evenly through </w:t>
      </w:r>
      <w:r w:rsidRPr="00CF6751">
        <w:rPr>
          <w:rStyle w:val="Strong"/>
          <w:b w:val="0"/>
        </w:rPr>
        <w:t>slot-based booking</w:t>
      </w:r>
      <w:r w:rsidRPr="00CF6751">
        <w:rPr>
          <w:b/>
        </w:rPr>
        <w:t>.</w:t>
      </w:r>
    </w:p>
    <w:p w14:paraId="4B556532" w14:textId="0AA26051" w:rsidR="00BC6730" w:rsidRPr="00C36126" w:rsidRDefault="00BC6730" w:rsidP="00756F4A">
      <w:pPr>
        <w:pStyle w:val="NormalWeb"/>
        <w:numPr>
          <w:ilvl w:val="1"/>
          <w:numId w:val="27"/>
        </w:numPr>
        <w:rPr>
          <w:rStyle w:val="Strong"/>
          <w:bCs w:val="0"/>
        </w:rPr>
      </w:pPr>
      <w:r>
        <w:t xml:space="preserve">Allocate </w:t>
      </w:r>
      <w:r w:rsidRPr="00CF6751">
        <w:rPr>
          <w:rStyle w:val="Strong"/>
          <w:b w:val="0"/>
        </w:rPr>
        <w:t>more staff/resources on Thursdays and Fridays</w:t>
      </w:r>
    </w:p>
    <w:p w14:paraId="767CD88B" w14:textId="77777777" w:rsidR="00C36126" w:rsidRPr="00C36126" w:rsidRDefault="00C36126" w:rsidP="00452AEC">
      <w:pPr>
        <w:pStyle w:val="NormalWeb"/>
        <w:rPr>
          <w:sz w:val="28"/>
          <w:szCs w:val="28"/>
          <w:u w:val="single"/>
        </w:rPr>
      </w:pPr>
      <w:r w:rsidRPr="00C36126">
        <w:rPr>
          <w:rStyle w:val="Strong"/>
          <w:sz w:val="28"/>
          <w:szCs w:val="28"/>
          <w:u w:val="single"/>
        </w:rPr>
        <w:t>Status Based on Patient</w:t>
      </w:r>
    </w:p>
    <w:p w14:paraId="7F994CE2" w14:textId="345F564A" w:rsidR="00452AEC" w:rsidRPr="00C36126" w:rsidRDefault="00452AEC" w:rsidP="00452AEC">
      <w:pPr>
        <w:pStyle w:val="NormalWeb"/>
        <w:rPr>
          <w:sz w:val="28"/>
          <w:szCs w:val="28"/>
        </w:rPr>
      </w:pPr>
      <w:r>
        <w:t>.</w:t>
      </w:r>
      <w:r w:rsidR="00C36126">
        <w:t xml:space="preserve">    </w:t>
      </w:r>
      <w:r w:rsidR="00756F4A" w:rsidRPr="00756F4A">
        <w:drawing>
          <wp:inline distT="0" distB="0" distL="0" distR="0" wp14:anchorId="487E1745" wp14:editId="7C60BB41">
            <wp:extent cx="2872740" cy="21107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90" cy="21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AEB21C" w14:textId="313214D3" w:rsidR="00BC6730" w:rsidRPr="00CF6751" w:rsidRDefault="00BC6730" w:rsidP="00756F4A">
      <w:pPr>
        <w:pStyle w:val="NormalWeb"/>
        <w:numPr>
          <w:ilvl w:val="0"/>
          <w:numId w:val="23"/>
        </w:numPr>
        <w:rPr>
          <w:b/>
        </w:rPr>
      </w:pPr>
      <w:r w:rsidRPr="00CF6751">
        <w:rPr>
          <w:rStyle w:val="Strong"/>
          <w:sz w:val="28"/>
          <w:szCs w:val="28"/>
        </w:rPr>
        <w:t>Key Finding</w:t>
      </w:r>
      <w:r w:rsidR="00FD3246">
        <w:rPr>
          <w:rStyle w:val="Strong"/>
          <w:sz w:val="28"/>
          <w:szCs w:val="28"/>
        </w:rPr>
        <w:t>s</w:t>
      </w:r>
      <w:r w:rsidRPr="00CF6751">
        <w:rPr>
          <w:sz w:val="28"/>
          <w:szCs w:val="28"/>
        </w:rPr>
        <w:br/>
      </w:r>
      <w:r>
        <w:t xml:space="preserve">Most patients are marked as </w:t>
      </w:r>
      <w:r w:rsidRPr="00CF6751">
        <w:rPr>
          <w:rStyle w:val="Strong"/>
          <w:b w:val="0"/>
        </w:rPr>
        <w:t>Normal (882)</w:t>
      </w:r>
      <w:r w:rsidRPr="00CF6751">
        <w:rPr>
          <w:b/>
        </w:rPr>
        <w:t>,</w:t>
      </w:r>
      <w:r>
        <w:t xml:space="preserve"> followed by </w:t>
      </w:r>
      <w:r w:rsidRPr="00CF6751">
        <w:rPr>
          <w:rStyle w:val="Strong"/>
          <w:b w:val="0"/>
        </w:rPr>
        <w:t>Readmit</w:t>
      </w:r>
      <w:r w:rsidRPr="00CF6751">
        <w:rPr>
          <w:b/>
        </w:rPr>
        <w:t xml:space="preserve">, </w:t>
      </w:r>
      <w:r w:rsidRPr="00CF6751">
        <w:rPr>
          <w:rStyle w:val="Strong"/>
          <w:b w:val="0"/>
        </w:rPr>
        <w:t>Discharge</w:t>
      </w:r>
      <w:r w:rsidRPr="00CF6751">
        <w:rPr>
          <w:b/>
        </w:rPr>
        <w:t xml:space="preserve">, </w:t>
      </w:r>
      <w:r w:rsidRPr="00CF6751">
        <w:rPr>
          <w:rStyle w:val="Strong"/>
          <w:b w:val="0"/>
        </w:rPr>
        <w:t>ICU</w:t>
      </w:r>
      <w:r w:rsidRPr="00CF6751">
        <w:rPr>
          <w:b/>
        </w:rPr>
        <w:t xml:space="preserve">, </w:t>
      </w:r>
      <w:r w:rsidRPr="00CF6751">
        <w:t>and</w:t>
      </w:r>
      <w:r w:rsidRPr="00CF6751">
        <w:rPr>
          <w:b/>
        </w:rPr>
        <w:t xml:space="preserve"> </w:t>
      </w:r>
      <w:r w:rsidRPr="00CF6751">
        <w:rPr>
          <w:rStyle w:val="Strong"/>
          <w:b w:val="0"/>
        </w:rPr>
        <w:t>Death</w:t>
      </w:r>
      <w:r w:rsidRPr="00CF6751">
        <w:rPr>
          <w:b/>
        </w:rPr>
        <w:t>.</w:t>
      </w:r>
    </w:p>
    <w:p w14:paraId="27F3D854" w14:textId="63CF942C" w:rsidR="00BC6730" w:rsidRPr="00FD3246" w:rsidRDefault="00BC6730" w:rsidP="00756F4A">
      <w:pPr>
        <w:pStyle w:val="NormalWeb"/>
        <w:numPr>
          <w:ilvl w:val="0"/>
          <w:numId w:val="23"/>
        </w:numPr>
        <w:rPr>
          <w:b/>
        </w:rPr>
      </w:pPr>
      <w:r w:rsidRPr="00CF6751">
        <w:rPr>
          <w:rStyle w:val="Strong"/>
          <w:sz w:val="28"/>
          <w:szCs w:val="28"/>
        </w:rPr>
        <w:t>Insight</w:t>
      </w:r>
      <w:r w:rsidRPr="00FD3246">
        <w:rPr>
          <w:sz w:val="28"/>
          <w:szCs w:val="28"/>
        </w:rPr>
        <w:br/>
      </w:r>
      <w:r>
        <w:t xml:space="preserve">High "Readmit" count suggests possible gaps in </w:t>
      </w:r>
      <w:r w:rsidRPr="00FD3246">
        <w:rPr>
          <w:rStyle w:val="Strong"/>
          <w:b w:val="0"/>
        </w:rPr>
        <w:t>follow-up care or discharge planning</w:t>
      </w:r>
      <w:r w:rsidRPr="00FD3246">
        <w:rPr>
          <w:b/>
        </w:rPr>
        <w:t>.</w:t>
      </w:r>
    </w:p>
    <w:p w14:paraId="50BEE79B" w14:textId="3F4D7905" w:rsidR="00BC6730" w:rsidRPr="00CF6751" w:rsidRDefault="00BC6730" w:rsidP="00756F4A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CF6751">
        <w:rPr>
          <w:rStyle w:val="Strong"/>
          <w:sz w:val="28"/>
          <w:szCs w:val="28"/>
        </w:rPr>
        <w:lastRenderedPageBreak/>
        <w:t>Recommendation</w:t>
      </w:r>
    </w:p>
    <w:p w14:paraId="46C7FE06" w14:textId="77777777" w:rsidR="00BC6730" w:rsidRDefault="00BC6730" w:rsidP="00756F4A">
      <w:pPr>
        <w:pStyle w:val="NormalWeb"/>
        <w:numPr>
          <w:ilvl w:val="1"/>
          <w:numId w:val="24"/>
        </w:numPr>
      </w:pPr>
      <w:r>
        <w:t xml:space="preserve">Enhance </w:t>
      </w:r>
      <w:r w:rsidRPr="00CF6751">
        <w:rPr>
          <w:rStyle w:val="Strong"/>
          <w:b w:val="0"/>
        </w:rPr>
        <w:t>post-treatment monitoring</w:t>
      </w:r>
      <w:r>
        <w:t xml:space="preserve"> and discharge protocols.</w:t>
      </w:r>
    </w:p>
    <w:p w14:paraId="0169086C" w14:textId="77777777" w:rsidR="00BC6730" w:rsidRDefault="00BC6730" w:rsidP="00756F4A">
      <w:pPr>
        <w:pStyle w:val="NormalWeb"/>
        <w:numPr>
          <w:ilvl w:val="1"/>
          <w:numId w:val="24"/>
        </w:numPr>
      </w:pPr>
      <w:r>
        <w:t>Investigate causes of readmission to reduce recurrence.</w:t>
      </w:r>
    </w:p>
    <w:p w14:paraId="01DF2B65" w14:textId="613AE0B2" w:rsidR="00BC6730" w:rsidRPr="00C36126" w:rsidRDefault="00CF6751" w:rsidP="00452AEC">
      <w:pPr>
        <w:pStyle w:val="NormalWeb"/>
        <w:rPr>
          <w:b/>
          <w:color w:val="1F3864" w:themeColor="accent1" w:themeShade="80"/>
          <w:sz w:val="36"/>
          <w:szCs w:val="36"/>
          <w:u w:val="single"/>
        </w:rPr>
      </w:pPr>
      <w:r w:rsidRPr="00C36126">
        <w:rPr>
          <w:b/>
          <w:color w:val="1F3864" w:themeColor="accent1" w:themeShade="80"/>
          <w:sz w:val="36"/>
          <w:szCs w:val="36"/>
          <w:u w:val="single"/>
        </w:rPr>
        <w:t xml:space="preserve">Department </w:t>
      </w:r>
      <w:r w:rsidR="00AA0A16" w:rsidRPr="00C36126">
        <w:rPr>
          <w:b/>
          <w:color w:val="1F3864" w:themeColor="accent1" w:themeShade="80"/>
          <w:sz w:val="36"/>
          <w:szCs w:val="36"/>
          <w:u w:val="single"/>
        </w:rPr>
        <w:t>Analysis</w:t>
      </w:r>
    </w:p>
    <w:p w14:paraId="785E8EE7" w14:textId="3574BB5A" w:rsidR="000D49CD" w:rsidRDefault="000D49CD" w:rsidP="00452AEC">
      <w:pPr>
        <w:pStyle w:val="NormalWeb"/>
      </w:pPr>
      <w:r w:rsidRPr="000D49CD">
        <w:drawing>
          <wp:inline distT="0" distB="0" distL="0" distR="0" wp14:anchorId="56FD3783" wp14:editId="4F3749C2">
            <wp:extent cx="3649980" cy="17373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0321" cy="17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69B" w14:textId="6D9967DA" w:rsidR="00BC6730" w:rsidRDefault="00BC6730" w:rsidP="00756F4A">
      <w:pPr>
        <w:pStyle w:val="NormalWeb"/>
        <w:numPr>
          <w:ilvl w:val="0"/>
          <w:numId w:val="21"/>
        </w:numPr>
        <w:spacing w:line="276" w:lineRule="auto"/>
      </w:pPr>
      <w:r w:rsidRPr="00AA0A16">
        <w:rPr>
          <w:rStyle w:val="Strong"/>
          <w:sz w:val="28"/>
          <w:szCs w:val="28"/>
        </w:rPr>
        <w:t>Key Finding</w:t>
      </w:r>
      <w:r w:rsidR="00FD3246">
        <w:rPr>
          <w:rStyle w:val="Strong"/>
          <w:sz w:val="28"/>
          <w:szCs w:val="28"/>
        </w:rPr>
        <w:t>s</w:t>
      </w:r>
      <w:r w:rsidRPr="00AA0A16">
        <w:rPr>
          <w:sz w:val="28"/>
          <w:szCs w:val="28"/>
        </w:rPr>
        <w:br/>
      </w:r>
      <w:r w:rsidRPr="00CF6751">
        <w:rPr>
          <w:rStyle w:val="Strong"/>
          <w:b w:val="0"/>
        </w:rPr>
        <w:t>Physical Medicine &amp; Rehabilitation</w:t>
      </w:r>
      <w:r>
        <w:t xml:space="preserve"> and </w:t>
      </w:r>
      <w:r w:rsidRPr="00CF6751">
        <w:rPr>
          <w:rStyle w:val="Strong"/>
          <w:b w:val="0"/>
        </w:rPr>
        <w:t>Surgery</w:t>
      </w:r>
      <w:r>
        <w:t xml:space="preserve"> have the highest patient volumes.</w:t>
      </w:r>
    </w:p>
    <w:p w14:paraId="631D237B" w14:textId="2D47CFDA" w:rsidR="007471DB" w:rsidRDefault="00BC6730" w:rsidP="00756F4A">
      <w:pPr>
        <w:pStyle w:val="NormalWeb"/>
        <w:numPr>
          <w:ilvl w:val="0"/>
          <w:numId w:val="20"/>
        </w:numPr>
        <w:spacing w:line="276" w:lineRule="auto"/>
      </w:pPr>
      <w:r w:rsidRPr="00AA0A16">
        <w:rPr>
          <w:rStyle w:val="Strong"/>
          <w:sz w:val="28"/>
          <w:szCs w:val="28"/>
        </w:rPr>
        <w:t>Insight</w:t>
      </w:r>
      <w:r w:rsidRPr="00AA0A16">
        <w:rPr>
          <w:sz w:val="28"/>
          <w:szCs w:val="28"/>
        </w:rPr>
        <w:br/>
      </w:r>
      <w:r>
        <w:t>These departments are crucial to hospital operations and likely handle both post-operative and chronic care patients.</w:t>
      </w:r>
    </w:p>
    <w:p w14:paraId="69D6482C" w14:textId="1B09B92C" w:rsidR="00BC6730" w:rsidRPr="00AA0A16" w:rsidRDefault="00BC6730" w:rsidP="00756F4A">
      <w:pPr>
        <w:pStyle w:val="NormalWeb"/>
        <w:numPr>
          <w:ilvl w:val="0"/>
          <w:numId w:val="20"/>
        </w:numPr>
        <w:spacing w:line="276" w:lineRule="auto"/>
        <w:rPr>
          <w:sz w:val="28"/>
          <w:szCs w:val="28"/>
        </w:rPr>
      </w:pPr>
      <w:r w:rsidRPr="00AA0A16">
        <w:rPr>
          <w:rStyle w:val="Strong"/>
          <w:sz w:val="28"/>
          <w:szCs w:val="28"/>
        </w:rPr>
        <w:t>Recommendation</w:t>
      </w:r>
    </w:p>
    <w:p w14:paraId="5C9BB03A" w14:textId="77777777" w:rsidR="00BC6730" w:rsidRDefault="00BC6730" w:rsidP="00756F4A">
      <w:pPr>
        <w:pStyle w:val="NormalWeb"/>
        <w:numPr>
          <w:ilvl w:val="1"/>
          <w:numId w:val="22"/>
        </w:numPr>
        <w:spacing w:line="276" w:lineRule="auto"/>
      </w:pPr>
      <w:r>
        <w:t xml:space="preserve">Allocate more </w:t>
      </w:r>
      <w:r w:rsidRPr="00CF6751">
        <w:rPr>
          <w:rStyle w:val="Strong"/>
          <w:b w:val="0"/>
        </w:rPr>
        <w:t>budget and staffing</w:t>
      </w:r>
      <w:r>
        <w:t xml:space="preserve"> to top-performing departments.</w:t>
      </w:r>
    </w:p>
    <w:p w14:paraId="5BC47EA8" w14:textId="77777777" w:rsidR="00BC6730" w:rsidRDefault="00BC6730" w:rsidP="00756F4A">
      <w:pPr>
        <w:pStyle w:val="NormalWeb"/>
        <w:numPr>
          <w:ilvl w:val="1"/>
          <w:numId w:val="22"/>
        </w:numPr>
        <w:spacing w:line="276" w:lineRule="auto"/>
      </w:pPr>
      <w:r w:rsidRPr="00CF6751">
        <w:rPr>
          <w:rStyle w:val="Strong"/>
          <w:b w:val="0"/>
        </w:rPr>
        <w:t>Investigate underutilized departments</w:t>
      </w:r>
      <w:r>
        <w:t xml:space="preserve"> for potential service gaps or awareness issues.</w:t>
      </w:r>
    </w:p>
    <w:p w14:paraId="7030BA42" w14:textId="77D32496" w:rsidR="000D49CD" w:rsidRDefault="000D49CD" w:rsidP="000D49CD">
      <w:pPr>
        <w:pStyle w:val="Heading3"/>
      </w:pPr>
      <w:r w:rsidRPr="000D49CD">
        <w:drawing>
          <wp:inline distT="0" distB="0" distL="0" distR="0" wp14:anchorId="0EF91FEB" wp14:editId="0A282699">
            <wp:extent cx="3718560" cy="205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0662" cy="20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579A" w14:textId="69AA2444" w:rsidR="00EA74F6" w:rsidRPr="00AA0A16" w:rsidRDefault="00EA74F6" w:rsidP="00756F4A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AA0A16">
        <w:rPr>
          <w:rStyle w:val="Strong"/>
          <w:b/>
          <w:bCs/>
          <w:sz w:val="28"/>
          <w:szCs w:val="28"/>
        </w:rPr>
        <w:t>Key Findings</w:t>
      </w:r>
    </w:p>
    <w:p w14:paraId="1A574F51" w14:textId="77777777" w:rsidR="00EA74F6" w:rsidRDefault="00EA74F6" w:rsidP="00756F4A">
      <w:pPr>
        <w:pStyle w:val="NormalWeb"/>
        <w:numPr>
          <w:ilvl w:val="1"/>
          <w:numId w:val="9"/>
        </w:numPr>
      </w:pPr>
      <w:r w:rsidRPr="00CF6751">
        <w:rPr>
          <w:rStyle w:val="Strong"/>
          <w:b w:val="0"/>
        </w:rPr>
        <w:t>Cardiology</w:t>
      </w:r>
      <w:r w:rsidRPr="00CF6751">
        <w:rPr>
          <w:b/>
        </w:rPr>
        <w:t xml:space="preserve"> </w:t>
      </w:r>
      <w:r>
        <w:t>leads with ₹79.48K (27.64%).</w:t>
      </w:r>
    </w:p>
    <w:p w14:paraId="271E31D7" w14:textId="77777777" w:rsidR="00AA0A16" w:rsidRDefault="00EA74F6" w:rsidP="00756F4A">
      <w:pPr>
        <w:pStyle w:val="NormalWeb"/>
        <w:numPr>
          <w:ilvl w:val="1"/>
          <w:numId w:val="9"/>
        </w:numPr>
      </w:pPr>
      <w:r w:rsidRPr="00CF6751">
        <w:rPr>
          <w:rStyle w:val="Strong"/>
          <w:b w:val="0"/>
        </w:rPr>
        <w:t>Dermatology</w:t>
      </w:r>
      <w:r>
        <w:t xml:space="preserve"> follows with ₹66.86K (23.25%).</w:t>
      </w:r>
    </w:p>
    <w:p w14:paraId="1AB59557" w14:textId="77777777" w:rsidR="00AA0A16" w:rsidRDefault="00EA74F6" w:rsidP="00756F4A">
      <w:pPr>
        <w:pStyle w:val="NormalWeb"/>
        <w:numPr>
          <w:ilvl w:val="1"/>
          <w:numId w:val="9"/>
        </w:numPr>
      </w:pPr>
      <w:r w:rsidRPr="00AA0A16">
        <w:rPr>
          <w:rStyle w:val="Strong"/>
          <w:b w:val="0"/>
        </w:rPr>
        <w:lastRenderedPageBreak/>
        <w:t>OT (Operation Theatre)</w:t>
      </w:r>
      <w:r>
        <w:t xml:space="preserve"> comes next with ₹38.14K (13.26%).</w:t>
      </w:r>
    </w:p>
    <w:p w14:paraId="296FC3C4" w14:textId="575CB5C1" w:rsidR="00CF6751" w:rsidRDefault="00EA74F6" w:rsidP="00756F4A">
      <w:pPr>
        <w:pStyle w:val="NormalWeb"/>
        <w:numPr>
          <w:ilvl w:val="1"/>
          <w:numId w:val="9"/>
        </w:numPr>
      </w:pPr>
      <w:r>
        <w:t xml:space="preserve">These three departments together contribute </w:t>
      </w:r>
      <w:r>
        <w:rPr>
          <w:rStyle w:val="Strong"/>
        </w:rPr>
        <w:t>~</w:t>
      </w:r>
      <w:r w:rsidRPr="00AA0A16">
        <w:rPr>
          <w:rStyle w:val="Strong"/>
          <w:b w:val="0"/>
        </w:rPr>
        <w:t>64% of the total treatment cost</w:t>
      </w:r>
      <w:r>
        <w:t>.</w:t>
      </w:r>
    </w:p>
    <w:p w14:paraId="2014BDD9" w14:textId="3D377519" w:rsidR="00EA74F6" w:rsidRPr="00AA0A16" w:rsidRDefault="00EA74F6" w:rsidP="00756F4A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AA0A16">
        <w:rPr>
          <w:rStyle w:val="Strong"/>
          <w:bCs w:val="0"/>
          <w:sz w:val="28"/>
          <w:szCs w:val="28"/>
        </w:rPr>
        <w:t>Insights</w:t>
      </w:r>
    </w:p>
    <w:p w14:paraId="56C3FD68" w14:textId="77777777" w:rsidR="00EA74F6" w:rsidRDefault="00EA74F6" w:rsidP="00756F4A">
      <w:pPr>
        <w:pStyle w:val="NormalWeb"/>
        <w:numPr>
          <w:ilvl w:val="1"/>
          <w:numId w:val="10"/>
        </w:numPr>
      </w:pPr>
      <w:r w:rsidRPr="00AA0A16">
        <w:rPr>
          <w:rStyle w:val="Strong"/>
          <w:b w:val="0"/>
        </w:rPr>
        <w:t>Cardiology</w:t>
      </w:r>
      <w:r>
        <w:t xml:space="preserve"> is typically cost-intensive due to diagnostics, interventions, and critical care.</w:t>
      </w:r>
    </w:p>
    <w:p w14:paraId="37DD54E0" w14:textId="77777777" w:rsidR="00EA74F6" w:rsidRDefault="00EA74F6" w:rsidP="00756F4A">
      <w:pPr>
        <w:pStyle w:val="NormalWeb"/>
        <w:numPr>
          <w:ilvl w:val="1"/>
          <w:numId w:val="10"/>
        </w:numPr>
      </w:pPr>
      <w:r w:rsidRPr="00AA0A16">
        <w:rPr>
          <w:rStyle w:val="Strong"/>
          <w:b w:val="0"/>
        </w:rPr>
        <w:t>Dermatology’s high cost</w:t>
      </w:r>
      <w:r>
        <w:t xml:space="preserve"> suggests either a </w:t>
      </w:r>
      <w:r w:rsidRPr="00AA0A16">
        <w:rPr>
          <w:rStyle w:val="Strong"/>
          <w:b w:val="0"/>
        </w:rPr>
        <w:t>large volume of patients</w:t>
      </w:r>
      <w:r>
        <w:t xml:space="preserve"> or the use of </w:t>
      </w:r>
      <w:r w:rsidRPr="00AA0A16">
        <w:rPr>
          <w:rStyle w:val="Strong"/>
          <w:b w:val="0"/>
        </w:rPr>
        <w:t>expensive treatments</w:t>
      </w:r>
      <w:r>
        <w:t xml:space="preserve"> like laser therapy or biologics.</w:t>
      </w:r>
    </w:p>
    <w:p w14:paraId="410DE3E6" w14:textId="77777777" w:rsidR="00EA74F6" w:rsidRDefault="00EA74F6" w:rsidP="00756F4A">
      <w:pPr>
        <w:pStyle w:val="NormalWeb"/>
        <w:numPr>
          <w:ilvl w:val="1"/>
          <w:numId w:val="11"/>
        </w:numPr>
      </w:pPr>
      <w:r w:rsidRPr="00AA0A16">
        <w:rPr>
          <w:rStyle w:val="Strong"/>
          <w:b w:val="0"/>
        </w:rPr>
        <w:t>OT expenses</w:t>
      </w:r>
      <w:r>
        <w:t xml:space="preserve"> reflect the high cost of surgeries, anesthesia, and sterile materials.</w:t>
      </w:r>
    </w:p>
    <w:p w14:paraId="4CECD62E" w14:textId="166CD976" w:rsidR="00EA74F6" w:rsidRDefault="00EA74F6" w:rsidP="007471DB">
      <w:pPr>
        <w:spacing w:line="240" w:lineRule="auto"/>
      </w:pPr>
    </w:p>
    <w:p w14:paraId="34E18491" w14:textId="4B9CA962" w:rsidR="00EA74F6" w:rsidRPr="00AA0A16" w:rsidRDefault="00EA74F6" w:rsidP="00756F4A">
      <w:pPr>
        <w:pStyle w:val="Heading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A0A16">
        <w:rPr>
          <w:rStyle w:val="Strong"/>
          <w:rFonts w:ascii="Times New Roman" w:hAnsi="Times New Roman" w:cs="Times New Roman"/>
          <w:bCs w:val="0"/>
          <w:color w:val="0D0D0D" w:themeColor="text1" w:themeTint="F2"/>
          <w:sz w:val="28"/>
          <w:szCs w:val="28"/>
        </w:rPr>
        <w:t>Recommendations</w:t>
      </w:r>
    </w:p>
    <w:p w14:paraId="4AA7910E" w14:textId="77777777" w:rsidR="00EA74F6" w:rsidRDefault="00EA74F6" w:rsidP="00756F4A">
      <w:pPr>
        <w:pStyle w:val="NormalWeb"/>
        <w:numPr>
          <w:ilvl w:val="1"/>
          <w:numId w:val="5"/>
        </w:numPr>
      </w:pPr>
      <w:r>
        <w:t xml:space="preserve">For </w:t>
      </w:r>
      <w:r w:rsidRPr="00AA0A16">
        <w:rPr>
          <w:rStyle w:val="Strong"/>
          <w:b w:val="0"/>
        </w:rPr>
        <w:t>Cardiology</w:t>
      </w:r>
      <w:r w:rsidRPr="00AA0A16">
        <w:rPr>
          <w:b/>
        </w:rPr>
        <w:t>:</w:t>
      </w:r>
      <w:r>
        <w:t xml:space="preserve"> Implement preventive programs (e.g., hypertension, cholesterol screening) to reduce the number of high-cost interventions.</w:t>
      </w:r>
    </w:p>
    <w:p w14:paraId="1974B2E2" w14:textId="77777777" w:rsidR="00EA74F6" w:rsidRDefault="00EA74F6" w:rsidP="00756F4A">
      <w:pPr>
        <w:pStyle w:val="NormalWeb"/>
        <w:numPr>
          <w:ilvl w:val="1"/>
          <w:numId w:val="5"/>
        </w:numPr>
      </w:pPr>
      <w:r w:rsidRPr="00AA0A16">
        <w:t>For</w:t>
      </w:r>
      <w:r w:rsidRPr="00AA0A16">
        <w:rPr>
          <w:b/>
        </w:rPr>
        <w:t xml:space="preserve"> </w:t>
      </w:r>
      <w:r w:rsidRPr="00AA0A16">
        <w:rPr>
          <w:rStyle w:val="Strong"/>
          <w:b w:val="0"/>
        </w:rPr>
        <w:t>Dermatology</w:t>
      </w:r>
      <w:r>
        <w:t>: Review commonly used treatments to ensure cost-effectiveness; consider offering cost-saving alternatives where possible.</w:t>
      </w:r>
    </w:p>
    <w:p w14:paraId="2CFF580D" w14:textId="77777777" w:rsidR="00EA74F6" w:rsidRDefault="00EA74F6" w:rsidP="00756F4A">
      <w:pPr>
        <w:pStyle w:val="NormalWeb"/>
        <w:numPr>
          <w:ilvl w:val="1"/>
          <w:numId w:val="5"/>
        </w:numPr>
      </w:pPr>
      <w:r>
        <w:t xml:space="preserve">For </w:t>
      </w:r>
      <w:r w:rsidRPr="00AA0A16">
        <w:rPr>
          <w:rStyle w:val="Strong"/>
          <w:b w:val="0"/>
        </w:rPr>
        <w:t>OT</w:t>
      </w:r>
      <w:r>
        <w:t>: Audit surgical inventory, optimize procedure scheduling, and adopt minimally invasive techniques to reduce resource consumption.</w:t>
      </w:r>
    </w:p>
    <w:p w14:paraId="7A2F84F3" w14:textId="1639C6BB" w:rsidR="00EA74F6" w:rsidRPr="00C36126" w:rsidRDefault="00AA0A16" w:rsidP="00EA74F6">
      <w:pPr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:u w:val="single"/>
        </w:rPr>
      </w:pPr>
      <w:r w:rsidRPr="00C36126"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:u w:val="single"/>
        </w:rPr>
        <w:t>Region Analysis</w:t>
      </w:r>
    </w:p>
    <w:p w14:paraId="34EEACA7" w14:textId="6D5F0570" w:rsidR="00BC6730" w:rsidRDefault="00BC6730" w:rsidP="00BC6730">
      <w:pPr>
        <w:pStyle w:val="Heading3"/>
      </w:pPr>
    </w:p>
    <w:p w14:paraId="358A558E" w14:textId="2127C688" w:rsidR="00452AEC" w:rsidRDefault="000D49CD">
      <w:r w:rsidRPr="000D49CD">
        <w:drawing>
          <wp:inline distT="0" distB="0" distL="0" distR="0" wp14:anchorId="4A764B46" wp14:editId="5484F086">
            <wp:extent cx="2948940" cy="19202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201" cy="19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DED0" w14:textId="7DD48E56" w:rsidR="00EA74F6" w:rsidRPr="00AA0A16" w:rsidRDefault="00EA74F6" w:rsidP="00756F4A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AA0A16">
        <w:rPr>
          <w:rStyle w:val="Strong"/>
          <w:b/>
          <w:bCs/>
          <w:sz w:val="28"/>
          <w:szCs w:val="28"/>
        </w:rPr>
        <w:t>Key Findings</w:t>
      </w:r>
    </w:p>
    <w:p w14:paraId="775BB8F6" w14:textId="77777777" w:rsidR="00EA74F6" w:rsidRDefault="00EA74F6" w:rsidP="00756F4A">
      <w:pPr>
        <w:pStyle w:val="NormalWeb"/>
        <w:numPr>
          <w:ilvl w:val="0"/>
          <w:numId w:val="2"/>
        </w:numPr>
      </w:pPr>
      <w:r w:rsidRPr="00AA0A16">
        <w:rPr>
          <w:rStyle w:val="Strong"/>
          <w:b w:val="0"/>
        </w:rPr>
        <w:t>British Columbia</w:t>
      </w:r>
      <w:r>
        <w:t xml:space="preserve"> has the </w:t>
      </w:r>
      <w:r w:rsidRPr="007471DB">
        <w:rPr>
          <w:rStyle w:val="Strong"/>
          <w:b w:val="0"/>
        </w:rPr>
        <w:t>highest cost</w:t>
      </w:r>
      <w:r>
        <w:t xml:space="preserve"> (₹137.56K, 54.26%), followed by </w:t>
      </w:r>
      <w:r w:rsidRPr="007471DB">
        <w:rPr>
          <w:rStyle w:val="Strong"/>
          <w:b w:val="0"/>
        </w:rPr>
        <w:t>California</w:t>
      </w:r>
      <w:r w:rsidRPr="007471DB">
        <w:rPr>
          <w:b/>
        </w:rPr>
        <w:t xml:space="preserve"> </w:t>
      </w:r>
      <w:r>
        <w:t xml:space="preserve">(15.33%) and </w:t>
      </w:r>
      <w:r w:rsidRPr="007471DB">
        <w:rPr>
          <w:rStyle w:val="Strong"/>
          <w:b w:val="0"/>
        </w:rPr>
        <w:t>Washington</w:t>
      </w:r>
      <w:r w:rsidRPr="007471DB">
        <w:rPr>
          <w:b/>
        </w:rPr>
        <w:t xml:space="preserve"> </w:t>
      </w:r>
      <w:r>
        <w:t>(7.24%).</w:t>
      </w:r>
    </w:p>
    <w:p w14:paraId="14D3A8AF" w14:textId="59B5C58D" w:rsidR="00EA74F6" w:rsidRPr="007471DB" w:rsidRDefault="00EA74F6" w:rsidP="00756F4A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7471DB">
        <w:rPr>
          <w:rStyle w:val="Strong"/>
          <w:b/>
          <w:bCs/>
          <w:sz w:val="28"/>
          <w:szCs w:val="28"/>
        </w:rPr>
        <w:t>Insights</w:t>
      </w:r>
    </w:p>
    <w:p w14:paraId="16FB0A08" w14:textId="77777777" w:rsidR="00EA74F6" w:rsidRPr="007471DB" w:rsidRDefault="00EA74F6" w:rsidP="00756F4A">
      <w:pPr>
        <w:pStyle w:val="NormalWeb"/>
        <w:numPr>
          <w:ilvl w:val="0"/>
          <w:numId w:val="3"/>
        </w:numPr>
        <w:rPr>
          <w:sz w:val="28"/>
          <w:szCs w:val="28"/>
        </w:rPr>
      </w:pPr>
      <w:r>
        <w:t xml:space="preserve">These three states account for over </w:t>
      </w:r>
      <w:r w:rsidRPr="007471DB">
        <w:rPr>
          <w:rStyle w:val="Strong"/>
          <w:b w:val="0"/>
        </w:rPr>
        <w:t>75%</w:t>
      </w:r>
      <w:r>
        <w:t xml:space="preserve"> of total treatment costs, indicating </w:t>
      </w:r>
      <w:r w:rsidRPr="007471DB">
        <w:rPr>
          <w:rStyle w:val="Strong"/>
          <w:b w:val="0"/>
        </w:rPr>
        <w:t xml:space="preserve">high patient load or </w:t>
      </w:r>
      <w:r w:rsidRPr="007471DB">
        <w:rPr>
          <w:rStyle w:val="Strong"/>
          <w:b w:val="0"/>
          <w:sz w:val="28"/>
          <w:szCs w:val="28"/>
        </w:rPr>
        <w:t>expensive care</w:t>
      </w:r>
      <w:r w:rsidRPr="007471DB">
        <w:rPr>
          <w:b/>
          <w:sz w:val="28"/>
          <w:szCs w:val="28"/>
        </w:rPr>
        <w:t>.</w:t>
      </w:r>
    </w:p>
    <w:p w14:paraId="37BCA12F" w14:textId="19BBEE68" w:rsidR="00EA74F6" w:rsidRDefault="00EA74F6" w:rsidP="00756F4A">
      <w:pPr>
        <w:pStyle w:val="Heading4"/>
        <w:numPr>
          <w:ilvl w:val="0"/>
          <w:numId w:val="14"/>
        </w:numPr>
      </w:pPr>
      <w:r w:rsidRPr="007471DB">
        <w:rPr>
          <w:rStyle w:val="Strong"/>
          <w:b/>
          <w:bCs/>
          <w:sz w:val="28"/>
          <w:szCs w:val="28"/>
        </w:rPr>
        <w:lastRenderedPageBreak/>
        <w:t>Recommendations</w:t>
      </w:r>
    </w:p>
    <w:p w14:paraId="5A805E77" w14:textId="77777777" w:rsidR="00EA74F6" w:rsidRDefault="00EA74F6" w:rsidP="00756F4A">
      <w:pPr>
        <w:pStyle w:val="NormalWeb"/>
        <w:numPr>
          <w:ilvl w:val="0"/>
          <w:numId w:val="4"/>
        </w:numPr>
      </w:pPr>
      <w:r>
        <w:t>Audit top states to identify cost drivers.</w:t>
      </w:r>
    </w:p>
    <w:p w14:paraId="09B4E5A2" w14:textId="77777777" w:rsidR="00EA74F6" w:rsidRDefault="00EA74F6" w:rsidP="00756F4A">
      <w:pPr>
        <w:pStyle w:val="NormalWeb"/>
        <w:numPr>
          <w:ilvl w:val="0"/>
          <w:numId w:val="4"/>
        </w:numPr>
      </w:pPr>
      <w:r>
        <w:t xml:space="preserve">Promote </w:t>
      </w:r>
      <w:r w:rsidRPr="007471DB">
        <w:rPr>
          <w:rStyle w:val="Strong"/>
          <w:b w:val="0"/>
        </w:rPr>
        <w:t>preventive care</w:t>
      </w:r>
      <w:r>
        <w:t xml:space="preserve"> and use </w:t>
      </w:r>
      <w:r w:rsidRPr="007471DB">
        <w:rPr>
          <w:rStyle w:val="Strong"/>
          <w:b w:val="0"/>
        </w:rPr>
        <w:t>telemedicine</w:t>
      </w:r>
      <w:r w:rsidRPr="007471DB">
        <w:rPr>
          <w:b/>
        </w:rPr>
        <w:t xml:space="preserve"> </w:t>
      </w:r>
      <w:r>
        <w:t>to reduce pressure.</w:t>
      </w:r>
    </w:p>
    <w:p w14:paraId="7BDA28A0" w14:textId="77777777" w:rsidR="00EA74F6" w:rsidRDefault="00EA74F6" w:rsidP="00756F4A">
      <w:pPr>
        <w:pStyle w:val="NormalWeb"/>
        <w:numPr>
          <w:ilvl w:val="0"/>
          <w:numId w:val="4"/>
        </w:numPr>
      </w:pPr>
      <w:r>
        <w:t xml:space="preserve">Improve </w:t>
      </w:r>
      <w:r w:rsidRPr="007471DB">
        <w:rPr>
          <w:rStyle w:val="Strong"/>
          <w:b w:val="0"/>
        </w:rPr>
        <w:t>efficiency</w:t>
      </w:r>
      <w:r w:rsidRPr="007471DB">
        <w:rPr>
          <w:b/>
        </w:rPr>
        <w:t xml:space="preserve"> </w:t>
      </w:r>
      <w:r w:rsidRPr="007471DB">
        <w:t>i</w:t>
      </w:r>
      <w:r>
        <w:t>n treatment delivery and billing practices.</w:t>
      </w:r>
    </w:p>
    <w:p w14:paraId="2EC4F3F2" w14:textId="146D2CB0" w:rsidR="004449C1" w:rsidRPr="00C36126" w:rsidRDefault="007471DB">
      <w:pPr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:u w:val="single"/>
        </w:rPr>
      </w:pPr>
      <w:r w:rsidRPr="00C36126">
        <w:rPr>
          <w:rFonts w:ascii="Times New Roman" w:hAnsi="Times New Roman" w:cs="Times New Roman"/>
          <w:b/>
          <w:color w:val="1F3864" w:themeColor="accent1" w:themeShade="80"/>
          <w:sz w:val="36"/>
          <w:szCs w:val="36"/>
          <w:u w:val="single"/>
        </w:rPr>
        <w:t>Gender-wise Analysis</w:t>
      </w:r>
    </w:p>
    <w:p w14:paraId="4DE270A6" w14:textId="089C8626" w:rsidR="00BC6730" w:rsidRDefault="000D49CD" w:rsidP="00EA74F6">
      <w:pPr>
        <w:pStyle w:val="Heading4"/>
        <w:rPr>
          <w:rStyle w:val="Strong"/>
          <w:b/>
          <w:bCs/>
        </w:rPr>
      </w:pPr>
      <w:r w:rsidRPr="000D49CD">
        <w:drawing>
          <wp:inline distT="0" distB="0" distL="0" distR="0" wp14:anchorId="6102EA09" wp14:editId="47D93CE7">
            <wp:extent cx="3322608" cy="2194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9063" w14:textId="0B0C2FFB" w:rsidR="00BC6730" w:rsidRPr="007471DB" w:rsidRDefault="00BC6730" w:rsidP="00756F4A">
      <w:pPr>
        <w:pStyle w:val="Heading4"/>
        <w:numPr>
          <w:ilvl w:val="0"/>
          <w:numId w:val="15"/>
        </w:numPr>
        <w:rPr>
          <w:sz w:val="28"/>
          <w:szCs w:val="28"/>
        </w:rPr>
      </w:pPr>
      <w:r w:rsidRPr="007471DB">
        <w:rPr>
          <w:rStyle w:val="Strong"/>
          <w:b/>
          <w:bCs/>
          <w:sz w:val="28"/>
          <w:szCs w:val="28"/>
        </w:rPr>
        <w:t>Key Finding</w:t>
      </w:r>
      <w:r w:rsidR="00FD3246">
        <w:rPr>
          <w:rStyle w:val="Strong"/>
          <w:b/>
          <w:bCs/>
          <w:sz w:val="28"/>
          <w:szCs w:val="28"/>
        </w:rPr>
        <w:t>s</w:t>
      </w:r>
    </w:p>
    <w:p w14:paraId="48AEE6A1" w14:textId="77777777" w:rsidR="00BC6730" w:rsidRPr="007471DB" w:rsidRDefault="00BC6730" w:rsidP="00756F4A">
      <w:pPr>
        <w:pStyle w:val="NormalWeb"/>
        <w:numPr>
          <w:ilvl w:val="0"/>
          <w:numId w:val="16"/>
        </w:numPr>
        <w:rPr>
          <w:b/>
        </w:rPr>
      </w:pPr>
      <w:r>
        <w:t xml:space="preserve">The </w:t>
      </w:r>
      <w:r w:rsidRPr="007471DB">
        <w:rPr>
          <w:rStyle w:val="Strong"/>
          <w:b w:val="0"/>
        </w:rPr>
        <w:t>male population</w:t>
      </w:r>
      <w:r>
        <w:t xml:space="preserve"> has a </w:t>
      </w:r>
      <w:r w:rsidRPr="007471DB">
        <w:rPr>
          <w:rStyle w:val="Strong"/>
          <w:b w:val="0"/>
        </w:rPr>
        <w:t>higher representation</w:t>
      </w:r>
      <w:r>
        <w:t xml:space="preserve"> across almost all departments, with particularly high counts in </w:t>
      </w:r>
      <w:r w:rsidRPr="007471DB">
        <w:rPr>
          <w:rStyle w:val="Strong"/>
          <w:b w:val="0"/>
        </w:rPr>
        <w:t>Cardiology and OT</w:t>
      </w:r>
      <w:r>
        <w:t xml:space="preserve">, while </w:t>
      </w:r>
      <w:r w:rsidRPr="007471DB">
        <w:rPr>
          <w:rStyle w:val="Strong"/>
          <w:b w:val="0"/>
        </w:rPr>
        <w:t>females are notably represented in Gynaecology and Dermatology</w:t>
      </w:r>
      <w:r w:rsidRPr="007471DB">
        <w:rPr>
          <w:b/>
        </w:rPr>
        <w:t>.</w:t>
      </w:r>
    </w:p>
    <w:p w14:paraId="78D27EF5" w14:textId="4060E9E8" w:rsidR="00BC6730" w:rsidRPr="007471DB" w:rsidRDefault="00BC6730" w:rsidP="00756F4A">
      <w:pPr>
        <w:pStyle w:val="Heading4"/>
        <w:numPr>
          <w:ilvl w:val="0"/>
          <w:numId w:val="17"/>
        </w:numPr>
        <w:rPr>
          <w:sz w:val="28"/>
          <w:szCs w:val="28"/>
        </w:rPr>
      </w:pPr>
      <w:r w:rsidRPr="007471DB">
        <w:rPr>
          <w:rStyle w:val="Strong"/>
          <w:b/>
          <w:bCs/>
          <w:sz w:val="28"/>
          <w:szCs w:val="28"/>
        </w:rPr>
        <w:t>Insight</w:t>
      </w:r>
    </w:p>
    <w:p w14:paraId="3E5D805B" w14:textId="77777777" w:rsidR="00BC6730" w:rsidRDefault="00BC6730" w:rsidP="00756F4A">
      <w:pPr>
        <w:pStyle w:val="NormalWeb"/>
        <w:numPr>
          <w:ilvl w:val="0"/>
          <w:numId w:val="18"/>
        </w:numPr>
      </w:pPr>
      <w:r>
        <w:t xml:space="preserve">This reflects </w:t>
      </w:r>
      <w:r w:rsidRPr="007471DB">
        <w:rPr>
          <w:rStyle w:val="Strong"/>
          <w:b w:val="0"/>
        </w:rPr>
        <w:t>gender-specific healthcare utilization trends</w:t>
      </w:r>
      <w:r>
        <w:t>. Some departments show balanced engagement, but others may lack tailored services or awareness for one gender.</w:t>
      </w:r>
    </w:p>
    <w:p w14:paraId="2411E692" w14:textId="60FA2F1D" w:rsidR="00BC6730" w:rsidRPr="007471DB" w:rsidRDefault="00BC6730" w:rsidP="00756F4A">
      <w:pPr>
        <w:pStyle w:val="Heading4"/>
        <w:numPr>
          <w:ilvl w:val="0"/>
          <w:numId w:val="19"/>
        </w:numPr>
        <w:rPr>
          <w:sz w:val="28"/>
          <w:szCs w:val="28"/>
        </w:rPr>
      </w:pPr>
      <w:r w:rsidRPr="007471DB">
        <w:rPr>
          <w:rStyle w:val="Strong"/>
          <w:b/>
          <w:bCs/>
          <w:sz w:val="28"/>
          <w:szCs w:val="28"/>
        </w:rPr>
        <w:t>Recommendation</w:t>
      </w:r>
    </w:p>
    <w:p w14:paraId="5DC73BC4" w14:textId="77777777" w:rsidR="00BC6730" w:rsidRDefault="00BC6730" w:rsidP="00756F4A">
      <w:pPr>
        <w:pStyle w:val="NormalWeb"/>
        <w:numPr>
          <w:ilvl w:val="0"/>
          <w:numId w:val="1"/>
        </w:numPr>
      </w:pPr>
      <w:r w:rsidRPr="007471DB">
        <w:t>Promote</w:t>
      </w:r>
      <w:r w:rsidRPr="007471DB">
        <w:rPr>
          <w:b/>
        </w:rPr>
        <w:t xml:space="preserve"> </w:t>
      </w:r>
      <w:r w:rsidRPr="007471DB">
        <w:rPr>
          <w:rStyle w:val="Strong"/>
          <w:b w:val="0"/>
        </w:rPr>
        <w:t>targeted health awareness campaigns</w:t>
      </w:r>
      <w:r>
        <w:t xml:space="preserve"> for underrepresented genders in relevant departments (e.g., increase male outreach in Gynaecology-related screenings like prostate or urology).</w:t>
      </w:r>
    </w:p>
    <w:p w14:paraId="3F4CA80B" w14:textId="77777777" w:rsidR="00BC6730" w:rsidRDefault="00BC6730" w:rsidP="00756F4A">
      <w:pPr>
        <w:pStyle w:val="NormalWeb"/>
        <w:numPr>
          <w:ilvl w:val="0"/>
          <w:numId w:val="1"/>
        </w:numPr>
      </w:pPr>
      <w:r>
        <w:t xml:space="preserve">Ensure </w:t>
      </w:r>
      <w:r w:rsidRPr="007471DB">
        <w:rPr>
          <w:rStyle w:val="Strong"/>
          <w:b w:val="0"/>
        </w:rPr>
        <w:t>gender-sensitive care policies and staff training</w:t>
      </w:r>
      <w:r>
        <w:t xml:space="preserve"> to improve satisfaction and outcomes.</w:t>
      </w:r>
    </w:p>
    <w:p w14:paraId="4EFB2E31" w14:textId="3B5828D1" w:rsidR="00BC6730" w:rsidRDefault="00BC6730" w:rsidP="00BC6730">
      <w:pPr>
        <w:pStyle w:val="NormalWeb"/>
        <w:rPr>
          <w:rStyle w:val="Strong"/>
          <w:b w:val="0"/>
          <w:bCs w:val="0"/>
        </w:rPr>
      </w:pPr>
    </w:p>
    <w:p w14:paraId="60FC9C09" w14:textId="77777777" w:rsidR="00BC6730" w:rsidRPr="00BC6730" w:rsidRDefault="00BC6730" w:rsidP="00BC6730">
      <w:pPr>
        <w:pStyle w:val="NormalWeb"/>
        <w:rPr>
          <w:rStyle w:val="Strong"/>
          <w:b w:val="0"/>
          <w:bCs w:val="0"/>
        </w:rPr>
      </w:pPr>
    </w:p>
    <w:p w14:paraId="6C7C2594" w14:textId="145020B1" w:rsidR="004449C1" w:rsidRDefault="004449C1"/>
    <w:p w14:paraId="5E04681E" w14:textId="120F3171" w:rsidR="004449C1" w:rsidRDefault="004449C1"/>
    <w:sectPr w:rsidR="00444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5B50"/>
    <w:multiLevelType w:val="hybridMultilevel"/>
    <w:tmpl w:val="975C45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040CA1"/>
    <w:multiLevelType w:val="multilevel"/>
    <w:tmpl w:val="5D76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787"/>
    <w:multiLevelType w:val="multilevel"/>
    <w:tmpl w:val="C5D2C6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31AF2"/>
    <w:multiLevelType w:val="hybridMultilevel"/>
    <w:tmpl w:val="DE52800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83B9B"/>
    <w:multiLevelType w:val="hybridMultilevel"/>
    <w:tmpl w:val="BECAE4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312C7"/>
    <w:multiLevelType w:val="hybridMultilevel"/>
    <w:tmpl w:val="0AC209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C726E"/>
    <w:multiLevelType w:val="multilevel"/>
    <w:tmpl w:val="4FE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B5993"/>
    <w:multiLevelType w:val="multilevel"/>
    <w:tmpl w:val="3DE25C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E7DE2"/>
    <w:multiLevelType w:val="hybridMultilevel"/>
    <w:tmpl w:val="35C4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525DA"/>
    <w:multiLevelType w:val="hybridMultilevel"/>
    <w:tmpl w:val="BFBE74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C063E"/>
    <w:multiLevelType w:val="hybridMultilevel"/>
    <w:tmpl w:val="6E0AD2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72ADC"/>
    <w:multiLevelType w:val="multilevel"/>
    <w:tmpl w:val="D16E00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87924"/>
    <w:multiLevelType w:val="multilevel"/>
    <w:tmpl w:val="50F423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62D4E"/>
    <w:multiLevelType w:val="hybridMultilevel"/>
    <w:tmpl w:val="9C9456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ED6232"/>
    <w:multiLevelType w:val="multilevel"/>
    <w:tmpl w:val="D540B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2612A"/>
    <w:multiLevelType w:val="hybridMultilevel"/>
    <w:tmpl w:val="CC7C71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65826"/>
    <w:multiLevelType w:val="multilevel"/>
    <w:tmpl w:val="C6D46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43B63"/>
    <w:multiLevelType w:val="hybridMultilevel"/>
    <w:tmpl w:val="08DC23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32C87"/>
    <w:multiLevelType w:val="hybridMultilevel"/>
    <w:tmpl w:val="D4E27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06BBF"/>
    <w:multiLevelType w:val="multilevel"/>
    <w:tmpl w:val="BB58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C199C"/>
    <w:multiLevelType w:val="multilevel"/>
    <w:tmpl w:val="5FDCE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F54DDD"/>
    <w:multiLevelType w:val="hybridMultilevel"/>
    <w:tmpl w:val="DB5A84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01919"/>
    <w:multiLevelType w:val="multilevel"/>
    <w:tmpl w:val="266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861CF"/>
    <w:multiLevelType w:val="hybridMultilevel"/>
    <w:tmpl w:val="153A9C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31064"/>
    <w:multiLevelType w:val="multilevel"/>
    <w:tmpl w:val="DBC84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7530F"/>
    <w:multiLevelType w:val="hybridMultilevel"/>
    <w:tmpl w:val="3CAE3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35E55"/>
    <w:multiLevelType w:val="hybridMultilevel"/>
    <w:tmpl w:val="672A545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AC3566"/>
    <w:multiLevelType w:val="multilevel"/>
    <w:tmpl w:val="8108A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41BA4"/>
    <w:multiLevelType w:val="multilevel"/>
    <w:tmpl w:val="2FF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510380"/>
    <w:multiLevelType w:val="hybridMultilevel"/>
    <w:tmpl w:val="E8CA5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33F6A"/>
    <w:multiLevelType w:val="hybridMultilevel"/>
    <w:tmpl w:val="F022F2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B3F3E"/>
    <w:multiLevelType w:val="multilevel"/>
    <w:tmpl w:val="F2FE99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713C2B"/>
    <w:multiLevelType w:val="multilevel"/>
    <w:tmpl w:val="1F648A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33CC1"/>
    <w:multiLevelType w:val="hybridMultilevel"/>
    <w:tmpl w:val="1174D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1"/>
  </w:num>
  <w:num w:numId="4">
    <w:abstractNumId w:val="11"/>
  </w:num>
  <w:num w:numId="5">
    <w:abstractNumId w:val="8"/>
  </w:num>
  <w:num w:numId="6">
    <w:abstractNumId w:val="15"/>
  </w:num>
  <w:num w:numId="7">
    <w:abstractNumId w:val="9"/>
  </w:num>
  <w:num w:numId="8">
    <w:abstractNumId w:val="29"/>
  </w:num>
  <w:num w:numId="9">
    <w:abstractNumId w:val="25"/>
  </w:num>
  <w:num w:numId="10">
    <w:abstractNumId w:val="33"/>
  </w:num>
  <w:num w:numId="11">
    <w:abstractNumId w:val="18"/>
  </w:num>
  <w:num w:numId="12">
    <w:abstractNumId w:val="3"/>
  </w:num>
  <w:num w:numId="13">
    <w:abstractNumId w:val="30"/>
  </w:num>
  <w:num w:numId="14">
    <w:abstractNumId w:val="21"/>
  </w:num>
  <w:num w:numId="15">
    <w:abstractNumId w:val="4"/>
  </w:num>
  <w:num w:numId="16">
    <w:abstractNumId w:val="0"/>
  </w:num>
  <w:num w:numId="17">
    <w:abstractNumId w:val="26"/>
  </w:num>
  <w:num w:numId="18">
    <w:abstractNumId w:val="13"/>
  </w:num>
  <w:num w:numId="19">
    <w:abstractNumId w:val="5"/>
  </w:num>
  <w:num w:numId="20">
    <w:abstractNumId w:val="17"/>
  </w:num>
  <w:num w:numId="21">
    <w:abstractNumId w:val="10"/>
  </w:num>
  <w:num w:numId="22">
    <w:abstractNumId w:val="23"/>
  </w:num>
  <w:num w:numId="23">
    <w:abstractNumId w:val="24"/>
  </w:num>
  <w:num w:numId="24">
    <w:abstractNumId w:val="28"/>
  </w:num>
  <w:num w:numId="25">
    <w:abstractNumId w:val="7"/>
  </w:num>
  <w:num w:numId="26">
    <w:abstractNumId w:val="32"/>
  </w:num>
  <w:num w:numId="27">
    <w:abstractNumId w:val="22"/>
  </w:num>
  <w:num w:numId="28">
    <w:abstractNumId w:val="14"/>
  </w:num>
  <w:num w:numId="29">
    <w:abstractNumId w:val="1"/>
  </w:num>
  <w:num w:numId="30">
    <w:abstractNumId w:val="27"/>
  </w:num>
  <w:num w:numId="31">
    <w:abstractNumId w:val="19"/>
  </w:num>
  <w:num w:numId="32">
    <w:abstractNumId w:val="12"/>
  </w:num>
  <w:num w:numId="33">
    <w:abstractNumId w:val="16"/>
  </w:num>
  <w:num w:numId="34">
    <w:abstractNumId w:val="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C1"/>
    <w:rsid w:val="000D49CD"/>
    <w:rsid w:val="00246209"/>
    <w:rsid w:val="00374C54"/>
    <w:rsid w:val="004449C1"/>
    <w:rsid w:val="00452AEC"/>
    <w:rsid w:val="005249E8"/>
    <w:rsid w:val="007471DB"/>
    <w:rsid w:val="00756F4A"/>
    <w:rsid w:val="009378E7"/>
    <w:rsid w:val="00AA0A16"/>
    <w:rsid w:val="00BC6730"/>
    <w:rsid w:val="00C36126"/>
    <w:rsid w:val="00CF6751"/>
    <w:rsid w:val="00D60921"/>
    <w:rsid w:val="00EA74F6"/>
    <w:rsid w:val="00FD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B82D"/>
  <w15:chartTrackingRefBased/>
  <w15:docId w15:val="{921CF096-9E57-481E-82FA-EDBE8C62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2A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9C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D6092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52A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5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A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1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7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2025-06-18T06:22:00Z</dcterms:created>
  <dcterms:modified xsi:type="dcterms:W3CDTF">2025-06-18T06:28:00Z</dcterms:modified>
</cp:coreProperties>
</file>